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BAA" w:rsidRPr="00C77849" w:rsidRDefault="00836BAA" w:rsidP="00836BAA">
      <w:pPr>
        <w:pStyle w:val="NeniTitull"/>
        <w:rPr>
          <w:spacing w:val="-4"/>
          <w:lang w:val="sq-AL"/>
        </w:rPr>
      </w:pPr>
      <w:bookmarkStart w:id="0" w:name="_GoBack"/>
      <w:bookmarkEnd w:id="0"/>
      <w:r w:rsidRPr="00C77849">
        <w:rPr>
          <w:spacing w:val="-4"/>
          <w:lang w:val="sq-AL"/>
        </w:rPr>
        <w:t xml:space="preserve">VENDIM 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Nr. 125, datë 29.7.2016</w:t>
      </w:r>
    </w:p>
    <w:p w:rsidR="00836BAA" w:rsidRPr="002A5A51" w:rsidRDefault="00836BAA" w:rsidP="00836BAA">
      <w:pPr>
        <w:pStyle w:val="Hapesira7"/>
        <w:rPr>
          <w:szCs w:val="14"/>
          <w:lang w:val="sq-AL"/>
        </w:rPr>
      </w:pP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MBI MIRATIMIN E RREGULLORES PËR PROCEDURAT E VENDOSJES DHE REDUKTIMIT TË GJOBAVE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Në mbështetje të neneve 16; 106/2; 107, pika 4 dhe 110, të ligjit nr. 43/2015, “Për sektorin e energjisë elektrike”, nenit 26, të “Rregullores së organizimit, funksionimit dhe procedurave të ERE-s”, miratuar me vendimin e Bordit të ERE-s nr. 96, datë 17.6.2016, Bordi i ERE-s, në mbledhjen e tij të datës 29.7.2016, pasi shqyrtoi draftrregulloren për procedurat e vendosjes dhe të reduktimit të gjobave, të përgatitur nga Drejtoria Juridike, si dhe relacionin përkatës,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konstatoi se: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Në bazë të nenit 107, pika 4, ERE ka detyrimin të hartojë dhe të miratojë një rregullore të posaçme lidhur me kushtet dhe procedurat e vendosjes dhe reduktimit të gjobave.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Me vendimin nr. 152, datë 11.12.2015, Bordi i ERE-s ka filluar procedurat për miratimin e “Draftrregullores për vendosjen e gjobave dhe kushtet e lehtësimit prej tyre”.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Për gjithë sa më sipër cituar, Bordi i ERE-s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Paragrafi"/>
        <w:jc w:val="center"/>
        <w:rPr>
          <w:spacing w:val="-4"/>
          <w:lang w:val="sq-AL"/>
        </w:rPr>
      </w:pPr>
      <w:r w:rsidRPr="00C77849">
        <w:rPr>
          <w:spacing w:val="-4"/>
          <w:lang w:val="sq-AL"/>
        </w:rPr>
        <w:t>VENDOSI:</w:t>
      </w:r>
    </w:p>
    <w:p w:rsidR="00836BAA" w:rsidRPr="002A5A51" w:rsidRDefault="00836BAA" w:rsidP="00836BAA">
      <w:pPr>
        <w:pStyle w:val="Hapesira7"/>
        <w:rPr>
          <w:szCs w:val="14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Të miratojë rregulloren për procedurat e vendosjes dhe reduktimit të gjobave.</w:t>
      </w:r>
    </w:p>
    <w:p w:rsidR="00836BAA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836BAA" w:rsidRDefault="00836BAA" w:rsidP="00836BAA">
      <w:pPr>
        <w:pStyle w:val="Paragrafi"/>
        <w:rPr>
          <w:spacing w:val="-4"/>
          <w:lang w:val="sq-AL"/>
        </w:rPr>
      </w:pPr>
    </w:p>
    <w:p w:rsidR="00836BAA" w:rsidRDefault="00836BAA" w:rsidP="00836BAA">
      <w:pPr>
        <w:pStyle w:val="Paragrafi"/>
        <w:rPr>
          <w:spacing w:val="-4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vendim hyn në fuqi menjëherë.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vendim botohet në Fletoren Zyrtare.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KRYETARI</w:t>
      </w:r>
    </w:p>
    <w:p w:rsidR="00836BAA" w:rsidRPr="00C77849" w:rsidRDefault="00836BAA" w:rsidP="00836BAA">
      <w:pPr>
        <w:pStyle w:val="Paragrafi"/>
        <w:jc w:val="right"/>
        <w:rPr>
          <w:b/>
          <w:spacing w:val="-4"/>
          <w:lang w:val="sq-AL"/>
        </w:rPr>
      </w:pPr>
      <w:r w:rsidRPr="00C77849">
        <w:rPr>
          <w:b/>
          <w:spacing w:val="-4"/>
          <w:lang w:val="sq-AL"/>
        </w:rPr>
        <w:t>Petrit Ahmeti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RREGULLORE </w:t>
      </w:r>
    </w:p>
    <w:p w:rsidR="00836BAA" w:rsidRPr="00C77849" w:rsidRDefault="00836BAA" w:rsidP="00836BAA">
      <w:pPr>
        <w:pStyle w:val="NeniTitull"/>
        <w:rPr>
          <w:b w:val="0"/>
          <w:spacing w:val="-4"/>
          <w:lang w:val="sq-AL"/>
        </w:rPr>
      </w:pPr>
      <w:r w:rsidRPr="00C77849">
        <w:rPr>
          <w:b w:val="0"/>
          <w:spacing w:val="-4"/>
          <w:lang w:val="sq-AL"/>
        </w:rPr>
        <w:t>PËR PROCEDURAT E VENDOSJES DHE REDUKTIMIT TË GJOBAVE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PJESA E PARË</w:t>
      </w: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DISPOZITA TË PËRGJITHSHME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Autoriteti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Kjo rregullore hartohet në zbatim të nenit 106/2 dhe 107, të ligjit nr. 43/2015, “Për sektorin e energjisë elektrike”, ligjit nr. 45/2015, “Kodi i Procedurave Administrative të Republikës së Shqipërisë” dhe në përputhje me “Rregulloren për organizimin, funksionimin dhe procedurat e ERE-s”. </w:t>
      </w: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2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Qëllimi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Qëllimi i kësaj rregulloreje është të sigurojë një trajtim të barabartë e transparent për të gjithë të licencuarit në sektorin e energjisë elektrike, për të cilët ERE nis procedurën për vendosjen e gjobave për shkeljet e konstatuara, sipas parashikimeve të ligjit nr. 43/2015, “Për sektorin e energjisë elektrike”.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ERE aplikon procedura të njëjta për të licencuarit në sektorin e energjisë elektrike në rastet e vendosjes së gjobave. 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3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Objekti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lastRenderedPageBreak/>
        <w:t>Kjo rregullore përcakton procedurat e aplikimit të gjobave, metodologjinë e konstatimit e përcak-timit të tyre, si dhe masat e lehtësimit që aplikohen për gjobat e vendosura, për të licencuarit në sektorin e energjisë elektrike, në rastet e shkeljeve të ndëshkueshme me gjobë nga ERE.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4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Përkufizime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Fjalët dhe frazat e mëposhtme të përdorura në këtë rregullore, kur përdoren, do të kenë kuptimet e mëposht</w:t>
      </w:r>
      <w:r>
        <w:rPr>
          <w:rFonts w:ascii="Garamond" w:hAnsi="Garamond"/>
          <w:spacing w:val="-4"/>
          <w:sz w:val="24"/>
          <w:szCs w:val="24"/>
          <w:lang w:val="sq-AL"/>
        </w:rPr>
        <w:t>m</w:t>
      </w:r>
      <w:r w:rsidRPr="00C77849">
        <w:rPr>
          <w:rFonts w:ascii="Garamond" w:hAnsi="Garamond"/>
          <w:spacing w:val="-4"/>
          <w:sz w:val="24"/>
          <w:szCs w:val="24"/>
          <w:lang w:val="sq-AL"/>
        </w:rPr>
        <w:t>e:</w:t>
      </w:r>
    </w:p>
    <w:p w:rsidR="00836BAA" w:rsidRPr="00C77849" w:rsidRDefault="00836BAA" w:rsidP="00836BAA">
      <w:pPr>
        <w:numPr>
          <w:ilvl w:val="0"/>
          <w:numId w:val="4"/>
        </w:numPr>
        <w:tabs>
          <w:tab w:val="clear" w:pos="810"/>
          <w:tab w:val="left" w:pos="426"/>
          <w:tab w:val="left" w:pos="567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“Ligj” do të thotë ligji nr. 43/2015, “Për sektorin e energjisë elektrike”. </w:t>
      </w:r>
    </w:p>
    <w:p w:rsidR="00836BAA" w:rsidRPr="00C77849" w:rsidRDefault="00836BAA" w:rsidP="00836BAA">
      <w:pPr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“Bordi i ERE-s” </w:t>
      </w:r>
      <w:r w:rsidRPr="00C77849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do të thotë organi vendimmarrës i ERE-s që përbëhet nga pesë anëtarë të emëruar sipas procedurave të parashikuara në ligj. </w:t>
      </w:r>
    </w:p>
    <w:p w:rsidR="00836BAA" w:rsidRPr="00C77849" w:rsidRDefault="00836BAA" w:rsidP="00836BAA">
      <w:pPr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“ERE” do të thotë Enti Rregullator i Energjisë.</w:t>
      </w:r>
    </w:p>
    <w:p w:rsidR="00836BAA" w:rsidRPr="00C77849" w:rsidRDefault="00836BAA" w:rsidP="00836BAA">
      <w:pPr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“Licencë” </w:t>
      </w:r>
      <w:r w:rsidRPr="00C77849">
        <w:rPr>
          <w:rFonts w:ascii="Garamond" w:hAnsi="Garamond"/>
          <w:color w:val="000000"/>
          <w:spacing w:val="-4"/>
          <w:sz w:val="24"/>
          <w:szCs w:val="24"/>
          <w:lang w:val="sq-AL"/>
        </w:rPr>
        <w:t>do të thotë një e drejtë e dhënë nga ERE, një personi për ushtrimin e një veprimtarie në sektorin e energjisë elektrike ose atë të gazit natyror, në përputhje me dispozitat që kërkohen nga ligji nr. 43/2015, “Për sektorin e energjisë elektrike” dhe ligjit nr. 102/2015, “Për gazin natyror”, si dhe procedurave të licencimit të ERE-s.</w:t>
      </w:r>
    </w:p>
    <w:p w:rsidR="00836BAA" w:rsidRPr="00C77849" w:rsidRDefault="00836BAA" w:rsidP="00836BAA">
      <w:pPr>
        <w:pStyle w:val="ListParagraph"/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“I licencuar”</w:t>
      </w:r>
      <w:r w:rsidRPr="00C77849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do të thotë një person i pajisur me një licencë të dhënë nga ERE, për të operuar në sektorin e energjisë elektrike ose dhe të gazit natyror.</w:t>
      </w:r>
    </w:p>
    <w:p w:rsidR="00836BAA" w:rsidRPr="00C77849" w:rsidRDefault="00836BAA" w:rsidP="00836BAA">
      <w:pPr>
        <w:pStyle w:val="ListParagraph"/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“Procedurë” do të thotë një tërësi e vepri-meve të ERE-s apo të të licencuarve që kry</w:t>
      </w:r>
      <w:r>
        <w:rPr>
          <w:rFonts w:ascii="Garamond" w:hAnsi="Garamond"/>
          <w:spacing w:val="-4"/>
          <w:sz w:val="24"/>
          <w:szCs w:val="24"/>
          <w:lang w:val="sq-AL"/>
        </w:rPr>
        <w:t>h</w:t>
      </w:r>
      <w:r w:rsidRPr="00C77849">
        <w:rPr>
          <w:rFonts w:ascii="Garamond" w:hAnsi="Garamond"/>
          <w:spacing w:val="-4"/>
          <w:sz w:val="24"/>
          <w:szCs w:val="24"/>
          <w:lang w:val="sq-AL"/>
        </w:rPr>
        <w:t>en në zbatim të legjislacionit në fuqi.</w:t>
      </w:r>
    </w:p>
    <w:p w:rsidR="00836BAA" w:rsidRPr="00C77849" w:rsidRDefault="00836BAA" w:rsidP="00836BAA">
      <w:pPr>
        <w:pStyle w:val="ListParagraph"/>
        <w:numPr>
          <w:ilvl w:val="0"/>
          <w:numId w:val="4"/>
        </w:numPr>
        <w:tabs>
          <w:tab w:val="clear" w:pos="81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“Administratori” do të thotë sipas rastit Kryetari i Bordit të ERE-s ose Bordi i ERE-s.</w:t>
      </w:r>
    </w:p>
    <w:p w:rsidR="00836BAA" w:rsidRPr="00C77849" w:rsidRDefault="00836BAA" w:rsidP="00836BAA">
      <w:pPr>
        <w:pStyle w:val="ListParagraph"/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“Subjekt i interesuar” do të thotë çdo i licencuar apo çdo person tjetër që merr shërbim apo kryen aktivitet në sektorin e energjisë elektrike.</w:t>
      </w:r>
    </w:p>
    <w:p w:rsidR="00836BAA" w:rsidRPr="00C77849" w:rsidRDefault="00836BAA" w:rsidP="00836BAA">
      <w:pPr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bCs/>
          <w:spacing w:val="-4"/>
          <w:sz w:val="24"/>
          <w:szCs w:val="24"/>
          <w:lang w:val="sq-AL"/>
        </w:rPr>
        <w:t xml:space="preserve"> “Të ardhurat vjetore</w:t>
      </w:r>
      <w:r w:rsidRPr="00C77849">
        <w:rPr>
          <w:rFonts w:ascii="Garamond" w:hAnsi="Garamond"/>
          <w:spacing w:val="-4"/>
          <w:sz w:val="24"/>
          <w:szCs w:val="24"/>
          <w:lang w:val="sq-AL"/>
        </w:rPr>
        <w:t>” do të thotë totali i të ardhurave të gjeneruara nga shitja e të mirave të siguruara nga aktiviteti në sektorin e energjisë elektrike apo shërbimeve të kryera gjatë një viti financiar nga një subjekt tregtar.</w:t>
      </w:r>
    </w:p>
    <w:p w:rsidR="00836BAA" w:rsidRPr="00C77849" w:rsidRDefault="00836BAA" w:rsidP="00836BAA">
      <w:pPr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“Xhiro mesatare ditore” do të thotë të ardhurat mesatare të siguruara në ditë nga shitjet përgjatë një viti financiar.</w:t>
      </w:r>
    </w:p>
    <w:p w:rsidR="00836BAA" w:rsidRPr="00C77849" w:rsidRDefault="00836BAA" w:rsidP="00836BAA">
      <w:pPr>
        <w:numPr>
          <w:ilvl w:val="0"/>
          <w:numId w:val="4"/>
        </w:numPr>
        <w:tabs>
          <w:tab w:val="clear" w:pos="81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“Vlera fillestare e gjobës” do të quhet vlera e përcaktuar nga Bordi i ERE-s, për efekt të llogaritjes së vlerës përfundimtare të gjobës e cila llogaritet sipas aneksit nr. 1 bashkëngjitur kësaj rregulloreje.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PJESA E DYTË</w:t>
      </w: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DISPOZITA TË POSAÇME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5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Gjobat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numPr>
          <w:ilvl w:val="0"/>
          <w:numId w:val="2"/>
        </w:numPr>
        <w:spacing w:after="0" w:line="240" w:lineRule="auto"/>
        <w:ind w:left="0" w:firstLine="284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Çdo i licencuar mund të jetë subjekt i ndëshkimit nga ERE, për një ose më shumë nga shkeljet e kryera prej tij, si më poshtë:</w:t>
      </w:r>
    </w:p>
    <w:p w:rsidR="00836BAA" w:rsidRPr="00C77849" w:rsidRDefault="00836BAA" w:rsidP="00836BAA">
      <w:pPr>
        <w:spacing w:after="0" w:line="240" w:lineRule="auto"/>
        <w:ind w:left="284" w:firstLine="0"/>
        <w:jc w:val="left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a) Moszbatim i vendimeve të ERE-s;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b) Refuzimi i paraqitjes së të dhënave dhe raporteve periodike apo dërgimi me vonesë i tyre ose dërgimi i të dhënave jo të plota dhe të pasakta nga i licencuari. Dërgimi i qëllimshëm i të dhënave të rreme përbën vepër penale, e ndëshkohet konform parashikimeve të Kodit Penal;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c) Moszbatimi i detyrimeve që lidhen me llogaritjen e kostove dhe tarifave, si dhe zbatimin e tyre;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d) Moszbatimi i detyrimeve të shërbimit publik, të parashikuara në nenin 47, të ligjit nr. 43/2015, “Për sektorin e energjisë elektrike”;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e) Moszbatim i detyrimeve për ndarjen e veprimtarive të licencuara;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f) Moszbatimi i detyrimit për mbetjen e llogarive të ndara, sipas neneve 35, 54 dhe 72 të ligjit nr. 43/2015, “Për sektorin e energjisë elektrike”;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g) Moszbatimi i detyrimeve që lidhen me aksesin e palëve të treta në rrjet, siç përcaktohet nga dispozitat e ligjit nr. 43/2015, “Për sektorin e energjisë elektrike” dhe aktet e tjera nënligjore;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h) Moszbatimi i detyrimeve të përcaktuara në kontratat e rregulluara;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i) Mospublikimi informacionit për tarifat dhe kushtet e përgjithshme të aksesit dhe të përdorimit të shërbimeve të rrjetit;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j) Mosparaqitja e programeve të investimeve dhe/ose moskryerja e investimeve të planifikuara, sipas </w:t>
      </w:r>
      <w:r w:rsidRPr="00C77849">
        <w:rPr>
          <w:spacing w:val="-4"/>
          <w:lang w:val="sq-AL"/>
        </w:rPr>
        <w:lastRenderedPageBreak/>
        <w:t>kërkesave të neneve 20, shkronja “f”, 60 dhe 75, të ligjit nr. 43/2015, “Për sektorin e energjisë elektrike” dhe rregullores përkatëse të ERE-s;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k) Shkelja e një prej kushteve e kërkesave të cilësisë së furnizimit, të miratuara nga ERE;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l) Moszbatimi i vendimeve të ERE-s, për zgjidhjen e mosmarrëveshjeve midis të licencuarve;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m) moskryerja e pagesës rregullatore nga ana e të licencuarit brenda afatit të përcaktuar;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n) refuzimi i pjesëmarrësve të tregut për të nënshkruar kontrata të rregulluara brenda 15 ditëve kalendarike;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o) Shkeljet e kushteve të përcaktuara në licencë apo shkeljet e rregullave dhe rregulloreve të ERE-s, që nuk janë përcaktuar në shkronjat e mësipërme. </w:t>
      </w:r>
    </w:p>
    <w:p w:rsidR="00836BAA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2. ERE mund të vendosë gjobë progresive për çdo ditë vonesë në korrigjimin e shkeljes, duke filluar ky afat nga dita e afatit të përcaktuar nga ERE për korrigjimin e saj apo nga legjislacioni në fuqi: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a) Kur i licencuari nuk përmbush vendimin e ERE-s për korrigjimin e një shkeljeje brenda afateve të përcaktuara prej saj, i licencuari dënohet me gjobë në masën 0,1 për qind të xhiros mesatare ditore të vitit financiar paraardhës, për çdo ditë vonese nga dita e afatit të përcaktuar në vendimin përkatës të ERE-s;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b) Kur i licencuari nuk përmbush detyrimin e pagesës rregullatore ndaj ERE-s, dënohet me gjobë në masën 0,2 për qind të xhiros mesatare ditore të vitit financiar paraardhës, për çdo ditë vonese nga dita e përcaktuar për pagesën.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3. Masat e gjobës do të përcaktohen nga ERE, në përputhje me aneksin 1 të kësaj rregulloreje, brenda kufijve si më poshtë: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a) Jo më shumë se 3% e të ardhurave vjetore të vitit financiar paraardhës të të licencuarit;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b) Jo më pak se 0,1% e të ardhurave vjetore të vitit financiar paraardhës të të licencuarit.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4. Gjoba progresive për çdo ditë vonese, nuk mund të kalojë vetë vlerën e gjobës fillestare ose</w:t>
      </w:r>
      <w:r w:rsidRPr="00C77849">
        <w:rPr>
          <w:rFonts w:eastAsia="Calibri"/>
          <w:spacing w:val="-4"/>
          <w:lang w:val="sq-AL"/>
        </w:rPr>
        <w:t xml:space="preserve"> masën e 3% të të ardhurave të vitit paraardhës.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5. Vlera përfundimtare e gjobës do të përcaktohet si zbritje e vlerës fillestare të gjobës me vlerën e kushteve lehtësuese, nëse kjo e fundit mund të aplikohet. 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Neni 6 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Fillimi i hetimit</w:t>
      </w:r>
    </w:p>
    <w:p w:rsidR="00836BAA" w:rsidRPr="00C77849" w:rsidRDefault="00836BAA" w:rsidP="00836BAA">
      <w:pPr>
        <w:pStyle w:val="Hapesira7"/>
        <w:rPr>
          <w:lang w:val="sq-AL"/>
        </w:rPr>
      </w:pPr>
      <w:r w:rsidRPr="00C77849">
        <w:rPr>
          <w:lang w:val="sq-AL"/>
        </w:rPr>
        <w:t xml:space="preserve"> </w:t>
      </w:r>
    </w:p>
    <w:p w:rsidR="00836BAA" w:rsidRPr="00C77849" w:rsidRDefault="00836BAA" w:rsidP="00836BAA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ERE mund të fillojë një hetim për vendosje gjobe, në rastet kur: </w:t>
      </w:r>
    </w:p>
    <w:p w:rsidR="00836BAA" w:rsidRPr="00C77849" w:rsidRDefault="00836BAA" w:rsidP="00836BAA">
      <w:pPr>
        <w:pStyle w:val="ListParagraph"/>
        <w:spacing w:after="0" w:line="240" w:lineRule="auto"/>
        <w:ind w:left="284"/>
        <w:jc w:val="both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a) Ka marrë kryesisht dijeni për një shkelje; </w:t>
      </w:r>
    </w:p>
    <w:p w:rsidR="00836BAA" w:rsidRPr="00C77849" w:rsidRDefault="00836BAA" w:rsidP="00836BAA">
      <w:pPr>
        <w:pStyle w:val="Paragrafi"/>
        <w:rPr>
          <w:lang w:val="sq-AL"/>
        </w:rPr>
      </w:pPr>
      <w:r w:rsidRPr="00C77849">
        <w:rPr>
          <w:lang w:val="sq-AL"/>
        </w:rPr>
        <w:t xml:space="preserve">b) Vihet në dijeni nga një i licencuar tjetër apo nga një subjekt i interesuar për një shkelje; </w:t>
      </w:r>
    </w:p>
    <w:p w:rsidR="00836BAA" w:rsidRPr="00C77849" w:rsidRDefault="00836BAA" w:rsidP="00836BAA">
      <w:pPr>
        <w:pStyle w:val="Paragrafi"/>
        <w:rPr>
          <w:lang w:val="sq-AL"/>
        </w:rPr>
      </w:pPr>
      <w:r w:rsidRPr="00C77849">
        <w:rPr>
          <w:lang w:val="sq-AL"/>
        </w:rPr>
        <w:t>c) Ka dyshimin e arsyeshëm se kushtet e licencës janë shkelur.</w:t>
      </w:r>
    </w:p>
    <w:p w:rsidR="00836BAA" w:rsidRPr="00C77849" w:rsidRDefault="00836BAA" w:rsidP="00836BAA">
      <w:pPr>
        <w:numPr>
          <w:ilvl w:val="0"/>
          <w:numId w:val="1"/>
        </w:numPr>
        <w:spacing w:after="0" w:line="240" w:lineRule="auto"/>
        <w:ind w:left="0" w:firstLine="284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Në çdo rast fillimi i hetimit vendoset me urdhër të administratorit apo vendim të Bordit të ERE-s.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spacing w:after="0" w:line="240" w:lineRule="auto"/>
        <w:ind w:firstLine="0"/>
        <w:jc w:val="center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Neni 7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Shqyrtimi fillestar</w:t>
      </w:r>
    </w:p>
    <w:p w:rsidR="00836BAA" w:rsidRPr="00C77849" w:rsidRDefault="00836BAA" w:rsidP="00836BAA">
      <w:pPr>
        <w:pStyle w:val="Hapesira7"/>
        <w:rPr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1. ERE nuk mund të vendosë për fillimin e një procedure për vendosje gjobe, nëse shkelja e pretenduar apo e konstatuar pas hetimit rezulton se ka më shumë se 5 vjet që ka ndodhur.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2. Në çdo rast që stafi teknik, i cili ka kryer hetimin, konstaton një nga shkeljet e parashikuara në nenin 5, do të përgatisë një informacion/ relacion të detajuar mbi shkeljen/et e konstatuara dhe propozimin për fillimin e procedurës, për vendosje gjobe ndaj të licencuarit.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3. Vendimi i Bordit të ERE-s për të filluar procedurën e vendosjes së gjobës një të licencuari, do t’i njoftohet të licencuarit nga ERE, brenda 5 ditëve pune nga marrja e vendimit të Bordit të ERE-s.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4. Njoftimi për vendosjen e gjobës do të përmbajë: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shkeljen e konstatuar;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masën e gjobës së propozuar;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identitetin e të licencuarit;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- dokumentacionin provues ku mbështetet ven-dosja e gjobës;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të drejtën e të licencuarit për të kthyer përgjigje brenda 10 ditëve kalendarike nga marrja në dijeni, si dhe paraqitjen e argumenteve dhe çdo dokumen-tacioni shkresor mbështetës në funksion të përgjigjes së tyre apo për qëllime të aplikimit të rrethanave lehtësuese. I licencuari ka të drejtë që brenda këtij afati, të kërkojë zhvillimin e një seance dëgjimore për të bërë sqarimet e duhura.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lastRenderedPageBreak/>
        <w:t>5. Në çdo fazë të një procedimi për vendosje gjobe, ERE mund të kryejë seanca dëgjimore me të licencuarin dhe subjektin që ka kërkuar kryerjen e hetimit apo ERE mund të kërkojë dokumente të tjer</w:t>
      </w:r>
      <w:r w:rsidRPr="00C77849">
        <w:rPr>
          <w:spacing w:val="-4"/>
          <w:lang w:val="sq-AL"/>
        </w:rPr>
        <w:tab/>
        <w:t>a të nevojshme për qëllime të procedurës së nisur.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8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Përcaktimi i vlerës fillestare të gjobës </w:t>
      </w:r>
    </w:p>
    <w:p w:rsidR="00836BAA" w:rsidRPr="00C77849" w:rsidRDefault="00836BAA" w:rsidP="00836BAA">
      <w:pPr>
        <w:pStyle w:val="Paragrafi"/>
        <w:rPr>
          <w:spacing w:val="-4"/>
          <w:sz w:val="14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ERE do të përcaktojë vlerën fillestare të gjobës brenda kufirit maksimal dhe minimal të vendosur në ligj. Rëndësia e shkeljes do të përcaktohet sipas kritereve të mëposhtme: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color w:val="000000"/>
          <w:spacing w:val="-4"/>
          <w:lang w:val="sq-AL"/>
        </w:rPr>
        <w:t>a) Rrethanat e kryerjes së kundërvajtjes;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color w:val="000000"/>
          <w:spacing w:val="-4"/>
          <w:lang w:val="sq-AL"/>
        </w:rPr>
        <w:t>b) Nëse kundërvajtësi rezulton i dënuar administrativisht më parë;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color w:val="000000"/>
          <w:spacing w:val="-4"/>
          <w:lang w:val="sq-AL"/>
        </w:rPr>
        <w:t>c) Rëndësinë e kundërvajtjes;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color w:val="000000"/>
          <w:spacing w:val="-4"/>
          <w:lang w:val="sq-AL"/>
        </w:rPr>
        <w:t>d) Pasojat që kanë ardhur nga veprimi apo mosveprimi;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color w:val="000000"/>
          <w:spacing w:val="-4"/>
          <w:lang w:val="sq-AL"/>
        </w:rPr>
        <w:t>e) Nëse kundërvajtësi është dënuar më parë për të njëjtën kundërvajtje.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b/>
          <w:i/>
          <w:spacing w:val="-4"/>
          <w:sz w:val="16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9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Rrethanat e kryerjes së kundërvajtjes</w:t>
      </w:r>
    </w:p>
    <w:p w:rsidR="00836BAA" w:rsidRPr="00C77849" w:rsidRDefault="00836BAA" w:rsidP="00836BAA">
      <w:pPr>
        <w:spacing w:after="0" w:line="240" w:lineRule="auto"/>
        <w:jc w:val="left"/>
        <w:rPr>
          <w:rFonts w:ascii="Garamond" w:hAnsi="Garamond"/>
          <w:spacing w:val="-4"/>
          <w:sz w:val="16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1. Për efekt të llogaritjes së vlerës fillestare të gjobës rrethanat e kryerjes së shkeljes do të konsiderohen të lehta, mesatare apo të rënda.</w:t>
      </w:r>
    </w:p>
    <w:p w:rsidR="00836BAA" w:rsidRPr="00C77849" w:rsidRDefault="00836BAA" w:rsidP="00836BAA">
      <w:pPr>
        <w:spacing w:after="0" w:line="240" w:lineRule="auto"/>
        <w:jc w:val="left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2. Për përcaktimin e niveleve të rrethanave do të merren për bazë kriteret e mëposhtme:</w:t>
      </w:r>
    </w:p>
    <w:p w:rsidR="00836BAA" w:rsidRPr="00C77849" w:rsidRDefault="00836BAA" w:rsidP="00836BAA">
      <w:pPr>
        <w:pStyle w:val="Paragrafi"/>
        <w:rPr>
          <w:lang w:val="sq-AL"/>
        </w:rPr>
      </w:pPr>
      <w:r w:rsidRPr="00C77849">
        <w:rPr>
          <w:lang w:val="sq-AL"/>
        </w:rPr>
        <w:t>a) Pozicioni hierarkik në kompani i personit që ka kryer shkeljen;</w:t>
      </w:r>
    </w:p>
    <w:p w:rsidR="00836BAA" w:rsidRPr="00C77849" w:rsidRDefault="00836BAA" w:rsidP="00836BAA">
      <w:pPr>
        <w:pStyle w:val="Paragrafi"/>
        <w:rPr>
          <w:lang w:val="sq-AL"/>
        </w:rPr>
      </w:pPr>
      <w:r w:rsidRPr="00C77849">
        <w:rPr>
          <w:lang w:val="sq-AL"/>
        </w:rPr>
        <w:t>b) Mungesa e modeleve organizative dhe të rregullave të menaxhimit korrekt, me qëllim parandalimin e kryerjes së shkeljes;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c) Përpjekjet për të fshehur shkeljen.</w:t>
      </w:r>
    </w:p>
    <w:p w:rsidR="00836BAA" w:rsidRPr="00C77849" w:rsidRDefault="00836BAA" w:rsidP="00836BA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pacing w:val="-4"/>
          <w:sz w:val="16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10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Subjekti me precedentë dënimi administrativ</w:t>
      </w:r>
    </w:p>
    <w:p w:rsidR="00836BAA" w:rsidRPr="00C77849" w:rsidRDefault="00836BAA" w:rsidP="00836BAA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Nëse i licencuari është dënuar më parë për shkelje të legjislacionit të sektorit të energjisë, është dënuar më parë për të njëjtën kundërvajtje administrative, gjoba përfundimtare e parashikuar për llojin e kundërvajtjes, do të rritet në masën 10% të vlerës së gjobës minimale të</w:t>
      </w:r>
      <w:r w:rsidRPr="00C77849">
        <w:rPr>
          <w:rFonts w:ascii="Garamond" w:hAnsi="Garamond"/>
          <w:spacing w:val="-4"/>
          <w:sz w:val="24"/>
          <w:szCs w:val="24"/>
          <w:lang w:val="sq-AL"/>
        </w:rPr>
        <w:tab/>
        <w:t xml:space="preserve"> kriterit përkatës të parashikuar në aneksin 1.</w:t>
      </w:r>
    </w:p>
    <w:p w:rsidR="00836BAA" w:rsidRPr="00C77849" w:rsidRDefault="00836BAA" w:rsidP="00836BAA">
      <w:pPr>
        <w:spacing w:after="0" w:line="240" w:lineRule="auto"/>
        <w:outlineLvl w:val="0"/>
        <w:rPr>
          <w:rFonts w:ascii="Garamond" w:hAnsi="Garamond"/>
          <w:b/>
          <w:spacing w:val="-4"/>
          <w:sz w:val="16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11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Rëndësia e shkeljes së kryer</w:t>
      </w:r>
    </w:p>
    <w:p w:rsidR="00836BAA" w:rsidRPr="00C77849" w:rsidRDefault="00836BAA" w:rsidP="00836BAA">
      <w:pPr>
        <w:pStyle w:val="Paragrafi"/>
        <w:rPr>
          <w:spacing w:val="-4"/>
          <w:sz w:val="16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Për efekt të llogaritjes së rëndësisë së shkeljes së kryer, ato do të konsiderohen të rëndësisë së ulët, mesatare apo të lartë.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Për përcaktimin e nivelit të rëndësisë së shkeljes së kryer do të merret për bazë:</w:t>
      </w:r>
    </w:p>
    <w:p w:rsidR="00836BAA" w:rsidRPr="00C77849" w:rsidRDefault="00836BAA" w:rsidP="00836BAA">
      <w:pPr>
        <w:pStyle w:val="Paragrafi"/>
        <w:rPr>
          <w:i/>
          <w:spacing w:val="-4"/>
          <w:lang w:val="sq-AL"/>
        </w:rPr>
      </w:pPr>
      <w:r w:rsidRPr="00C77849">
        <w:rPr>
          <w:spacing w:val="-4"/>
          <w:lang w:val="sq-AL"/>
        </w:rPr>
        <w:t>a) Përfitimi financiar i realizuar nga i licencuari, i cili do të llogaritet mbi bazën e raportit të të ardhurave të përfituara me të ardhurat vjetore të vitit paraardhës të të licencuarit;</w:t>
      </w:r>
    </w:p>
    <w:p w:rsidR="00836BAA" w:rsidRPr="00C77849" w:rsidRDefault="00836BAA" w:rsidP="00836BAA">
      <w:pPr>
        <w:pStyle w:val="Paragrafi"/>
        <w:rPr>
          <w:i/>
          <w:spacing w:val="-4"/>
          <w:lang w:val="sq-AL"/>
        </w:rPr>
      </w:pPr>
      <w:r w:rsidRPr="00C77849">
        <w:rPr>
          <w:spacing w:val="-4"/>
          <w:lang w:val="sq-AL"/>
        </w:rPr>
        <w:t>b) Dëmi i shkaktuar në palë të treta.</w:t>
      </w:r>
    </w:p>
    <w:p w:rsidR="00836BAA" w:rsidRPr="00C77849" w:rsidRDefault="00836BAA" w:rsidP="00836BAA">
      <w:pPr>
        <w:pStyle w:val="Paragrafi"/>
        <w:rPr>
          <w:b/>
          <w:spacing w:val="-4"/>
          <w:sz w:val="16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12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Pasojat që kanë ardhur nga veprimi apo mosveprimi </w:t>
      </w:r>
    </w:p>
    <w:p w:rsidR="00836BAA" w:rsidRPr="00C77849" w:rsidRDefault="00836BAA" w:rsidP="00836BAA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1. Për efekt të llogaritjes së vlerës fillestare të gjobës, pasojat që kanë ardhur nga veprimi apo mosveprimi i të licencuarit do të konsiderohen të nivelit të ulët, mesatar apo të lartë.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Për përcaktimin e niveleve të pasojave do të merren për bazë kriteret e mëposhtme: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a) Dëmi i shkaktuar apo rritja e kostove të shkaktuara konsumatorëve apo pjesëmarrësve në treg;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b) Numri i klientëve të përfshirë;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c) Rritja e dominancës në treg të të licencuarit;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d) Pengimi i punës së rregullatorit në kryerjen e funksioneve të veta ligjore për monitorimin dhe kontrollimin e të licencuarit.</w:t>
      </w: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lastRenderedPageBreak/>
        <w:t>Neni 13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Lehtësimi nga gjoba</w:t>
      </w:r>
    </w:p>
    <w:p w:rsidR="00836BAA" w:rsidRPr="00C77849" w:rsidRDefault="00836BAA" w:rsidP="00836BAA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pacing w:val="-4"/>
          <w:sz w:val="18"/>
          <w:szCs w:val="24"/>
          <w:lang w:val="sq-AL"/>
        </w:rPr>
      </w:pPr>
    </w:p>
    <w:p w:rsidR="00836BAA" w:rsidRPr="00C77849" w:rsidRDefault="00836BAA" w:rsidP="00836BAA">
      <w:pPr>
        <w:pStyle w:val="Paragrafi"/>
        <w:rPr>
          <w:b/>
          <w:spacing w:val="-4"/>
          <w:lang w:val="sq-AL"/>
        </w:rPr>
      </w:pPr>
      <w:r w:rsidRPr="00C77849">
        <w:rPr>
          <w:spacing w:val="-4"/>
          <w:lang w:val="sq-AL"/>
        </w:rPr>
        <w:t>1. ERE do të konsiderojë se i licencuari plotëson kushtet për lehtësimin në vlerën e gjobës, kur gjatë hetimit rezulton se ekzistojnë një ose të gjitha rrethanat, si më poshtë: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a) Në masën 50 për qind, në rastet kur shkelja, për të cilën parashikohet gjoba, është njoftuar nga vetë i licencuari;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b) Në masën 1/3, në rastet kur i licencuari bashkëpunon në mënyrë aktive në procesin e hetimit administrativ të ERE-s, për konstatimin e shkeljes në fjalë; 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c) Në masën 40 për qind, në rastet kur i licencuari provon se ka ndërmarrë veprime konkrete për përmirësimin apo zhdukjen e pasojave që ka shkaktuar shkelja, përpara ose gjatë konstatimit të shkeljes nga ERE.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d) Do të konsiderohen veprime që çojnë në përmirësimin e tregut, veprimet të cilat pavarësisht shkeljes kanë ndikuar në përmirësimin e standar-deve të shërbimit, konkurrencës, eficiencën në treg etj.</w:t>
      </w:r>
    </w:p>
    <w:p w:rsidR="00836BAA" w:rsidRPr="00C77849" w:rsidRDefault="00836BAA" w:rsidP="00836BAA">
      <w:pPr>
        <w:spacing w:after="0" w:line="240" w:lineRule="auto"/>
        <w:jc w:val="center"/>
        <w:outlineLvl w:val="0"/>
        <w:rPr>
          <w:rFonts w:ascii="Garamond" w:hAnsi="Garamond"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14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Propozimi përfundimtar</w:t>
      </w:r>
    </w:p>
    <w:p w:rsidR="00836BAA" w:rsidRPr="00C77849" w:rsidRDefault="00836BAA" w:rsidP="00836BAA">
      <w:pPr>
        <w:pStyle w:val="Paragrafi"/>
        <w:rPr>
          <w:spacing w:val="-4"/>
          <w:sz w:val="16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Pas marrjes së përgjigjes me shkrim nga i licencuari, brenda afatit të përcaktuar më sipër, personat e ngarkuar që ndjekin këtë procedurë në ERE, do të shqyrtojnë këtë përgjigje brenda afatit të vendosur nga Bordi i ERE-s dhe do të përgatisin një relacion për Bordin mbi argumentet e paraqitura në përgjigjen e të licencuarit, rrethanat lehtësuese dhe gjithë dokumentacionin mbështetës, nëse ka dhe do t’i propozojnë Bordit të ERE-s përmbylljen e procedurës së nisur për vendosjen e gjobës, vlerën fillestare të gjobës dhe nëse ekzistojnë kushtet për uljen e vlerës së gjobës së propozuar apo mosgjobitjen e të licencuarit për moskonstatim të shkeljes.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Bordi i ERE-s mund të vendosë të mos gjobisë të licencuarin, sipas propozimit të stafit teknik nëse konstaton se faktet e paraqitura nuk provojnë shkeljen.</w:t>
      </w:r>
    </w:p>
    <w:p w:rsidR="00836BAA" w:rsidRPr="00C77849" w:rsidRDefault="00836BAA" w:rsidP="00836BAA">
      <w:pPr>
        <w:pStyle w:val="Paragrafi"/>
        <w:rPr>
          <w:spacing w:val="-4"/>
          <w:sz w:val="1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15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Vendimi i Bordit</w:t>
      </w:r>
    </w:p>
    <w:p w:rsidR="00836BAA" w:rsidRPr="00C77849" w:rsidRDefault="00836BAA" w:rsidP="00836BAA">
      <w:pPr>
        <w:pStyle w:val="Paragrafi"/>
        <w:rPr>
          <w:spacing w:val="-4"/>
          <w:sz w:val="16"/>
          <w:lang w:val="sq-AL"/>
        </w:rPr>
      </w:pP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Me marrjen e informacionit të detajuar me të dhënat sipas dispozitave të mësipërme të kësaj rregulloreje dhe pasi është njohur me përgjigjen e të licencuarit, Bordi i ERE-s do të vendosë për ndëshkimin ose jo të të licencuarit dhe vlerën përkatëse të gjobës.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Në përfundim të një procedure për vendosjen e gjobës një subjekti të licencuar, ERE do të njoftojë të licencuarin mbi përfundimin e procedurës së nisur ndaj tij, si dhe do t’i dërgojë një kopje të vendimit të Bordit, brenda 7 ditëve kalendarike nga marrja e vendimit.</w:t>
      </w:r>
    </w:p>
    <w:p w:rsidR="00836BAA" w:rsidRPr="00C77849" w:rsidRDefault="00836BAA" w:rsidP="00836BA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3. Gjoba e vendosur nga Bordi i ERE-s përbën titull ekzekutiv dhe do të ekzekutohet në përputhje me Kodin e Procedurës Civile.</w:t>
      </w:r>
    </w:p>
    <w:p w:rsidR="00836BAA" w:rsidRPr="002A5A51" w:rsidRDefault="00836BAA" w:rsidP="00836BA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16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Apelimi i vendimit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16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Kundër vendimit të Bordit të Komisionerëve për vendosje të gjobës, i licencuari mund të bëjë ankim në përputhje me ligjin nr. 43/2015, “Për sektorin e energjisë elektrike”. </w:t>
      </w:r>
    </w:p>
    <w:p w:rsidR="00836BAA" w:rsidRDefault="00836BAA" w:rsidP="00836BAA">
      <w:pPr>
        <w:spacing w:after="0" w:line="240" w:lineRule="auto"/>
        <w:ind w:firstLine="0"/>
        <w:jc w:val="center"/>
        <w:outlineLv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ind w:firstLine="0"/>
        <w:jc w:val="center"/>
        <w:outlineLvl w:val="0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PJESA E TRETË</w:t>
      </w:r>
    </w:p>
    <w:p w:rsidR="00836BAA" w:rsidRPr="00C77849" w:rsidRDefault="00836BAA" w:rsidP="00836BAA">
      <w:pPr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DISPOZITA TË FUNDIT</w:t>
      </w:r>
    </w:p>
    <w:p w:rsidR="00836BAA" w:rsidRPr="00C77849" w:rsidRDefault="00836BAA" w:rsidP="00836BAA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17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Amendamente të rregullores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Këto rregulla janë objekt rishikimi dhe ndry-shimi me vendim të Bordit të ERE-s, në përputhje me “Rregulloren për organizimin, funksionimin dhe procedurat e ERE-s”.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18</w:t>
      </w:r>
    </w:p>
    <w:p w:rsidR="00836BAA" w:rsidRPr="00C77849" w:rsidRDefault="00836BAA" w:rsidP="00836BA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Hyrja në fuqi</w:t>
      </w:r>
    </w:p>
    <w:p w:rsidR="00836BAA" w:rsidRPr="002A5A51" w:rsidRDefault="00836BAA" w:rsidP="00836BAA">
      <w:pPr>
        <w:spacing w:after="0" w:line="240" w:lineRule="auto"/>
        <w:jc w:val="center"/>
        <w:outlineLvl w:val="0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lastRenderedPageBreak/>
        <w:t>Kjo rregullore dhe pjesët përbërëse të saj, hyjnë në fuqi pas publikimit në Fletoren Zyrtare të Republikës së Shqipërisë.</w:t>
      </w: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outlineLv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outlineLv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836BAA" w:rsidRPr="00C77849" w:rsidRDefault="00836BAA" w:rsidP="00836BAA">
      <w:pPr>
        <w:spacing w:after="0" w:line="240" w:lineRule="auto"/>
        <w:outlineLvl w:val="0"/>
        <w:rPr>
          <w:rFonts w:ascii="Garamond" w:hAnsi="Garamond"/>
          <w:sz w:val="24"/>
          <w:szCs w:val="24"/>
          <w:lang w:val="sq-AL"/>
        </w:rPr>
        <w:sectPr w:rsidR="00836BAA" w:rsidRPr="00C77849" w:rsidSect="00EB5A44">
          <w:headerReference w:type="even" r:id="rId8"/>
          <w:headerReference w:type="default" r:id="rId9"/>
          <w:footerReference w:type="even" r:id="rId10"/>
          <w:footerReference w:type="default" r:id="rId11"/>
          <w:pgSz w:w="11907" w:h="16840" w:code="9"/>
          <w:pgMar w:top="720" w:right="1134" w:bottom="720" w:left="1134" w:header="851" w:footer="851" w:gutter="0"/>
          <w:pgNumType w:start="11827"/>
          <w:cols w:space="461"/>
          <w:docGrid w:linePitch="360"/>
        </w:sectPr>
      </w:pPr>
    </w:p>
    <w:p w:rsidR="00836BAA" w:rsidRPr="00C77849" w:rsidRDefault="00836BAA" w:rsidP="00836BAA">
      <w:pPr>
        <w:spacing w:after="0" w:line="240" w:lineRule="auto"/>
        <w:ind w:firstLine="0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C77849">
        <w:rPr>
          <w:rFonts w:ascii="Garamond" w:hAnsi="Garamond"/>
          <w:sz w:val="24"/>
          <w:szCs w:val="24"/>
          <w:lang w:val="sq-AL"/>
        </w:rPr>
        <w:lastRenderedPageBreak/>
        <w:t>ANEKSI 1</w:t>
      </w:r>
    </w:p>
    <w:p w:rsidR="00836BAA" w:rsidRPr="00C77849" w:rsidRDefault="00836BAA" w:rsidP="00836BAA">
      <w:pPr>
        <w:spacing w:after="0" w:line="240" w:lineRule="auto"/>
        <w:ind w:firstLine="0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C77849">
        <w:rPr>
          <w:rFonts w:ascii="Garamond" w:hAnsi="Garamond"/>
          <w:sz w:val="24"/>
          <w:szCs w:val="24"/>
          <w:lang w:val="sq-AL"/>
        </w:rPr>
        <w:t>TABELA PËR LLOGARITJEN E VLERËS PËRFUNDIMTARE TË GJOBËS</w:t>
      </w:r>
    </w:p>
    <w:p w:rsidR="00836BAA" w:rsidRPr="00C77849" w:rsidRDefault="00836BAA" w:rsidP="00836BAA">
      <w:pPr>
        <w:spacing w:after="0" w:line="240" w:lineRule="auto"/>
        <w:ind w:firstLine="0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774"/>
        <w:gridCol w:w="2067"/>
        <w:gridCol w:w="1447"/>
        <w:gridCol w:w="948"/>
        <w:gridCol w:w="668"/>
      </w:tblGrid>
      <w:tr w:rsidR="00836BAA" w:rsidRPr="00C77849" w:rsidTr="00D504B8">
        <w:trPr>
          <w:jc w:val="center"/>
        </w:trPr>
        <w:tc>
          <w:tcPr>
            <w:tcW w:w="8856" w:type="dxa"/>
            <w:gridSpan w:val="6"/>
            <w:tcBorders>
              <w:bottom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b/>
                <w:sz w:val="20"/>
                <w:szCs w:val="20"/>
                <w:lang w:val="sq-AL"/>
              </w:rPr>
              <w:t>Faza I</w:t>
            </w: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: Fiksimi i vlerës fillestare të gjobës, në varësi të rëndësisë së shkeljes</w:t>
            </w:r>
          </w:p>
        </w:tc>
      </w:tr>
      <w:tr w:rsidR="00836BAA" w:rsidRPr="00C77849" w:rsidTr="00D504B8">
        <w:trPr>
          <w:trHeight w:val="320"/>
          <w:jc w:val="center"/>
        </w:trPr>
        <w:tc>
          <w:tcPr>
            <w:tcW w:w="8856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Kriteret e rëndësisë së shkeljes</w:t>
            </w:r>
          </w:p>
        </w:tc>
      </w:tr>
      <w:tr w:rsidR="00836BAA" w:rsidRPr="00C77849" w:rsidTr="00D504B8">
        <w:trPr>
          <w:trHeight w:val="272"/>
          <w:jc w:val="center"/>
        </w:trPr>
        <w:tc>
          <w:tcPr>
            <w:tcW w:w="3726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Kohëzgjatja e shkeljes dhe shtrirja territoriale e saj</w:t>
            </w: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25 %</w:t>
            </w:r>
          </w:p>
        </w:tc>
        <w:tc>
          <w:tcPr>
            <w:tcW w:w="1447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E shkurtër</w:t>
            </w:r>
          </w:p>
        </w:tc>
        <w:tc>
          <w:tcPr>
            <w:tcW w:w="1616" w:type="dxa"/>
            <w:gridSpan w:val="2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2 %</w:t>
            </w:r>
          </w:p>
        </w:tc>
      </w:tr>
      <w:tr w:rsidR="00836BAA" w:rsidRPr="00C77849" w:rsidTr="00D504B8">
        <w:trPr>
          <w:trHeight w:val="132"/>
          <w:jc w:val="center"/>
        </w:trPr>
        <w:tc>
          <w:tcPr>
            <w:tcW w:w="3726" w:type="dxa"/>
            <w:gridSpan w:val="2"/>
            <w:vMerge/>
            <w:shd w:val="clear" w:color="auto" w:fill="auto"/>
            <w:vAlign w:val="center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E mesme</w:t>
            </w:r>
          </w:p>
        </w:tc>
        <w:tc>
          <w:tcPr>
            <w:tcW w:w="1616" w:type="dxa"/>
            <w:gridSpan w:val="2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6%</w:t>
            </w:r>
          </w:p>
        </w:tc>
      </w:tr>
      <w:tr w:rsidR="00836BAA" w:rsidRPr="00C77849" w:rsidTr="00D504B8">
        <w:trPr>
          <w:trHeight w:val="98"/>
          <w:jc w:val="center"/>
        </w:trPr>
        <w:tc>
          <w:tcPr>
            <w:tcW w:w="3726" w:type="dxa"/>
            <w:gridSpan w:val="2"/>
            <w:vMerge/>
            <w:shd w:val="clear" w:color="auto" w:fill="auto"/>
            <w:vAlign w:val="center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E gjatë</w:t>
            </w:r>
          </w:p>
        </w:tc>
        <w:tc>
          <w:tcPr>
            <w:tcW w:w="1616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12 %</w:t>
            </w:r>
          </w:p>
        </w:tc>
      </w:tr>
      <w:tr w:rsidR="00836BAA" w:rsidRPr="00C77849" w:rsidTr="00D504B8">
        <w:trPr>
          <w:trHeight w:val="132"/>
          <w:jc w:val="center"/>
        </w:trPr>
        <w:tc>
          <w:tcPr>
            <w:tcW w:w="3726" w:type="dxa"/>
            <w:gridSpan w:val="2"/>
            <w:vMerge/>
            <w:shd w:val="clear" w:color="auto" w:fill="auto"/>
            <w:vAlign w:val="center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Lokale</w:t>
            </w:r>
          </w:p>
        </w:tc>
        <w:tc>
          <w:tcPr>
            <w:tcW w:w="1616" w:type="dxa"/>
            <w:gridSpan w:val="2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2 %</w:t>
            </w:r>
          </w:p>
        </w:tc>
      </w:tr>
      <w:tr w:rsidR="00836BAA" w:rsidRPr="00C77849" w:rsidTr="00D504B8">
        <w:trPr>
          <w:trHeight w:val="132"/>
          <w:jc w:val="center"/>
        </w:trPr>
        <w:tc>
          <w:tcPr>
            <w:tcW w:w="3726" w:type="dxa"/>
            <w:gridSpan w:val="2"/>
            <w:vMerge/>
            <w:shd w:val="clear" w:color="auto" w:fill="auto"/>
            <w:vAlign w:val="center"/>
          </w:tcPr>
          <w:p w:rsidR="00836BAA" w:rsidRPr="00C77849" w:rsidRDefault="00836BAA" w:rsidP="00836BAA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Rajonale</w:t>
            </w:r>
          </w:p>
        </w:tc>
        <w:tc>
          <w:tcPr>
            <w:tcW w:w="1616" w:type="dxa"/>
            <w:gridSpan w:val="2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4 %</w:t>
            </w:r>
          </w:p>
        </w:tc>
      </w:tr>
      <w:tr w:rsidR="00836BAA" w:rsidRPr="00C77849" w:rsidTr="00D504B8">
        <w:trPr>
          <w:trHeight w:val="70"/>
          <w:jc w:val="center"/>
        </w:trPr>
        <w:tc>
          <w:tcPr>
            <w:tcW w:w="3726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36BAA" w:rsidRPr="00C77849" w:rsidRDefault="00836BAA" w:rsidP="00836BAA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Kombëtare</w:t>
            </w:r>
          </w:p>
        </w:tc>
        <w:tc>
          <w:tcPr>
            <w:tcW w:w="1616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</w:tr>
      <w:tr w:rsidR="00836BAA" w:rsidRPr="00C77849" w:rsidTr="00D504B8">
        <w:trPr>
          <w:trHeight w:val="20"/>
          <w:jc w:val="center"/>
        </w:trPr>
        <w:tc>
          <w:tcPr>
            <w:tcW w:w="3726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Ndikimi i shkeljes në funksionimin e tregut të energjisë</w:t>
            </w: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25 %</w:t>
            </w:r>
          </w:p>
        </w:tc>
        <w:tc>
          <w:tcPr>
            <w:tcW w:w="1447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I ul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t</w:t>
            </w:r>
          </w:p>
        </w:tc>
        <w:tc>
          <w:tcPr>
            <w:tcW w:w="1616" w:type="dxa"/>
            <w:gridSpan w:val="2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2 %</w:t>
            </w:r>
          </w:p>
        </w:tc>
      </w:tr>
      <w:tr w:rsidR="00836BAA" w:rsidRPr="00C77849" w:rsidTr="00D504B8">
        <w:trPr>
          <w:trHeight w:val="20"/>
          <w:jc w:val="center"/>
        </w:trPr>
        <w:tc>
          <w:tcPr>
            <w:tcW w:w="3726" w:type="dxa"/>
            <w:gridSpan w:val="2"/>
            <w:vMerge/>
            <w:shd w:val="clear" w:color="auto" w:fill="auto"/>
            <w:vAlign w:val="center"/>
          </w:tcPr>
          <w:p w:rsidR="00836BAA" w:rsidRPr="00C77849" w:rsidRDefault="00836BAA" w:rsidP="00836BAA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I mesëm</w:t>
            </w:r>
          </w:p>
        </w:tc>
        <w:tc>
          <w:tcPr>
            <w:tcW w:w="1616" w:type="dxa"/>
            <w:gridSpan w:val="2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6 %</w:t>
            </w:r>
          </w:p>
        </w:tc>
      </w:tr>
      <w:tr w:rsidR="00836BAA" w:rsidRPr="00C77849" w:rsidTr="00D504B8">
        <w:trPr>
          <w:trHeight w:val="20"/>
          <w:jc w:val="center"/>
        </w:trPr>
        <w:tc>
          <w:tcPr>
            <w:tcW w:w="3726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36BAA" w:rsidRPr="00C77849" w:rsidRDefault="00836BAA" w:rsidP="00836BAA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I lartë</w:t>
            </w:r>
          </w:p>
        </w:tc>
        <w:tc>
          <w:tcPr>
            <w:tcW w:w="1616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13 %</w:t>
            </w:r>
          </w:p>
        </w:tc>
      </w:tr>
      <w:tr w:rsidR="00836BAA" w:rsidRPr="00C77849" w:rsidTr="00D504B8">
        <w:trPr>
          <w:trHeight w:val="20"/>
          <w:jc w:val="center"/>
        </w:trPr>
        <w:tc>
          <w:tcPr>
            <w:tcW w:w="3726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Përfitimi ekomomik i realizuar nga i licencuari si pasojë e shkeljes</w:t>
            </w:r>
          </w:p>
        </w:tc>
        <w:tc>
          <w:tcPr>
            <w:tcW w:w="206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25 %</w:t>
            </w:r>
          </w:p>
        </w:tc>
        <w:tc>
          <w:tcPr>
            <w:tcW w:w="1447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I ultë</w:t>
            </w:r>
          </w:p>
        </w:tc>
        <w:tc>
          <w:tcPr>
            <w:tcW w:w="1616" w:type="dxa"/>
            <w:gridSpan w:val="2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4 %</w:t>
            </w:r>
          </w:p>
        </w:tc>
      </w:tr>
      <w:tr w:rsidR="00836BAA" w:rsidRPr="00C77849" w:rsidTr="00D504B8">
        <w:trPr>
          <w:trHeight w:val="265"/>
          <w:jc w:val="center"/>
        </w:trPr>
        <w:tc>
          <w:tcPr>
            <w:tcW w:w="3726" w:type="dxa"/>
            <w:gridSpan w:val="2"/>
            <w:vMerge/>
            <w:shd w:val="clear" w:color="auto" w:fill="auto"/>
            <w:vAlign w:val="center"/>
          </w:tcPr>
          <w:p w:rsidR="00836BAA" w:rsidRPr="00C77849" w:rsidRDefault="00836BAA" w:rsidP="00836BAA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Mesatar</w:t>
            </w:r>
          </w:p>
        </w:tc>
        <w:tc>
          <w:tcPr>
            <w:tcW w:w="1616" w:type="dxa"/>
            <w:gridSpan w:val="2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8 %</w:t>
            </w:r>
          </w:p>
        </w:tc>
      </w:tr>
      <w:tr w:rsidR="00836BAA" w:rsidRPr="00C77849" w:rsidTr="00D504B8">
        <w:trPr>
          <w:trHeight w:val="116"/>
          <w:jc w:val="center"/>
        </w:trPr>
        <w:tc>
          <w:tcPr>
            <w:tcW w:w="3726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36BAA" w:rsidRPr="00C77849" w:rsidRDefault="00836BAA" w:rsidP="00836BAA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I lartë</w:t>
            </w:r>
          </w:p>
        </w:tc>
        <w:tc>
          <w:tcPr>
            <w:tcW w:w="1616" w:type="dxa"/>
            <w:gridSpan w:val="2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12 %</w:t>
            </w:r>
          </w:p>
        </w:tc>
      </w:tr>
      <w:tr w:rsidR="00836BAA" w:rsidRPr="00C77849" w:rsidTr="00D504B8">
        <w:trPr>
          <w:trHeight w:val="20"/>
          <w:jc w:val="center"/>
        </w:trPr>
        <w:tc>
          <w:tcPr>
            <w:tcW w:w="3726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36BAA" w:rsidRPr="00C77849" w:rsidRDefault="00836BAA" w:rsidP="00836BAA">
            <w:pPr>
              <w:numPr>
                <w:ilvl w:val="0"/>
                <w:numId w:val="5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Lloji i fajësisë së të licencuarit</w:t>
            </w:r>
          </w:p>
        </w:tc>
        <w:tc>
          <w:tcPr>
            <w:tcW w:w="206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25 %</w:t>
            </w:r>
          </w:p>
        </w:tc>
        <w:tc>
          <w:tcPr>
            <w:tcW w:w="1447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Dashje</w:t>
            </w:r>
          </w:p>
        </w:tc>
        <w:tc>
          <w:tcPr>
            <w:tcW w:w="1616" w:type="dxa"/>
            <w:gridSpan w:val="2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17 %</w:t>
            </w:r>
          </w:p>
        </w:tc>
      </w:tr>
      <w:tr w:rsidR="00836BAA" w:rsidRPr="00C77849" w:rsidTr="00D504B8">
        <w:trPr>
          <w:trHeight w:val="189"/>
          <w:jc w:val="center"/>
        </w:trPr>
        <w:tc>
          <w:tcPr>
            <w:tcW w:w="3726" w:type="dxa"/>
            <w:gridSpan w:val="2"/>
            <w:vMerge/>
            <w:shd w:val="clear" w:color="auto" w:fill="auto"/>
          </w:tcPr>
          <w:p w:rsidR="00836BAA" w:rsidRPr="00C77849" w:rsidRDefault="00836BAA" w:rsidP="00836BAA">
            <w:pPr>
              <w:numPr>
                <w:ilvl w:val="0"/>
                <w:numId w:val="3"/>
              </w:num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67" w:type="dxa"/>
            <w:vMerge/>
            <w:shd w:val="clear" w:color="auto" w:fill="auto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47" w:type="dxa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Pakujdesia</w:t>
            </w:r>
          </w:p>
        </w:tc>
        <w:tc>
          <w:tcPr>
            <w:tcW w:w="1616" w:type="dxa"/>
            <w:gridSpan w:val="2"/>
            <w:shd w:val="clear" w:color="auto" w:fill="auto"/>
            <w:vAlign w:val="bottom"/>
          </w:tcPr>
          <w:p w:rsidR="00836BAA" w:rsidRPr="00C77849" w:rsidRDefault="00836BAA" w:rsidP="00D504B8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8 %</w:t>
            </w:r>
          </w:p>
        </w:tc>
      </w:tr>
      <w:tr w:rsidR="00836BAA" w:rsidRPr="00C77849" w:rsidTr="00D504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8856" w:type="dxa"/>
            <w:gridSpan w:val="6"/>
          </w:tcPr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b/>
                <w:sz w:val="20"/>
                <w:szCs w:val="20"/>
                <w:lang w:val="sq-AL"/>
              </w:rPr>
              <w:t>Faza II</w:t>
            </w: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 xml:space="preserve">: Llogaritja e gjobës përfundimtare do të bëhet sipas formulës: </w:t>
            </w:r>
          </w:p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Gj= VFGj-KL</w:t>
            </w:r>
          </w:p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ku: GJ = Gjoba</w:t>
            </w:r>
          </w:p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VFGJ = Vlera fillestare</w:t>
            </w:r>
          </w:p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 xml:space="preserve">KL = Kushtet lehtësuese </w:t>
            </w:r>
          </w:p>
        </w:tc>
      </w:tr>
      <w:tr w:rsidR="00836BAA" w:rsidRPr="00C77849" w:rsidTr="00D504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2952" w:type="dxa"/>
          </w:tcPr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 xml:space="preserve">Kushtet lehtësuese </w:t>
            </w:r>
          </w:p>
        </w:tc>
        <w:tc>
          <w:tcPr>
            <w:tcW w:w="5236" w:type="dxa"/>
            <w:gridSpan w:val="4"/>
          </w:tcPr>
          <w:p w:rsidR="00836BAA" w:rsidRPr="00C77849" w:rsidRDefault="00836BAA" w:rsidP="00836BA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 xml:space="preserve"> Shkelja për të cilën parashikohet gjobë deklarohet nga vetë i licencuari</w:t>
            </w:r>
          </w:p>
        </w:tc>
        <w:tc>
          <w:tcPr>
            <w:tcW w:w="668" w:type="dxa"/>
          </w:tcPr>
          <w:p w:rsidR="00836BAA" w:rsidRPr="00C77849" w:rsidRDefault="00836BAA" w:rsidP="00D504B8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50%</w:t>
            </w:r>
          </w:p>
        </w:tc>
      </w:tr>
      <w:tr w:rsidR="00836BAA" w:rsidRPr="00C77849" w:rsidTr="00D504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2952" w:type="dxa"/>
          </w:tcPr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36" w:type="dxa"/>
            <w:gridSpan w:val="4"/>
          </w:tcPr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2. I licencuari bashkëpunon në mënyrë efikase në procesin e investigimit të rregullatorit për shkeljen në fjalë</w:t>
            </w:r>
          </w:p>
        </w:tc>
        <w:tc>
          <w:tcPr>
            <w:tcW w:w="668" w:type="dxa"/>
          </w:tcPr>
          <w:p w:rsidR="00836BAA" w:rsidRPr="00C77849" w:rsidRDefault="00836BAA" w:rsidP="00D504B8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33%</w:t>
            </w:r>
          </w:p>
        </w:tc>
      </w:tr>
      <w:tr w:rsidR="00836BAA" w:rsidRPr="00C77849" w:rsidTr="00D504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2952" w:type="dxa"/>
          </w:tcPr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36" w:type="dxa"/>
            <w:gridSpan w:val="4"/>
          </w:tcPr>
          <w:p w:rsidR="00836BAA" w:rsidRPr="00C77849" w:rsidRDefault="00836BAA" w:rsidP="00D504B8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3. I licencuari demonstron se ka bërë veprime që çojnë në përmirësimin e tregut të rregulluar</w:t>
            </w:r>
          </w:p>
        </w:tc>
        <w:tc>
          <w:tcPr>
            <w:tcW w:w="668" w:type="dxa"/>
          </w:tcPr>
          <w:p w:rsidR="00836BAA" w:rsidRPr="00C77849" w:rsidRDefault="00836BAA" w:rsidP="00D504B8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7849">
              <w:rPr>
                <w:rFonts w:ascii="Garamond" w:hAnsi="Garamond"/>
                <w:sz w:val="20"/>
                <w:szCs w:val="20"/>
                <w:lang w:val="sq-AL"/>
              </w:rPr>
              <w:t>40%</w:t>
            </w:r>
          </w:p>
        </w:tc>
      </w:tr>
    </w:tbl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5A44">
      <w:pPr>
        <w:spacing w:after="0" w:line="240" w:lineRule="auto"/>
      </w:pPr>
      <w:r>
        <w:separator/>
      </w:r>
    </w:p>
  </w:endnote>
  <w:endnote w:type="continuationSeparator" w:id="0">
    <w:p w:rsidR="00000000" w:rsidRDefault="00EB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53D" w:rsidRDefault="00EB5A44">
    <w:pPr>
      <w:pStyle w:val="Footer"/>
    </w:pPr>
    <w:sdt>
      <w:sdtPr>
        <w:id w:val="-1477137207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  <w:sz w:val="24"/>
          <w:szCs w:val="24"/>
        </w:rPr>
      </w:sdtEndPr>
      <w:sdtContent>
        <w:r w:rsidR="00836BAA" w:rsidRPr="00B4283E">
          <w:rPr>
            <w:rFonts w:ascii="Garamond" w:hAnsi="Garamond"/>
            <w:sz w:val="24"/>
            <w:szCs w:val="24"/>
          </w:rPr>
          <w:t>Faqe|</w:t>
        </w:r>
        <w:r w:rsidR="00836BAA" w:rsidRPr="00B4283E">
          <w:rPr>
            <w:rFonts w:ascii="Garamond" w:hAnsi="Garamond"/>
            <w:sz w:val="24"/>
            <w:szCs w:val="24"/>
          </w:rPr>
          <w:fldChar w:fldCharType="begin"/>
        </w:r>
        <w:r w:rsidR="00836BAA"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836BAA" w:rsidRPr="00B4283E">
          <w:rPr>
            <w:rFonts w:ascii="Garamond" w:hAnsi="Garamond"/>
            <w:sz w:val="24"/>
            <w:szCs w:val="24"/>
          </w:rPr>
          <w:fldChar w:fldCharType="separate"/>
        </w:r>
        <w:r w:rsidR="00836BAA">
          <w:rPr>
            <w:rFonts w:ascii="Garamond" w:hAnsi="Garamond"/>
            <w:noProof/>
            <w:sz w:val="24"/>
            <w:szCs w:val="24"/>
          </w:rPr>
          <w:t>11834</w:t>
        </w:r>
        <w:r w:rsidR="00836BAA" w:rsidRPr="00B4283E">
          <w:rPr>
            <w:rFonts w:ascii="Garamond" w:hAnsi="Garamond"/>
            <w:noProof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53D" w:rsidRPr="00EB72ED" w:rsidRDefault="00EB5A44">
    <w:pPr>
      <w:pStyle w:val="Footer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5A44">
      <w:pPr>
        <w:spacing w:after="0" w:line="240" w:lineRule="auto"/>
      </w:pPr>
      <w:r>
        <w:separator/>
      </w:r>
    </w:p>
  </w:footnote>
  <w:footnote w:type="continuationSeparator" w:id="0">
    <w:p w:rsidR="00000000" w:rsidRDefault="00EB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A7153D" w:rsidRPr="00EB260B" w:rsidTr="006B2C7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A7153D" w:rsidRPr="00EB260B" w:rsidRDefault="00836BAA" w:rsidP="001D4D6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A7153D" w:rsidRPr="00EB260B" w:rsidRDefault="00836BAA" w:rsidP="001D4D6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BF686E2" wp14:editId="6BA171B4">
                <wp:extent cx="304524" cy="427512"/>
                <wp:effectExtent l="0" t="0" r="635" b="0"/>
                <wp:docPr id="7" name="Picture 7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A7153D" w:rsidRPr="00EB260B" w:rsidRDefault="00836BAA" w:rsidP="001D4D6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154</w:t>
          </w:r>
        </w:p>
      </w:tc>
    </w:tr>
  </w:tbl>
  <w:p w:rsidR="00A7153D" w:rsidRDefault="00EB5A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53D" w:rsidRDefault="00EB5A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D0B"/>
    <w:multiLevelType w:val="hybridMultilevel"/>
    <w:tmpl w:val="0DEA3302"/>
    <w:lvl w:ilvl="0" w:tplc="735C1A9A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">
    <w:nsid w:val="1BCB7B50"/>
    <w:multiLevelType w:val="hybridMultilevel"/>
    <w:tmpl w:val="C1567AC8"/>
    <w:lvl w:ilvl="0" w:tplc="D8DC1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F57F0"/>
    <w:multiLevelType w:val="hybridMultilevel"/>
    <w:tmpl w:val="9A787426"/>
    <w:lvl w:ilvl="0" w:tplc="711261F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74" w:hanging="360"/>
      </w:pPr>
    </w:lvl>
    <w:lvl w:ilvl="2" w:tplc="0409001B" w:tentative="1">
      <w:start w:val="1"/>
      <w:numFmt w:val="lowerRoman"/>
      <w:lvlText w:val="%3."/>
      <w:lvlJc w:val="right"/>
      <w:pPr>
        <w:ind w:left="1994" w:hanging="180"/>
      </w:pPr>
    </w:lvl>
    <w:lvl w:ilvl="3" w:tplc="0409000F" w:tentative="1">
      <w:start w:val="1"/>
      <w:numFmt w:val="decimal"/>
      <w:lvlText w:val="%4."/>
      <w:lvlJc w:val="left"/>
      <w:pPr>
        <w:ind w:left="2714" w:hanging="360"/>
      </w:pPr>
    </w:lvl>
    <w:lvl w:ilvl="4" w:tplc="04090019" w:tentative="1">
      <w:start w:val="1"/>
      <w:numFmt w:val="lowerLetter"/>
      <w:lvlText w:val="%5."/>
      <w:lvlJc w:val="left"/>
      <w:pPr>
        <w:ind w:left="3434" w:hanging="360"/>
      </w:pPr>
    </w:lvl>
    <w:lvl w:ilvl="5" w:tplc="0409001B" w:tentative="1">
      <w:start w:val="1"/>
      <w:numFmt w:val="lowerRoman"/>
      <w:lvlText w:val="%6."/>
      <w:lvlJc w:val="right"/>
      <w:pPr>
        <w:ind w:left="4154" w:hanging="180"/>
      </w:pPr>
    </w:lvl>
    <w:lvl w:ilvl="6" w:tplc="0409000F" w:tentative="1">
      <w:start w:val="1"/>
      <w:numFmt w:val="decimal"/>
      <w:lvlText w:val="%7."/>
      <w:lvlJc w:val="left"/>
      <w:pPr>
        <w:ind w:left="4874" w:hanging="360"/>
      </w:pPr>
    </w:lvl>
    <w:lvl w:ilvl="7" w:tplc="04090019" w:tentative="1">
      <w:start w:val="1"/>
      <w:numFmt w:val="lowerLetter"/>
      <w:lvlText w:val="%8."/>
      <w:lvlJc w:val="left"/>
      <w:pPr>
        <w:ind w:left="5594" w:hanging="360"/>
      </w:pPr>
    </w:lvl>
    <w:lvl w:ilvl="8" w:tplc="0409001B" w:tentative="1">
      <w:start w:val="1"/>
      <w:numFmt w:val="lowerRoman"/>
      <w:lvlText w:val="%9."/>
      <w:lvlJc w:val="right"/>
      <w:pPr>
        <w:ind w:left="6314" w:hanging="180"/>
      </w:pPr>
    </w:lvl>
  </w:abstractNum>
  <w:abstractNum w:abstractNumId="3">
    <w:nsid w:val="5B4F2480"/>
    <w:multiLevelType w:val="hybridMultilevel"/>
    <w:tmpl w:val="1BB68EC2"/>
    <w:lvl w:ilvl="0" w:tplc="0409000F">
      <w:start w:val="1"/>
      <w:numFmt w:val="decimal"/>
      <w:lvlText w:val="%1."/>
      <w:lvlJc w:val="left"/>
      <w:pPr>
        <w:tabs>
          <w:tab w:val="left" w:pos="810"/>
        </w:tabs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733E504E"/>
    <w:multiLevelType w:val="hybridMultilevel"/>
    <w:tmpl w:val="EE54A712"/>
    <w:lvl w:ilvl="0" w:tplc="3AAE72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57A1F"/>
    <w:multiLevelType w:val="hybridMultilevel"/>
    <w:tmpl w:val="1CD6A442"/>
    <w:lvl w:ilvl="0" w:tplc="5B6EED52">
      <w:start w:val="13"/>
      <w:numFmt w:val="decimal"/>
      <w:lvlText w:val="%1"/>
      <w:lvlJc w:val="left"/>
      <w:pPr>
        <w:ind w:left="1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6" w:hanging="360"/>
      </w:pPr>
    </w:lvl>
    <w:lvl w:ilvl="2" w:tplc="0409001B" w:tentative="1">
      <w:start w:val="1"/>
      <w:numFmt w:val="lowerRoman"/>
      <w:lvlText w:val="%3."/>
      <w:lvlJc w:val="right"/>
      <w:pPr>
        <w:ind w:left="2896" w:hanging="180"/>
      </w:pPr>
    </w:lvl>
    <w:lvl w:ilvl="3" w:tplc="0409000F" w:tentative="1">
      <w:start w:val="1"/>
      <w:numFmt w:val="decimal"/>
      <w:lvlText w:val="%4."/>
      <w:lvlJc w:val="left"/>
      <w:pPr>
        <w:ind w:left="3616" w:hanging="360"/>
      </w:pPr>
    </w:lvl>
    <w:lvl w:ilvl="4" w:tplc="04090019" w:tentative="1">
      <w:start w:val="1"/>
      <w:numFmt w:val="lowerLetter"/>
      <w:lvlText w:val="%5."/>
      <w:lvlJc w:val="left"/>
      <w:pPr>
        <w:ind w:left="4336" w:hanging="360"/>
      </w:pPr>
    </w:lvl>
    <w:lvl w:ilvl="5" w:tplc="0409001B" w:tentative="1">
      <w:start w:val="1"/>
      <w:numFmt w:val="lowerRoman"/>
      <w:lvlText w:val="%6."/>
      <w:lvlJc w:val="right"/>
      <w:pPr>
        <w:ind w:left="5056" w:hanging="180"/>
      </w:pPr>
    </w:lvl>
    <w:lvl w:ilvl="6" w:tplc="0409000F" w:tentative="1">
      <w:start w:val="1"/>
      <w:numFmt w:val="decimal"/>
      <w:lvlText w:val="%7."/>
      <w:lvlJc w:val="left"/>
      <w:pPr>
        <w:ind w:left="5776" w:hanging="360"/>
      </w:pPr>
    </w:lvl>
    <w:lvl w:ilvl="7" w:tplc="04090019" w:tentative="1">
      <w:start w:val="1"/>
      <w:numFmt w:val="lowerLetter"/>
      <w:lvlText w:val="%8."/>
      <w:lvlJc w:val="left"/>
      <w:pPr>
        <w:ind w:left="6496" w:hanging="360"/>
      </w:pPr>
    </w:lvl>
    <w:lvl w:ilvl="8" w:tplc="0409001B" w:tentative="1">
      <w:start w:val="1"/>
      <w:numFmt w:val="lowerRoman"/>
      <w:lvlText w:val="%9."/>
      <w:lvlJc w:val="right"/>
      <w:pPr>
        <w:ind w:left="7216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BAA"/>
    <w:rsid w:val="00836BAA"/>
    <w:rsid w:val="00930874"/>
    <w:rsid w:val="00EB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BA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36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36BA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6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BA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6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BAA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836B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36B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36B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6B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6B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36BA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36BA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36BAA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BAA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BA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36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36BA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6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BA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6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BAA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836B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36B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36B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6B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6B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36BA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36BAA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36BAA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BA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2016-08-18T11:45:00Z</dcterms:created>
  <dcterms:modified xsi:type="dcterms:W3CDTF">2018-01-22T12:40:00Z</dcterms:modified>
</cp:coreProperties>
</file>