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96C" w:rsidRPr="0064196C" w:rsidRDefault="0064196C" w:rsidP="0064196C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</w:rPr>
      </w:pPr>
      <w:r w:rsidRPr="0064196C">
        <w:rPr>
          <w:rFonts w:ascii="Garamond" w:eastAsia="MS Mincho" w:hAnsi="Garamond" w:cs="CG Times"/>
          <w:b/>
          <w:bCs/>
          <w:spacing w:val="-4"/>
          <w:sz w:val="24"/>
        </w:rPr>
        <w:t>NDREQJE GABIMI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</w:rPr>
      </w:pP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64196C">
        <w:rPr>
          <w:rFonts w:ascii="Garamond" w:eastAsia="MS Mincho" w:hAnsi="Garamond" w:cs="CG Times"/>
          <w:spacing w:val="-4"/>
          <w:sz w:val="24"/>
        </w:rPr>
        <w:t xml:space="preserve">Në “Rregulloren për organizimin, funksionimin dhe procedurat e ERE-s”, miratuar me vendimin e Bordit të ERE-s nr. 96, datë 17.6.2016, botuar në Fletoren Zyrtare nr. 127, datë 12.7.2016: 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 xml:space="preserve">- Neni 2 “Qëllimi i rregullores” 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Ishte: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  <w:r w:rsidRPr="0064196C">
        <w:rPr>
          <w:rFonts w:ascii="Garamond" w:eastAsia="MS Mincho" w:hAnsi="Garamond" w:cs="CG Times"/>
          <w:i/>
          <w:spacing w:val="-4"/>
          <w:sz w:val="24"/>
        </w:rPr>
        <w:t>“Qëllimi i kësaj rregulloreje është të sigurojë procedura transparente në ushtrimin e funksioneve të ERE-s, duke garantuar një trajtim të barabartë në dhënien e licencave, kualifikimeve dhe certifikimeve në sektorin e energjisë elektrike, vendosjen e tarifave dhe çmimeve të të licencuarve në aktivitetet e rregulluara, zgjidhjes së konflikteve midis të licencuarve dhe midis të licencuarve dhe klientëve, hartimit dhe miratimit të akteve nënligjore në zbatim të ligjit nr. 43/2015, “Për sektorin e energjisë elektrike” dhe ligjit nr. 102/2015, “Për sektorin e gazit natyror”,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Bëhet: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  <w:r w:rsidRPr="0064196C">
        <w:rPr>
          <w:rFonts w:ascii="Garamond" w:eastAsia="MS Mincho" w:hAnsi="Garamond" w:cs="CG Times"/>
          <w:i/>
          <w:spacing w:val="-4"/>
          <w:sz w:val="24"/>
        </w:rPr>
        <w:t xml:space="preserve">“Qëllimi i kësaj rregulloreje është të sigurojë procedura transparente në ushtrimin e funksioneve të ERE-s, duke garantuar një trajtim të barabartë në dhënien e licencave dhe certifikimeve në sektorin e energjisë elektrike, vendosjen e tarifave dhe çmimeve të të licencuarve në aktivitetet e rregulluara, zgjidhjes së konflikteve midis të licencuarve dhe midis të licencuarve dhe klientëve, hartimit dhe miratimit të akteve nënligjore në zbatim të ligjit nr. 43/2015, “Për sektorin e energjisë elektrike” dhe ligjit nr. 102/2015, “Për sektorin e gazit natyror”. 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- Neni 3 “Zbatimi”, pika 1, germa “b”: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Ishte: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  <w:r w:rsidRPr="0064196C">
        <w:rPr>
          <w:rFonts w:ascii="Garamond" w:eastAsia="MS Mincho" w:hAnsi="Garamond" w:cs="CG Times"/>
          <w:i/>
          <w:spacing w:val="-4"/>
          <w:sz w:val="24"/>
        </w:rPr>
        <w:t xml:space="preserve">“trajtimin e aplikimeve për dhënie licence, kualifikim dhe certifikim në sektorin e energjisë elektrike dhe të gazit natyror,” 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Bëhet: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  <w:r w:rsidRPr="0064196C">
        <w:rPr>
          <w:rFonts w:ascii="Garamond" w:eastAsia="MS Mincho" w:hAnsi="Garamond" w:cs="CG Times"/>
          <w:i/>
          <w:spacing w:val="-4"/>
          <w:sz w:val="24"/>
        </w:rPr>
        <w:t>“trajtimin e aplikimeve për dhënie licence dhe certifikim në sektorin e energjisë elektrike dhe të gazit natyror,”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- Neni 16 “Ridëgjimi dhe ankimi kundër vendimit të Bordit”, pika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  <w:r w:rsidRPr="0064196C">
        <w:rPr>
          <w:rFonts w:ascii="Garamond" w:eastAsia="MS Mincho" w:hAnsi="Garamond" w:cs="CG Times"/>
          <w:b/>
          <w:spacing w:val="-4"/>
          <w:sz w:val="24"/>
        </w:rPr>
        <w:t>1: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Ishte: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  <w:r w:rsidRPr="0064196C">
        <w:rPr>
          <w:rFonts w:ascii="Garamond" w:eastAsia="MS Mincho" w:hAnsi="Garamond" w:cs="CG Times"/>
          <w:i/>
          <w:spacing w:val="-4"/>
          <w:sz w:val="24"/>
        </w:rPr>
        <w:t>“Për një vendim të Bordit, çdo palë e përfshirë në një procedurë mund t’i kërkojë ERE-s, brenda 7 ditëve pune nga data e marrjes dijeni të vendimit lidhur me atë procedurë, rishikimin e vendimit të Bordit, në rast se ka siguruar prova të reja që mund ta çojnë Bordin në marrjen e një vendimi të ndryshëm nga i mëparshmi apo për gabimet materiale të konstatuara.”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Bëhet: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  <w:r w:rsidRPr="0064196C">
        <w:rPr>
          <w:rFonts w:ascii="Garamond" w:eastAsia="MS Mincho" w:hAnsi="Garamond" w:cs="CG Times"/>
          <w:i/>
          <w:spacing w:val="-4"/>
          <w:sz w:val="24"/>
        </w:rPr>
        <w:t>“Për një vendim të Bordit, çdo palë e përfshirë në një procedurë mund t’i kërkojë ERE-s, brenda 7 ditëve kalendarike nga data e marrjes dijeni të vendimit lidhur me atë procedurë, rishikimin e vendimit të Bordit, në rast se ka siguruar prova të reja që mund ta çojnë Bordin në marrjen e një vendimi të ndryshëm nga i mëparshmi apo për gabimet materiale të konstatuara”.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- Neni 18 “Regjistrimi i aplikimit apo kërkesës”, pika 1: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Ishte: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  <w:r w:rsidRPr="0064196C">
        <w:rPr>
          <w:rFonts w:ascii="Garamond" w:eastAsia="MS Mincho" w:hAnsi="Garamond" w:cs="CG Times"/>
          <w:i/>
          <w:spacing w:val="-4"/>
          <w:sz w:val="24"/>
        </w:rPr>
        <w:t xml:space="preserve">“Punonjësi i protokollit hap një dosje për çdo procedurë, për të cilën këto rregulla janë të aplikueshme, përfshirë ankesat, kërkesat, procedurat e tarifave, çmimeve, licencave, kualifikimeve, certifikimeve dhe relacionet argumentuese në lidhje me një amendament, shtojcë, përfundim, rinovim, heqje të licencës etj. Çdo procedim do të ketë një numër të caktuar në regjistrin e protokollit dhe do t’i bashkëlidhet kartelës shoqëruese, siç përcaktohet në “Rregulloren për organizimin dhe funksionimin e brendshëm të ERE-s”. Për dokumente të të njëjtit procedim krijohet dosja përkatëse nga zyra e protokollit në bashkëpunim me drejtoritë e ngarkuara për trajtimin e kërkesës apo aplikimit. Punonjësi i protokollit mban një listë për të gjitha procedurat e futura në dosje dhe siguron një kopje të kësaj liste falas për të gjitha palët, përfshirë personat e interesuar që e kërkojnë atë. 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Bëhet: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  <w:r w:rsidRPr="0064196C">
        <w:rPr>
          <w:rFonts w:ascii="Garamond" w:eastAsia="MS Mincho" w:hAnsi="Garamond" w:cs="CG Times"/>
          <w:i/>
          <w:spacing w:val="-4"/>
          <w:sz w:val="24"/>
        </w:rPr>
        <w:t>“Punonjësi i protokollit hap një dosje për çdo procedurë, për të cilën këto rregulla janë të aplikueshme, përfshirë ankesat, kërkesat, procedurat e tarifave, çmimeve, licencave, certifikimeve dhe relacionet argumentuese në lidhje me një amendament, shtojcë, përfundim, rinovim, heqje të licencës etj. Çdo procedim do të ketë një numër të caktuar në regjistrin e protokollit dhe do t’i bashkëlidhet kartelës shoqëruese, siç përcaktohet në “Rregulloren për organizimin dhe funksionimin e brendshëm të ERE-s”. Për dokumente të të njëjtit procedim krijohet dosja përkatëse nga zyra e protokollit në bashkëpunim me drejtoritë e ngarkuara për trajtimin e kërkesës apo aplikimit. Punonjësi i protokollit mban një listë për të gjitha procedurat e futura në dosje dhe siguron një kopje të kësaj liste falas për të gjitha palët, përfshirë personat e interesuar që e kërkojnë atë.”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- Neni 19 “Fillimi i procedurës”, pika 1, germa “d”: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Ishte: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  <w:r w:rsidRPr="0064196C">
        <w:rPr>
          <w:rFonts w:ascii="Garamond" w:eastAsia="MS Mincho" w:hAnsi="Garamond" w:cs="CG Times"/>
          <w:i/>
          <w:spacing w:val="-4"/>
          <w:sz w:val="24"/>
        </w:rPr>
        <w:t>“kualifikim dhe dhënie të certifikatës së origjinës së prodhimit të energjisë elektrike nga burime të rinovueshme të energjisë.”</w:t>
      </w:r>
    </w:p>
    <w:p w:rsidR="0064196C" w:rsidRPr="0064196C" w:rsidRDefault="0064196C" w:rsidP="0064196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64196C">
        <w:rPr>
          <w:rFonts w:ascii="Garamond" w:eastAsia="MS Mincho" w:hAnsi="Garamond" w:cs="CG Times"/>
          <w:b/>
          <w:spacing w:val="-4"/>
          <w:sz w:val="24"/>
        </w:rPr>
        <w:t>Bëhet: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  <w:r w:rsidRPr="0064196C">
        <w:rPr>
          <w:rFonts w:ascii="Garamond" w:eastAsia="MS Mincho" w:hAnsi="Garamond" w:cs="CG Times"/>
          <w:i/>
          <w:spacing w:val="-4"/>
          <w:sz w:val="24"/>
        </w:rPr>
        <w:t>“dhënie të certifikatës së origjinës së prodhimit të energjisë elektrike nga burime të rinovueshme të energjisë.”</w:t>
      </w:r>
      <w:r w:rsidRPr="0064196C">
        <w:rPr>
          <w:rFonts w:ascii="Garamond" w:eastAsia="MS Mincho" w:hAnsi="Garamond" w:cs="CG Times"/>
          <w:spacing w:val="-4"/>
          <w:sz w:val="24"/>
        </w:rPr>
        <w:t xml:space="preserve"> </w:t>
      </w:r>
    </w:p>
    <w:p w:rsidR="00930874" w:rsidRPr="0064196C" w:rsidRDefault="00930874" w:rsidP="0064196C">
      <w:bookmarkStart w:id="0" w:name="_GoBack"/>
      <w:bookmarkEnd w:id="0"/>
    </w:p>
    <w:sectPr w:rsidR="00930874" w:rsidRPr="0064196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FB7"/>
    <w:rsid w:val="0064196C"/>
    <w:rsid w:val="00930874"/>
    <w:rsid w:val="00D9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93F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93FB7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D93FB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93FB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93F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93FB7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D93FB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93FB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2016-08-18T11:50:00Z</dcterms:created>
  <dcterms:modified xsi:type="dcterms:W3CDTF">2018-01-22T12:44:00Z</dcterms:modified>
</cp:coreProperties>
</file>