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E89" w:rsidRPr="006023F4" w:rsidRDefault="00160E89" w:rsidP="00160E89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160E89" w:rsidRPr="006023F4" w:rsidRDefault="00160E89" w:rsidP="00160E89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159, datë 6.10.2016</w:t>
      </w:r>
    </w:p>
    <w:p w:rsidR="00160E89" w:rsidRPr="006023F4" w:rsidRDefault="00160E89" w:rsidP="00160E89">
      <w:pPr>
        <w:pStyle w:val="Hapesira7"/>
        <w:rPr>
          <w:lang w:val="sq-AL"/>
        </w:rPr>
      </w:pPr>
    </w:p>
    <w:p w:rsidR="00160E89" w:rsidRPr="006023F4" w:rsidRDefault="00160E89" w:rsidP="00160E89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MBI FILLIMIN E PROCEDURËS PËR LËNIEN PENG TË ASETEVE TË SHOQËRISË “EURON ENERGY” SHPK, NË FAVOR TË BANKËS “SOCIETE GENERALE ALBANIA” SHA</w:t>
      </w:r>
    </w:p>
    <w:p w:rsidR="00160E89" w:rsidRPr="006023F4" w:rsidRDefault="00160E89" w:rsidP="00160E89">
      <w:pPr>
        <w:pStyle w:val="Hapesira7"/>
        <w:rPr>
          <w:lang w:val="sq-AL"/>
        </w:rPr>
      </w:pP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16; 44, pika 1, të ligjit nr. 43/2015, “Për sektorin e energjisë elektrike”; neneve 6; 7 dhe 8, të rregullores “Për procedurat e transferimit të aseteve nga të licencuarit”, të miratuar me vendimin e Bordit të ERE-s nr.119, datë 21.7.2016; pikës 1.3 dhe 1.6 të licencës “Për prodhimin e energjisë elektrike”, gjithashtu, dhe nenit 15, të rregullores “Për organizimin, funksionimin dhe procedurat e ERE-s”, miratuar me vendimin nr. 96, datë 17.6.2016; 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2016, mbasi shqyrtoi relacionin mbi fillimin e procedurave për shqyrtimin e kërkesës së shoqërisë “Euron Energy” sh.p.k., për lënie peng asetesh në favor të bankës “Societe Generale Albania” sh.a., të përgatitur nga Drejtoria e Licencimit dhe e Monitorimit të Tregut, 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160E89" w:rsidRDefault="00160E89" w:rsidP="00160E89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“Euron Energy” sh.p.k., plotëson pjesërisht kërkesat e parashikuara nga ERE në </w:t>
      </w: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rregulloren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Për procedurat e transferimit të aseteve nga të licencuarit”, si më poshtë: 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</w:p>
    <w:p w:rsidR="00160E89" w:rsidRPr="006023F4" w:rsidRDefault="00160E89" w:rsidP="00160E89">
      <w:pPr>
        <w:pStyle w:val="Paragrafi"/>
        <w:rPr>
          <w:spacing w:val="-4"/>
          <w:szCs w:val="24"/>
          <w:lang w:val="sq-AL"/>
        </w:rPr>
      </w:pPr>
      <w:r w:rsidRPr="006023F4">
        <w:rPr>
          <w:spacing w:val="-4"/>
          <w:szCs w:val="24"/>
          <w:lang w:val="sq-AL"/>
        </w:rPr>
        <w:t xml:space="preserve">- Neni 7, pika 1, germat: “a” (ekstrakt historik të shoqërisë tregtare të të licencuarit, të lëshuar jo më vone se 3 muaj nga data e aplikimit); “b” (veprimtaria e licencuar); “c” (gjendja financiare e kompanisë në kohën që paraqet kërkesën dhe efektin e pritshëm pas miratimit të transferimit të aseteve); “d” (përshkrim i kandidatit të propozuar për transferim aseti, që përfshin informacion të përgjithshëm mbi veprimtarinë e shoqërisë që përfshihet në transaksion të tre viteve të fundit dhe të vitit të fundit, kur shoqëria ka më pak se 3 vjet që është krijuar, gjendjen financiare); “e” (arsyet e kërkesës për kryerjen e transferimit); “f” (efektet e pritshme të transferimit në aktivitetin e të licencuarit); “g” (efekti në furnizimin e rregullt e të qëndrueshëm të klientëve të të licencuarit dhe në tarifat e aktivitetit të licencuar); “h” (marrëveshje paraprake e nënshkruar midis palëve në një nga format e parashikuara nga ligji, për transferimin e aseteve. Marrëveshja duhet të përmbajë një listë të detajuar të aseteve që kërkohet të transferohen); “i” (deklarate me shkrim e personit tek i cili është propozuar të bëhet transferimi, ku të shprehe gatishmërinë e tij për të garantuar vetë apo me palë të tjera veprimtarinë e licencuar pas kryerjes së transferimit). 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mungesën e dokumentacionit që ka të bëjë me germën “j” të pikës 1 të nenit 7 (nëse ka pasur, listën e transferimeve të kryera më herët nga i njëjti subjekt), do të njoftohet subjekti që t’i paraqesë këto në ERE, brenda afateve. 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sipër, Bordi i ERE-s </w:t>
      </w:r>
    </w:p>
    <w:p w:rsidR="00160E89" w:rsidRPr="006023F4" w:rsidRDefault="00160E89" w:rsidP="00160E89">
      <w:pPr>
        <w:pStyle w:val="Hapesira7"/>
        <w:rPr>
          <w:lang w:val="sq-AL"/>
        </w:rPr>
      </w:pPr>
    </w:p>
    <w:p w:rsidR="00160E89" w:rsidRPr="006023F4" w:rsidRDefault="00160E89" w:rsidP="00160E89">
      <w:pPr>
        <w:pStyle w:val="BodyText"/>
        <w:widowControl w:val="0"/>
        <w:numPr>
          <w:ilvl w:val="0"/>
          <w:numId w:val="0"/>
        </w:numPr>
        <w:ind w:left="360" w:hanging="360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160E89" w:rsidRPr="006023F4" w:rsidRDefault="00160E89" w:rsidP="00160E89">
      <w:pPr>
        <w:pStyle w:val="Hapesira7"/>
        <w:rPr>
          <w:lang w:val="sq-AL"/>
        </w:rPr>
      </w:pP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1. Të fillojë procedurat për shqyrtimin e kërkesës së shoqërisë “Euron Energy” sh.p.k., për lënie peng të aseteve në favor të bankës “Societe Generale Albania” sh.a.</w:t>
      </w:r>
    </w:p>
    <w:p w:rsidR="00160E89" w:rsidRPr="006023F4" w:rsidRDefault="00160E89" w:rsidP="00160E89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Drejtoria e Licencimit dhe e Monitorimit të Tregut, të njoftojë aplikuesin për vendimin e Bordit të ERE-s. 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160E89" w:rsidRPr="006023F4" w:rsidRDefault="00160E89" w:rsidP="00160E89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160E89" w:rsidRPr="006023F4" w:rsidRDefault="00160E89" w:rsidP="00160E89">
      <w:pPr>
        <w:pStyle w:val="Hapesira7"/>
        <w:rPr>
          <w:lang w:val="sq-AL"/>
        </w:rPr>
      </w:pPr>
    </w:p>
    <w:p w:rsidR="00160E89" w:rsidRPr="006023F4" w:rsidRDefault="00160E89" w:rsidP="00160E89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160E89" w:rsidRPr="006023F4" w:rsidRDefault="00160E89" w:rsidP="00160E89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160E89" w:rsidRDefault="004F59B3" w:rsidP="00160E89"/>
    <w:sectPr w:rsidR="004F59B3" w:rsidRPr="00160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380"/>
    <w:rsid w:val="00094380"/>
    <w:rsid w:val="00160E89"/>
    <w:rsid w:val="004D2D91"/>
    <w:rsid w:val="004F59B3"/>
    <w:rsid w:val="00DC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9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4D2D9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4D2D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4D2D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D9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D2D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2D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2D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2D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D2D91"/>
    <w:rPr>
      <w:sz w:val="14"/>
      <w:szCs w:val="24"/>
    </w:rPr>
  </w:style>
  <w:style w:type="character" w:customStyle="1" w:styleId="Heading2Char1">
    <w:name w:val="Heading 2 Char1"/>
    <w:link w:val="Heading2"/>
    <w:locked/>
    <w:rsid w:val="004D2D91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4D2D9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D2D91"/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9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4D2D9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4D2D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4D2D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D9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D2D9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2D9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2D9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2D9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D2D91"/>
    <w:rPr>
      <w:sz w:val="14"/>
      <w:szCs w:val="24"/>
    </w:rPr>
  </w:style>
  <w:style w:type="character" w:customStyle="1" w:styleId="Heading2Char1">
    <w:name w:val="Heading 2 Char1"/>
    <w:link w:val="Heading2"/>
    <w:locked/>
    <w:rsid w:val="004D2D91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4D2D9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D2D91"/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2019-02-05T11:33:00Z</cp:lastPrinted>
  <dcterms:created xsi:type="dcterms:W3CDTF">2016-11-10T14:00:00Z</dcterms:created>
  <dcterms:modified xsi:type="dcterms:W3CDTF">2019-02-05T11:34:00Z</dcterms:modified>
</cp:coreProperties>
</file>