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785" w:rsidRPr="00695DF9" w:rsidRDefault="00114785" w:rsidP="00114785">
      <w:pPr>
        <w:pStyle w:val="Akti"/>
        <w:keepNext w:val="0"/>
        <w:rPr>
          <w:spacing w:val="-4"/>
          <w:lang w:val="sq-AL"/>
        </w:rPr>
      </w:pPr>
      <w:bookmarkStart w:id="0" w:name="_GoBack"/>
      <w:bookmarkEnd w:id="0"/>
      <w:r w:rsidRPr="00695DF9">
        <w:rPr>
          <w:spacing w:val="-4"/>
          <w:lang w:val="sq-AL"/>
        </w:rPr>
        <w:t>VENDIM</w:t>
      </w:r>
    </w:p>
    <w:p w:rsidR="00114785" w:rsidRPr="00695DF9" w:rsidRDefault="00114785" w:rsidP="00114785">
      <w:pPr>
        <w:pStyle w:val="NumriData"/>
        <w:keepNext w:val="0"/>
        <w:rPr>
          <w:spacing w:val="-4"/>
          <w:lang w:val="sq-AL"/>
        </w:rPr>
      </w:pPr>
      <w:r w:rsidRPr="00695DF9">
        <w:rPr>
          <w:spacing w:val="-4"/>
          <w:lang w:val="sq-AL"/>
        </w:rPr>
        <w:t>Nr. 190, datë 22.12.2016</w:t>
      </w:r>
    </w:p>
    <w:p w:rsidR="00114785" w:rsidRPr="00695DF9" w:rsidRDefault="00114785" w:rsidP="00114785">
      <w:pPr>
        <w:pStyle w:val="Hapesira7"/>
        <w:rPr>
          <w:spacing w:val="-4"/>
          <w:lang w:val="sq-AL"/>
        </w:rPr>
      </w:pPr>
    </w:p>
    <w:p w:rsidR="00114785" w:rsidRPr="00695DF9" w:rsidRDefault="00114785" w:rsidP="00114785">
      <w:pPr>
        <w:pStyle w:val="Titulli"/>
        <w:keepNext w:val="0"/>
        <w:rPr>
          <w:spacing w:val="-4"/>
          <w:lang w:val="sq-AL"/>
        </w:rPr>
      </w:pPr>
      <w:r w:rsidRPr="00695DF9">
        <w:rPr>
          <w:spacing w:val="-4"/>
          <w:lang w:val="sq-AL"/>
        </w:rPr>
        <w:t>MBI LËNIEN NË FUQI TË VENDIMEVE NR. 139, NR. 145, NR.146, NR. 147, NR. 148, DATË 26.12.2014, TË BORDIT TË KOMISIONERËVE TË ERE-</w:t>
      </w:r>
      <w:r w:rsidRPr="00695DF9">
        <w:rPr>
          <w:caps w:val="0"/>
          <w:spacing w:val="-4"/>
          <w:lang w:val="sq-AL"/>
        </w:rPr>
        <w:t>s</w:t>
      </w:r>
      <w:r w:rsidRPr="00695DF9">
        <w:rPr>
          <w:spacing w:val="-4"/>
          <w:lang w:val="sq-AL"/>
        </w:rPr>
        <w:t>, VENDIMIT NR. 13, DATË 16.2.2016, VENDIMIT NR. 128, DATË 29.7.2016 TË BORDIT TË ERE-</w:t>
      </w:r>
      <w:r w:rsidRPr="00695DF9">
        <w:rPr>
          <w:caps w:val="0"/>
          <w:spacing w:val="-4"/>
          <w:lang w:val="sq-AL"/>
        </w:rPr>
        <w:t>s</w:t>
      </w:r>
      <w:r w:rsidRPr="00695DF9">
        <w:rPr>
          <w:spacing w:val="-4"/>
          <w:lang w:val="sq-AL"/>
        </w:rPr>
        <w:t xml:space="preserve"> DERI MË 31.3.2017</w:t>
      </w:r>
    </w:p>
    <w:p w:rsidR="00114785" w:rsidRPr="00695DF9" w:rsidRDefault="00114785" w:rsidP="00114785">
      <w:pPr>
        <w:pStyle w:val="Hapesira7"/>
        <w:rPr>
          <w:spacing w:val="-4"/>
          <w:lang w:val="sq-AL"/>
        </w:rPr>
      </w:pPr>
    </w:p>
    <w:p w:rsidR="00114785" w:rsidRPr="00695DF9" w:rsidRDefault="00114785" w:rsidP="00114785">
      <w:pPr>
        <w:pStyle w:val="Paragrafi"/>
        <w:rPr>
          <w:color w:val="000000"/>
          <w:spacing w:val="-4"/>
          <w:lang w:val="sq-AL"/>
        </w:rPr>
      </w:pPr>
      <w:r w:rsidRPr="00695DF9">
        <w:rPr>
          <w:spacing w:val="-4"/>
          <w:lang w:val="sq-AL"/>
        </w:rPr>
        <w:t xml:space="preserve">Në mbështetje të neneve 16; 20, germa “c” dhe 109, pika 5, të ligjit nr. 43/2015, “Për sektorin e energjisë elektrike”, VKM </w:t>
      </w:r>
      <w:r w:rsidRPr="00695DF9">
        <w:rPr>
          <w:rFonts w:cs="Garamond"/>
          <w:spacing w:val="-4"/>
          <w:lang w:val="sq-AL"/>
        </w:rPr>
        <w:t>nr. 244 “</w:t>
      </w:r>
      <w:r w:rsidRPr="00695DF9">
        <w:rPr>
          <w:color w:val="000000"/>
          <w:spacing w:val="-4"/>
          <w:lang w:val="sq-AL"/>
        </w:rPr>
        <w:t xml:space="preserve">Për miratimin e kushteve për vendosjen e detyrimit të shërbimit publik, që do të zbatohen ndaj të licencuarve në sektorin e energjisë elektrike, të cilët ushtrojnë aktivitetin e prodhimit, transmetimit, shpërndarjes dhe furnizimit me energji elektrike”. VKM nr. 1033, datë 16.12.2015 “Për miratimin e metodologjisë të përcaktimit të tarifave fikse të energjisë, që do t’u paguhen prodhuesve të energjisë elektrike nga hidrocentralet”, dhe </w:t>
      </w:r>
      <w:r w:rsidRPr="00695DF9">
        <w:rPr>
          <w:spacing w:val="-4"/>
          <w:lang w:val="sq-AL"/>
        </w:rPr>
        <w:t xml:space="preserve">nenit 22 të </w:t>
      </w:r>
      <w:r w:rsidRPr="00695DF9">
        <w:rPr>
          <w:bCs/>
          <w:spacing w:val="-4"/>
          <w:lang w:val="sq-AL"/>
        </w:rPr>
        <w:t xml:space="preserve">rregullores </w:t>
      </w:r>
      <w:r w:rsidRPr="00695DF9">
        <w:rPr>
          <w:spacing w:val="-4"/>
          <w:lang w:val="sq-AL"/>
        </w:rPr>
        <w:t>“</w:t>
      </w:r>
      <w:r w:rsidRPr="00695DF9">
        <w:rPr>
          <w:bCs/>
          <w:spacing w:val="-4"/>
          <w:lang w:val="sq-AL"/>
        </w:rPr>
        <w:t xml:space="preserve">Për organizimin, funksionimin dhe procedurat e ERE-s”, miratuar me vendimin e Bordit të ERE-s nr. 96, datë 17.6.2016, </w:t>
      </w:r>
      <w:r w:rsidRPr="00695DF9">
        <w:rPr>
          <w:spacing w:val="-4"/>
          <w:lang w:val="sq-AL"/>
        </w:rPr>
        <w:t>Bordi i Entit Rregullator të Energjisë (ERE), në mbledhjen e tij të datës 22.12.2016, pasi shqyrtoi, relacionin e drejtorive teknike,</w:t>
      </w:r>
    </w:p>
    <w:p w:rsidR="00114785" w:rsidRPr="00695DF9" w:rsidRDefault="00114785" w:rsidP="00114785">
      <w:pPr>
        <w:pStyle w:val="Paragrafi"/>
        <w:rPr>
          <w:spacing w:val="-4"/>
          <w:lang w:val="sq-AL"/>
        </w:rPr>
      </w:pPr>
      <w:r w:rsidRPr="00695DF9">
        <w:rPr>
          <w:spacing w:val="-4"/>
          <w:lang w:val="sq-AL"/>
        </w:rPr>
        <w:t xml:space="preserve">konstatoi se: </w:t>
      </w:r>
    </w:p>
    <w:p w:rsidR="00114785" w:rsidRPr="00913F53" w:rsidRDefault="00114785" w:rsidP="00114785">
      <w:pPr>
        <w:pStyle w:val="Paragrafi"/>
        <w:rPr>
          <w:rFonts w:cs="Arial"/>
          <w:bCs/>
          <w:spacing w:val="-6"/>
          <w:lang w:val="sq-AL"/>
        </w:rPr>
      </w:pPr>
      <w:r w:rsidRPr="00913F53">
        <w:rPr>
          <w:rFonts w:cs="Arial"/>
          <w:bCs/>
          <w:spacing w:val="-6"/>
          <w:lang w:val="sq-AL"/>
        </w:rPr>
        <w:t>- Problematika e marrëdhënieve të ndërsjella, që ishte një nga shkaqet kryesore të mosaxhustimit të të ardhurave që i përkasin periudhës 2012–2014, si dhe vendimit nr. 156, datë 24.12.2015 dhe vendimit nr. 111, datë 16.2.2016, vazhdon të ekzistojë.</w:t>
      </w:r>
    </w:p>
    <w:p w:rsidR="00114785" w:rsidRDefault="00114785" w:rsidP="00114785">
      <w:pPr>
        <w:pStyle w:val="Paragrafi"/>
        <w:rPr>
          <w:rFonts w:cs="Arial"/>
          <w:bCs/>
          <w:spacing w:val="-4"/>
          <w:lang w:val="sq-AL"/>
        </w:rPr>
      </w:pPr>
      <w:r w:rsidRPr="00913F53">
        <w:rPr>
          <w:rFonts w:cs="Arial"/>
          <w:bCs/>
          <w:spacing w:val="-6"/>
          <w:lang w:val="sq-AL"/>
        </w:rPr>
        <w:t>- Asnjë nga kompanitë nuk ka paraqitur axhustime të periudhave të mëparshme të vitit</w:t>
      </w:r>
      <w:r w:rsidRPr="00695DF9">
        <w:rPr>
          <w:rFonts w:cs="Arial"/>
          <w:bCs/>
          <w:spacing w:val="-4"/>
          <w:lang w:val="sq-AL"/>
        </w:rPr>
        <w:t xml:space="preserve"> 2016.</w:t>
      </w:r>
    </w:p>
    <w:p w:rsidR="00114785" w:rsidRPr="00695DF9" w:rsidRDefault="00114785" w:rsidP="00114785">
      <w:pPr>
        <w:pStyle w:val="Paragrafi"/>
        <w:rPr>
          <w:rFonts w:cs="Arial"/>
          <w:bCs/>
          <w:spacing w:val="-4"/>
          <w:lang w:val="sq-AL"/>
        </w:rPr>
      </w:pPr>
      <w:r w:rsidRPr="00695DF9">
        <w:rPr>
          <w:rFonts w:cs="Arial"/>
          <w:bCs/>
          <w:spacing w:val="-4"/>
          <w:lang w:val="sq-AL"/>
        </w:rPr>
        <w:t>- Aplikimi i OSHEE-së dhe OST-së konsiton në llogaritje të të ardhurave të kërkuara për periudhën njëvjeçare.</w:t>
      </w:r>
    </w:p>
    <w:p w:rsidR="00114785" w:rsidRPr="00695DF9" w:rsidRDefault="00114785" w:rsidP="00114785">
      <w:pPr>
        <w:pStyle w:val="Paragrafi"/>
        <w:rPr>
          <w:rFonts w:cs="Arial"/>
          <w:bCs/>
          <w:spacing w:val="-4"/>
          <w:lang w:val="sq-AL"/>
        </w:rPr>
      </w:pPr>
      <w:r w:rsidRPr="00695DF9">
        <w:rPr>
          <w:rFonts w:cs="Arial"/>
          <w:bCs/>
          <w:spacing w:val="-4"/>
          <w:lang w:val="sq-AL"/>
        </w:rPr>
        <w:t>- Mungesa e mbajtjes së llogarive të ndara për aktivitetin e shpërndarjes dhe furnizimit apo dhe alokimi i kostove reale në nivelin tensioni si pasojë e vështirësive që paraqet mbajtja e llogarive në kompani.</w:t>
      </w:r>
    </w:p>
    <w:p w:rsidR="00114785" w:rsidRPr="00695DF9" w:rsidRDefault="00114785" w:rsidP="00114785">
      <w:pPr>
        <w:pStyle w:val="Paragrafi"/>
        <w:rPr>
          <w:rFonts w:cs="Arial"/>
          <w:bCs/>
          <w:spacing w:val="-4"/>
          <w:lang w:val="sq-AL"/>
        </w:rPr>
      </w:pPr>
      <w:r w:rsidRPr="00695DF9">
        <w:rPr>
          <w:rFonts w:cs="Arial"/>
          <w:bCs/>
          <w:spacing w:val="-4"/>
          <w:lang w:val="sq-AL"/>
        </w:rPr>
        <w:t xml:space="preserve">- Aktiviteti i furnizimit universal (furnizim me pakicë) tashmë duhet të reflektojë dhe kostot e aktitivitetit të transferuar nga FPSH-ja nga data 1 korrik 2016. Në lidhje me këtë transferim nuk disponojmë asnjë dokument apo vendim të pronarit për mënyrën e transferimit të aktivitetit duke përfshirë dhe kostot përkatëse. </w:t>
      </w:r>
    </w:p>
    <w:p w:rsidR="00114785" w:rsidRPr="00695DF9" w:rsidRDefault="00114785" w:rsidP="00114785">
      <w:pPr>
        <w:pStyle w:val="Paragrafi"/>
        <w:rPr>
          <w:rFonts w:cs="Arial"/>
          <w:bCs/>
          <w:spacing w:val="-4"/>
          <w:lang w:val="sq-AL"/>
        </w:rPr>
      </w:pPr>
      <w:r w:rsidRPr="00695DF9">
        <w:rPr>
          <w:rFonts w:cs="Arial"/>
          <w:bCs/>
          <w:spacing w:val="-4"/>
          <w:lang w:val="sq-AL"/>
        </w:rPr>
        <w:t xml:space="preserve">- Në lidhje me përcaktimin e të ardhurave të kërkuara të aktivitetit të gjenerimit duhet të bëhet në përputhje me metodologjinë përkatëse, në respekt të ligjit nr. 43/2015, “Për sektorin e energjisë elektrike” dhe </w:t>
      </w:r>
      <w:r w:rsidRPr="00695DF9">
        <w:rPr>
          <w:spacing w:val="-4"/>
          <w:lang w:val="sq-AL"/>
        </w:rPr>
        <w:t xml:space="preserve">VKM </w:t>
      </w:r>
      <w:r w:rsidRPr="00695DF9">
        <w:rPr>
          <w:rFonts w:cs="Garamond"/>
          <w:spacing w:val="-4"/>
          <w:lang w:val="sq-AL"/>
        </w:rPr>
        <w:t>nr. 244 “</w:t>
      </w:r>
      <w:r w:rsidRPr="00695DF9">
        <w:rPr>
          <w:color w:val="000000"/>
          <w:spacing w:val="-4"/>
          <w:lang w:val="sq-AL"/>
        </w:rPr>
        <w:t xml:space="preserve">Për miratimin e kushteve për vendosjen e detyrimit të shërbimit publik, që do të zbatohen ndaj të licencuarve në sektorin e energjisë elektrike, të cilët ushtrojnë aktivitetin e prodhimit, transmetimit, shpërndarjes dhe furnizimit me energji elektrike”. </w:t>
      </w:r>
      <w:r w:rsidRPr="00695DF9">
        <w:rPr>
          <w:rFonts w:cs="Arial"/>
          <w:bCs/>
          <w:spacing w:val="-4"/>
          <w:lang w:val="sq-AL"/>
        </w:rPr>
        <w:t>Siç vërehet nga aplikimi i KESH sh.a. të ardhurat e kërkuara për aktivitetin e prodhimit publik, përfshijnë dhe elementë të të ardhurave të përcaktuara në metodologjinë e FPSH-së.</w:t>
      </w:r>
    </w:p>
    <w:p w:rsidR="00114785" w:rsidRPr="00695DF9" w:rsidRDefault="00114785" w:rsidP="00114785">
      <w:pPr>
        <w:pStyle w:val="Paragrafi"/>
        <w:rPr>
          <w:rFonts w:cs="Arial"/>
          <w:bCs/>
          <w:spacing w:val="-4"/>
          <w:lang w:val="sq-AL"/>
        </w:rPr>
      </w:pPr>
      <w:r w:rsidRPr="00695DF9">
        <w:rPr>
          <w:rFonts w:cs="Arial"/>
          <w:bCs/>
          <w:spacing w:val="-4"/>
          <w:lang w:val="sq-AL"/>
        </w:rPr>
        <w:t>- Metodologjitë e reja në përputhje me Modelin e Tregut janë akoma në proces rishikimi në bashkëpunim me konsulencën e USAID-i dhe konsultimi me Sekretariatin e Vjenës.</w:t>
      </w:r>
    </w:p>
    <w:p w:rsidR="00114785" w:rsidRPr="00357FAE" w:rsidRDefault="00114785" w:rsidP="00114785">
      <w:pPr>
        <w:pStyle w:val="Paragrafi"/>
        <w:rPr>
          <w:spacing w:val="-4"/>
          <w:lang w:val="sq-AL"/>
        </w:rPr>
      </w:pPr>
      <w:r w:rsidRPr="00357FAE">
        <w:rPr>
          <w:rFonts w:cs="Arial"/>
          <w:bCs/>
          <w:spacing w:val="-4"/>
          <w:lang w:val="sq-AL"/>
        </w:rPr>
        <w:t>- Një situatë financiare e përmirësuar e të tri kompanive, si dhe në likuiditetet përgjatë vitit 2016.</w:t>
      </w:r>
    </w:p>
    <w:p w:rsidR="00114785" w:rsidRPr="00357FAE" w:rsidRDefault="00114785" w:rsidP="00114785">
      <w:pPr>
        <w:pStyle w:val="Paragrafi"/>
        <w:rPr>
          <w:spacing w:val="-4"/>
          <w:lang w:val="sq-AL"/>
        </w:rPr>
      </w:pPr>
      <w:r w:rsidRPr="00357FAE">
        <w:rPr>
          <w:spacing w:val="-4"/>
          <w:lang w:val="sq-AL"/>
        </w:rPr>
        <w:t>Për gjithë sa më sipër cituar, Bordi i ERE-s</w:t>
      </w:r>
    </w:p>
    <w:p w:rsidR="00114785" w:rsidRPr="00357FAE" w:rsidRDefault="00114785" w:rsidP="00114785">
      <w:pPr>
        <w:pStyle w:val="Hapesira7"/>
        <w:rPr>
          <w:spacing w:val="-4"/>
          <w:lang w:val="sq-AL"/>
        </w:rPr>
      </w:pPr>
      <w:r w:rsidRPr="00357FAE">
        <w:rPr>
          <w:spacing w:val="-4"/>
          <w:lang w:val="sq-AL"/>
        </w:rPr>
        <w:t xml:space="preserve"> </w:t>
      </w:r>
    </w:p>
    <w:p w:rsidR="00114785" w:rsidRPr="00357FAE" w:rsidRDefault="00114785" w:rsidP="00114785">
      <w:pPr>
        <w:pStyle w:val="Titull-Titull"/>
        <w:rPr>
          <w:spacing w:val="-4"/>
          <w:lang w:val="sq-AL"/>
        </w:rPr>
      </w:pPr>
      <w:r w:rsidRPr="00357FAE">
        <w:rPr>
          <w:spacing w:val="-4"/>
          <w:lang w:val="sq-AL"/>
        </w:rPr>
        <w:t>VENDOSI:</w:t>
      </w:r>
    </w:p>
    <w:p w:rsidR="00114785" w:rsidRPr="00357FAE" w:rsidRDefault="00114785" w:rsidP="00114785">
      <w:pPr>
        <w:pStyle w:val="Hapesira7"/>
        <w:rPr>
          <w:spacing w:val="-4"/>
          <w:lang w:val="sq-AL"/>
        </w:rPr>
      </w:pPr>
    </w:p>
    <w:p w:rsidR="00114785" w:rsidRPr="00357FAE" w:rsidRDefault="00114785" w:rsidP="00114785">
      <w:pPr>
        <w:pStyle w:val="Paragrafi"/>
        <w:rPr>
          <w:bCs/>
          <w:spacing w:val="-4"/>
          <w:lang w:val="sq-AL"/>
        </w:rPr>
      </w:pPr>
      <w:r w:rsidRPr="00357FAE">
        <w:rPr>
          <w:bCs/>
          <w:spacing w:val="-4"/>
          <w:lang w:val="sq-AL"/>
        </w:rPr>
        <w:t xml:space="preserve">1. Deri më 31.3.2017, të lërë në fuqi tarifat dhe çmimet e përkohshme të energjisë elektrike të miratuara përkatësisht me vendimet si më poshtë: (bashkëlidhur tabela me çmimet e shitjes së energjisë elektrike); </w:t>
      </w:r>
    </w:p>
    <w:p w:rsidR="00114785" w:rsidRPr="00357FAE" w:rsidRDefault="00114785" w:rsidP="00114785">
      <w:pPr>
        <w:pStyle w:val="Paragrafi"/>
        <w:rPr>
          <w:bCs/>
          <w:spacing w:val="-4"/>
          <w:lang w:val="sq-AL"/>
        </w:rPr>
      </w:pPr>
      <w:r w:rsidRPr="00357FAE">
        <w:rPr>
          <w:bCs/>
          <w:spacing w:val="-4"/>
          <w:lang w:val="sq-AL"/>
        </w:rPr>
        <w:t xml:space="preserve">- Vendimin nr. 139, datë 26.12.2014 “Për përcaktimin e tarifës së prodhimit të energjisë elektrike nga </w:t>
      </w:r>
      <w:r w:rsidRPr="00357FAE">
        <w:rPr>
          <w:bCs/>
          <w:spacing w:val="-4"/>
          <w:lang w:val="sq-AL"/>
        </w:rPr>
        <w:lastRenderedPageBreak/>
        <w:t>KESH sh.a. për vitin 2015”.</w:t>
      </w:r>
    </w:p>
    <w:p w:rsidR="00114785" w:rsidRPr="00357FAE" w:rsidRDefault="00114785" w:rsidP="00114785">
      <w:pPr>
        <w:pStyle w:val="Paragrafi"/>
        <w:rPr>
          <w:rFonts w:cs="Arial"/>
          <w:bCs/>
          <w:spacing w:val="-4"/>
          <w:lang w:val="sq-AL"/>
        </w:rPr>
      </w:pPr>
      <w:r w:rsidRPr="00357FAE">
        <w:rPr>
          <w:rFonts w:cs="Arial"/>
          <w:bCs/>
          <w:spacing w:val="-4"/>
          <w:lang w:val="sq-AL"/>
        </w:rPr>
        <w:t>- Vendimin nr. 145, dat</w:t>
      </w:r>
      <w:r w:rsidRPr="00357FAE">
        <w:rPr>
          <w:bCs/>
          <w:spacing w:val="-4"/>
          <w:lang w:val="sq-AL"/>
        </w:rPr>
        <w:t>ë</w:t>
      </w:r>
      <w:r w:rsidRPr="00357FAE">
        <w:rPr>
          <w:rFonts w:cs="Arial"/>
          <w:bCs/>
          <w:spacing w:val="-4"/>
          <w:lang w:val="sq-AL"/>
        </w:rPr>
        <w:t xml:space="preserve"> 26.12.2014, “</w:t>
      </w:r>
      <w:r w:rsidRPr="00357FAE">
        <w:rPr>
          <w:bCs/>
          <w:spacing w:val="-4"/>
          <w:lang w:val="sq-AL"/>
        </w:rPr>
        <w:t>Për përcaktimin e tarifës të transmetimit të energjisë elektrike nga OST sh.a. për vitin 2015</w:t>
      </w:r>
      <w:r w:rsidRPr="00357FAE">
        <w:rPr>
          <w:rFonts w:cs="Arial"/>
          <w:bCs/>
          <w:spacing w:val="-4"/>
          <w:lang w:val="sq-AL"/>
        </w:rPr>
        <w:t xml:space="preserve">”. </w:t>
      </w:r>
    </w:p>
    <w:p w:rsidR="00114785" w:rsidRPr="00357FAE" w:rsidRDefault="00114785" w:rsidP="00114785">
      <w:pPr>
        <w:pStyle w:val="Paragrafi"/>
        <w:rPr>
          <w:bCs/>
          <w:spacing w:val="-4"/>
          <w:lang w:val="sq-AL"/>
        </w:rPr>
      </w:pPr>
    </w:p>
    <w:p w:rsidR="00114785" w:rsidRPr="00357FAE" w:rsidRDefault="00114785" w:rsidP="00114785">
      <w:pPr>
        <w:pStyle w:val="Paragrafi"/>
        <w:rPr>
          <w:bCs/>
          <w:spacing w:val="-4"/>
          <w:lang w:val="sq-AL"/>
        </w:rPr>
      </w:pPr>
      <w:r w:rsidRPr="00357FAE">
        <w:rPr>
          <w:rFonts w:cs="Arial"/>
          <w:bCs/>
          <w:spacing w:val="-4"/>
          <w:lang w:val="sq-AL"/>
        </w:rPr>
        <w:t>- Vendimin nr. 146, dat</w:t>
      </w:r>
      <w:r w:rsidRPr="00357FAE">
        <w:rPr>
          <w:bCs/>
          <w:spacing w:val="-4"/>
          <w:lang w:val="sq-AL"/>
        </w:rPr>
        <w:t>ë</w:t>
      </w:r>
      <w:r w:rsidRPr="00357FAE">
        <w:rPr>
          <w:rFonts w:cs="Arial"/>
          <w:bCs/>
          <w:spacing w:val="-4"/>
          <w:lang w:val="sq-AL"/>
        </w:rPr>
        <w:t xml:space="preserve"> 26.12.2014 “</w:t>
      </w:r>
      <w:r w:rsidRPr="00357FAE">
        <w:rPr>
          <w:bCs/>
          <w:spacing w:val="-4"/>
          <w:lang w:val="sq-AL"/>
        </w:rPr>
        <w:t>Për përcaktimin e tarifës së shërbimit të shpërndarjes së energjisë elektrike për vitin 2015 në nivelin e tensionit 35 kV</w:t>
      </w:r>
      <w:r w:rsidRPr="00357FAE">
        <w:rPr>
          <w:rFonts w:cs="Arial"/>
          <w:bCs/>
          <w:spacing w:val="-4"/>
          <w:lang w:val="sq-AL"/>
        </w:rPr>
        <w:t>”.</w:t>
      </w:r>
    </w:p>
    <w:p w:rsidR="00114785" w:rsidRPr="00357FAE" w:rsidRDefault="00114785" w:rsidP="00114785">
      <w:pPr>
        <w:pStyle w:val="Paragrafi"/>
        <w:rPr>
          <w:rFonts w:cs="Tahoma"/>
          <w:bCs/>
          <w:spacing w:val="-4"/>
          <w:lang w:val="sq-AL"/>
        </w:rPr>
      </w:pPr>
      <w:r w:rsidRPr="00357FAE">
        <w:rPr>
          <w:rFonts w:cs="Tahoma"/>
          <w:bCs/>
          <w:spacing w:val="-4"/>
          <w:lang w:val="sq-AL"/>
        </w:rPr>
        <w:t>- Vendimi nr. 147, dat</w:t>
      </w:r>
      <w:r w:rsidRPr="00357FAE">
        <w:rPr>
          <w:bCs/>
          <w:spacing w:val="-4"/>
          <w:lang w:val="sq-AL"/>
        </w:rPr>
        <w:t>ë</w:t>
      </w:r>
      <w:r w:rsidRPr="00357FAE">
        <w:rPr>
          <w:rFonts w:cs="Tahoma"/>
          <w:bCs/>
          <w:spacing w:val="-4"/>
          <w:lang w:val="sq-AL"/>
        </w:rPr>
        <w:t xml:space="preserve"> 26.12.2014 “</w:t>
      </w:r>
      <w:r w:rsidRPr="00357FAE">
        <w:rPr>
          <w:bCs/>
          <w:spacing w:val="-4"/>
          <w:lang w:val="sq-AL"/>
        </w:rPr>
        <w:t>Për përcaktimin e tarifës mesatare të shërbimit të shpërndarjes së energjisë elektrike për vitin 2015</w:t>
      </w:r>
      <w:r w:rsidRPr="00357FAE">
        <w:rPr>
          <w:rFonts w:cs="Tahoma"/>
          <w:bCs/>
          <w:spacing w:val="-4"/>
          <w:lang w:val="sq-AL"/>
        </w:rPr>
        <w:t xml:space="preserve">”. </w:t>
      </w:r>
    </w:p>
    <w:p w:rsidR="00114785" w:rsidRPr="00357FAE" w:rsidRDefault="00114785" w:rsidP="00114785">
      <w:pPr>
        <w:pStyle w:val="Paragrafi"/>
        <w:rPr>
          <w:rFonts w:cs="Tahoma"/>
          <w:bCs/>
          <w:spacing w:val="-4"/>
          <w:lang w:val="sq-AL"/>
        </w:rPr>
      </w:pPr>
      <w:r w:rsidRPr="00357FAE">
        <w:rPr>
          <w:rFonts w:cs="Tahoma"/>
          <w:bCs/>
          <w:spacing w:val="-4"/>
          <w:lang w:val="sq-AL"/>
        </w:rPr>
        <w:t>- Vendimi nr. 148, dat</w:t>
      </w:r>
      <w:r w:rsidRPr="00357FAE">
        <w:rPr>
          <w:bCs/>
          <w:spacing w:val="-4"/>
          <w:lang w:val="sq-AL"/>
        </w:rPr>
        <w:t>ë</w:t>
      </w:r>
      <w:r w:rsidRPr="00357FAE">
        <w:rPr>
          <w:rFonts w:cs="Tahoma"/>
          <w:bCs/>
          <w:spacing w:val="-4"/>
          <w:lang w:val="sq-AL"/>
        </w:rPr>
        <w:t xml:space="preserve"> 26.12.2014 “</w:t>
      </w:r>
      <w:r w:rsidRPr="00357FAE">
        <w:rPr>
          <w:bCs/>
          <w:spacing w:val="-4"/>
          <w:lang w:val="sq-AL"/>
        </w:rPr>
        <w:t>Për përcaktimin e çmimeve të shitjes me pakicë të energjisë elektrike për konsumatorët tariforë për vitin 2015</w:t>
      </w:r>
      <w:r w:rsidRPr="00357FAE">
        <w:rPr>
          <w:rFonts w:cs="Tahoma"/>
          <w:bCs/>
          <w:spacing w:val="-4"/>
          <w:lang w:val="sq-AL"/>
        </w:rPr>
        <w:t>”.</w:t>
      </w:r>
    </w:p>
    <w:p w:rsidR="00114785" w:rsidRPr="00357FAE" w:rsidRDefault="00114785" w:rsidP="00114785">
      <w:pPr>
        <w:pStyle w:val="Paragrafi"/>
        <w:rPr>
          <w:bCs/>
          <w:spacing w:val="-4"/>
          <w:lang w:val="sq-AL"/>
        </w:rPr>
      </w:pPr>
      <w:r w:rsidRPr="00357FAE">
        <w:rPr>
          <w:bCs/>
          <w:spacing w:val="-4"/>
          <w:lang w:val="sq-AL"/>
        </w:rPr>
        <w:t>- Vendim nr. 13, datë 16.2.2016 “Mbi tarifën fikse të energjisë elektrike, që do t’u paguhet prodhuesve të energjisë elektrike, nga hidrocentralet për vitin 2016”.</w:t>
      </w:r>
    </w:p>
    <w:p w:rsidR="00114785" w:rsidRPr="00357FAE" w:rsidRDefault="00114785" w:rsidP="00114785">
      <w:pPr>
        <w:pStyle w:val="Paragrafi"/>
        <w:rPr>
          <w:bCs/>
          <w:spacing w:val="-4"/>
          <w:lang w:val="sq-AL"/>
        </w:rPr>
      </w:pPr>
      <w:r w:rsidRPr="00357FAE">
        <w:rPr>
          <w:rFonts w:cs="Arial"/>
          <w:spacing w:val="-4"/>
          <w:lang w:val="sq-AL"/>
        </w:rPr>
        <w:t xml:space="preserve">- Vendimit nr. 128, datë 29.7.2016 “Mbi tarifat e shitjes me pakicë të energjisë elektrike të lidhur në TM dhe me matës në TU për periudhën 1 korrik–31 dhjetor 2016”. </w:t>
      </w:r>
    </w:p>
    <w:p w:rsidR="00114785" w:rsidRPr="00357FAE" w:rsidRDefault="00114785" w:rsidP="00114785">
      <w:pPr>
        <w:pStyle w:val="Paragrafi"/>
        <w:rPr>
          <w:rFonts w:cs="SimSun"/>
          <w:spacing w:val="-4"/>
          <w:lang w:val="sq-AL"/>
        </w:rPr>
      </w:pPr>
      <w:r w:rsidRPr="00357FAE">
        <w:rPr>
          <w:rFonts w:cs="SimSun"/>
          <w:spacing w:val="-4"/>
          <w:lang w:val="sq-AL"/>
        </w:rPr>
        <w:t xml:space="preserve">2. Miratimin e çmimeve të përkohshme për klientët që nuk arrijnë të sigurojnë furnizues në treg për shkak të pamundësisë objektive të operatorëve të sistemit. Në përputhje me VKM nr. 449, datë 15.6.2016, furnizimi si mundësi e fundit i këtyre klientëve kryhet në të njëjtat kushte me shërbimin universal të furnizimit me çmimet si më poshtë: </w:t>
      </w:r>
    </w:p>
    <w:p w:rsidR="00114785" w:rsidRDefault="00114785" w:rsidP="00114785">
      <w:pPr>
        <w:pStyle w:val="Paragrafi"/>
        <w:rPr>
          <w:rFonts w:cs="Arial"/>
          <w:b/>
          <w:i/>
          <w:spacing w:val="-4"/>
          <w:lang w:val="sq-AL"/>
        </w:rPr>
      </w:pPr>
      <w:r w:rsidRPr="00357FAE">
        <w:rPr>
          <w:rFonts w:cs="Arial"/>
          <w:b/>
          <w:i/>
          <w:spacing w:val="-4"/>
          <w:lang w:val="sq-AL"/>
        </w:rPr>
        <w:t>Për klientët e lidhur në nivelin e tensionit 35 kV çmimi i shitjes së energjisë elektrike është 9.5 lekë/kWh, ndërsa çmimi në pik është 10.93 lekë/kWh.</w:t>
      </w:r>
    </w:p>
    <w:p w:rsidR="00114785" w:rsidRPr="00357FAE" w:rsidRDefault="00114785" w:rsidP="00114785">
      <w:pPr>
        <w:pStyle w:val="Paragrafi"/>
        <w:rPr>
          <w:rFonts w:cs="SimSun"/>
          <w:b/>
          <w:i/>
          <w:spacing w:val="-4"/>
          <w:lang w:val="sq-AL"/>
        </w:rPr>
      </w:pPr>
      <w:r w:rsidRPr="00357FAE">
        <w:rPr>
          <w:rFonts w:cs="Arial"/>
          <w:b/>
          <w:i/>
          <w:spacing w:val="-4"/>
          <w:lang w:val="sq-AL"/>
        </w:rPr>
        <w:t>Për klientët e lidhur në nivelin e tensionit 20 kV çmimi i shitjes së energjisë është 11 lekë/kWh, ndërsa çmimi në pik është 12.65 lekë/kWh.</w:t>
      </w:r>
    </w:p>
    <w:p w:rsidR="00114785" w:rsidRPr="00357FAE" w:rsidRDefault="00114785" w:rsidP="00114785">
      <w:pPr>
        <w:pStyle w:val="Paragrafi"/>
        <w:rPr>
          <w:bCs/>
          <w:spacing w:val="-4"/>
          <w:lang w:val="sq-AL"/>
        </w:rPr>
      </w:pPr>
      <w:r w:rsidRPr="00357FAE">
        <w:rPr>
          <w:rFonts w:cs="Arial"/>
          <w:spacing w:val="-4"/>
          <w:lang w:val="sq-AL"/>
        </w:rPr>
        <w:t xml:space="preserve">3. Tarifa e aksesit të shpërndarjes për klientët e lidhur në nivelin e tensionit 20kV të jetë 3,9 lekë/kWh. </w:t>
      </w:r>
    </w:p>
    <w:p w:rsidR="00114785" w:rsidRPr="00357FAE" w:rsidRDefault="00114785" w:rsidP="00114785">
      <w:pPr>
        <w:pStyle w:val="Paragrafi"/>
        <w:rPr>
          <w:bCs/>
          <w:spacing w:val="-4"/>
          <w:lang w:val="sq-AL"/>
        </w:rPr>
      </w:pPr>
      <w:r w:rsidRPr="00357FAE">
        <w:rPr>
          <w:rFonts w:cs="SimSun"/>
          <w:spacing w:val="-4"/>
          <w:lang w:val="sq-AL"/>
        </w:rPr>
        <w:t>4. OSHEE sh.a., përveç shlyerjes së detyrimeve korrente, të kryej edhe pagesat ndaj KESH sh.a. dhe OST sh.a. nga detyrimet e prapambetura për qëllime të pagesave të kredive nga OST sh.a. dhe KESH sh.a.</w:t>
      </w:r>
    </w:p>
    <w:p w:rsidR="00114785" w:rsidRPr="00357FAE" w:rsidRDefault="00114785" w:rsidP="00114785">
      <w:pPr>
        <w:pStyle w:val="Paragrafi"/>
        <w:rPr>
          <w:bCs/>
          <w:spacing w:val="-4"/>
          <w:lang w:val="sq-AL"/>
        </w:rPr>
      </w:pPr>
      <w:r w:rsidRPr="00357FAE">
        <w:rPr>
          <w:bCs/>
          <w:spacing w:val="-4"/>
          <w:lang w:val="sq-AL"/>
        </w:rPr>
        <w:t xml:space="preserve">5. Përditësimi dhe kompensimi i të gjitha efekteve të mundshme financiare për të licencuarit për periudhën 2015 dhe vitin 2016 do të bëhet në periudhën pasardhëse sipas përcaktimeve të nenit 20 germa “c”, të ligjit nr. 43/2015 “Për sektorin e energjisë elektrike”. </w:t>
      </w:r>
    </w:p>
    <w:p w:rsidR="00114785" w:rsidRDefault="00114785" w:rsidP="00114785">
      <w:pPr>
        <w:pStyle w:val="Paragrafi"/>
        <w:rPr>
          <w:bCs/>
          <w:spacing w:val="-4"/>
          <w:lang w:val="sq-AL"/>
        </w:rPr>
      </w:pPr>
    </w:p>
    <w:p w:rsidR="00114785" w:rsidRDefault="00114785" w:rsidP="00114785">
      <w:pPr>
        <w:pStyle w:val="Paragrafi"/>
        <w:rPr>
          <w:bCs/>
          <w:spacing w:val="-4"/>
          <w:lang w:val="sq-AL"/>
        </w:rPr>
      </w:pPr>
    </w:p>
    <w:p w:rsidR="00114785" w:rsidRPr="00E945A5" w:rsidRDefault="00114785" w:rsidP="00114785">
      <w:pPr>
        <w:pStyle w:val="Paragrafi"/>
        <w:rPr>
          <w:bCs/>
          <w:spacing w:val="-6"/>
          <w:lang w:val="sq-AL"/>
        </w:rPr>
      </w:pPr>
      <w:r w:rsidRPr="00E945A5">
        <w:rPr>
          <w:bCs/>
          <w:spacing w:val="-6"/>
          <w:lang w:val="sq-AL"/>
        </w:rPr>
        <w:t>6. Drejtoria e Tarifave dhe Çmimeve të njoftojë të interesuarit për vendimmarrjen e Bordit të ERE-s.</w:t>
      </w:r>
    </w:p>
    <w:p w:rsidR="00114785" w:rsidRPr="00357FAE" w:rsidRDefault="00114785" w:rsidP="00114785">
      <w:pPr>
        <w:pStyle w:val="Paragrafi"/>
        <w:rPr>
          <w:spacing w:val="-4"/>
          <w:lang w:val="sq-AL"/>
        </w:rPr>
      </w:pPr>
      <w:r w:rsidRPr="00357FAE">
        <w:rPr>
          <w:spacing w:val="-4"/>
          <w:lang w:val="sq-AL"/>
        </w:rPr>
        <w:t xml:space="preserve">Ky vendim hyn në fuqi menjëherë. </w:t>
      </w:r>
    </w:p>
    <w:p w:rsidR="00114785" w:rsidRPr="00357FAE" w:rsidRDefault="00114785" w:rsidP="00114785">
      <w:pPr>
        <w:pStyle w:val="Paragrafi"/>
        <w:rPr>
          <w:spacing w:val="-4"/>
          <w:lang w:val="sq-AL"/>
        </w:rPr>
      </w:pPr>
      <w:r w:rsidRPr="00357FAE">
        <w:rPr>
          <w:spacing w:val="-4"/>
          <w:lang w:val="sq-AL"/>
        </w:rPr>
        <w:t xml:space="preserve">Ky vendim botohet në Fletoren Zyrtare. </w:t>
      </w:r>
    </w:p>
    <w:p w:rsidR="00114785" w:rsidRPr="00357FAE" w:rsidRDefault="00114785" w:rsidP="00114785">
      <w:pPr>
        <w:pStyle w:val="Paragrafi"/>
        <w:rPr>
          <w:spacing w:val="-4"/>
          <w:lang w:val="sq-AL"/>
        </w:rPr>
      </w:pPr>
      <w:r w:rsidRPr="00357FAE">
        <w:rPr>
          <w:spacing w:val="-4"/>
          <w:lang w:val="sq-AL"/>
        </w:rPr>
        <w:t xml:space="preserve">Ky vendim mund të ankimohet në Gjykatën Administrative Tiranë, brenda 30 ditëve kalendarike, nga dita e publikimit në Fletoren Zyrtare. </w:t>
      </w:r>
    </w:p>
    <w:p w:rsidR="00114785" w:rsidRPr="00357FAE" w:rsidRDefault="00114785" w:rsidP="00114785">
      <w:pPr>
        <w:pStyle w:val="Autoriteti"/>
        <w:keepNext w:val="0"/>
        <w:rPr>
          <w:spacing w:val="-4"/>
          <w:lang w:val="sq-AL"/>
        </w:rPr>
      </w:pPr>
      <w:r w:rsidRPr="00357FAE">
        <w:rPr>
          <w:spacing w:val="-4"/>
          <w:lang w:val="sq-AL"/>
        </w:rPr>
        <w:t>Kryetari</w:t>
      </w:r>
    </w:p>
    <w:p w:rsidR="00114785" w:rsidRPr="00357FAE" w:rsidRDefault="00114785" w:rsidP="00114785">
      <w:pPr>
        <w:pStyle w:val="AutoritetiEmer"/>
        <w:rPr>
          <w:spacing w:val="-4"/>
          <w:lang w:val="sq-AL"/>
        </w:rPr>
      </w:pPr>
      <w:r w:rsidRPr="00357FAE">
        <w:rPr>
          <w:spacing w:val="-4"/>
          <w:lang w:val="sq-AL"/>
        </w:rPr>
        <w:t>Petrit Ahmeti</w:t>
      </w:r>
    </w:p>
    <w:p w:rsidR="00114785" w:rsidRPr="00357FAE" w:rsidRDefault="00114785" w:rsidP="00114785">
      <w:pPr>
        <w:pStyle w:val="Hapesira7"/>
        <w:rPr>
          <w:spacing w:val="-4"/>
          <w:lang w:val="sq-AL"/>
        </w:rPr>
      </w:pPr>
    </w:p>
    <w:p w:rsidR="00114785" w:rsidRPr="00357FAE" w:rsidRDefault="00114785" w:rsidP="00114785">
      <w:pPr>
        <w:pStyle w:val="Paragrafi"/>
        <w:ind w:firstLine="0"/>
        <w:jc w:val="center"/>
        <w:rPr>
          <w:rFonts w:eastAsia="Times New Roman"/>
          <w:bCs/>
          <w:color w:val="000000"/>
          <w:spacing w:val="-4"/>
          <w:lang w:val="sq-AL"/>
        </w:rPr>
      </w:pPr>
      <w:r w:rsidRPr="00357FAE">
        <w:rPr>
          <w:rFonts w:eastAsia="Times New Roman"/>
          <w:bCs/>
          <w:color w:val="000000"/>
          <w:spacing w:val="-4"/>
          <w:lang w:val="sq-AL"/>
        </w:rPr>
        <w:t>TARIFAT E SHËRBIMEVE TË SHITJES</w:t>
      </w:r>
    </w:p>
    <w:p w:rsidR="00114785" w:rsidRPr="00357FAE" w:rsidRDefault="00114785" w:rsidP="00114785">
      <w:pPr>
        <w:pStyle w:val="Paragrafi"/>
        <w:ind w:firstLine="0"/>
        <w:jc w:val="center"/>
        <w:rPr>
          <w:rFonts w:eastAsia="Times New Roman"/>
          <w:bCs/>
          <w:color w:val="000000"/>
          <w:spacing w:val="-4"/>
          <w:sz w:val="22"/>
          <w:lang w:val="sq-AL"/>
        </w:rPr>
      </w:pPr>
      <w:r w:rsidRPr="00357FAE">
        <w:rPr>
          <w:rFonts w:eastAsia="Times New Roman"/>
          <w:bCs/>
          <w:color w:val="000000"/>
          <w:spacing w:val="-4"/>
          <w:lang w:val="sq-AL"/>
        </w:rPr>
        <w:t>ME PAKICË TË ENERGJISË ELEKTRIKË PË</w:t>
      </w:r>
      <w:r w:rsidRPr="00357FAE">
        <w:rPr>
          <w:rFonts w:eastAsia="Times New Roman"/>
          <w:bCs/>
          <w:color w:val="000000"/>
          <w:spacing w:val="-4"/>
          <w:sz w:val="22"/>
          <w:lang w:val="sq-AL"/>
        </w:rPr>
        <w:t>R VITIN 2015</w:t>
      </w:r>
    </w:p>
    <w:tbl>
      <w:tblPr>
        <w:tblW w:w="5000" w:type="pct"/>
        <w:shd w:val="clear" w:color="000000" w:fill="auto"/>
        <w:tblLook w:val="04A0" w:firstRow="1" w:lastRow="0" w:firstColumn="1" w:lastColumn="0" w:noHBand="0" w:noVBand="1"/>
      </w:tblPr>
      <w:tblGrid>
        <w:gridCol w:w="5757"/>
        <w:gridCol w:w="1988"/>
        <w:gridCol w:w="1831"/>
      </w:tblGrid>
      <w:tr w:rsidR="00114785" w:rsidRPr="00357FAE" w:rsidTr="00B84469">
        <w:trPr>
          <w:trHeight w:val="104"/>
        </w:trPr>
        <w:tc>
          <w:tcPr>
            <w:tcW w:w="3006" w:type="pct"/>
            <w:tcBorders>
              <w:top w:val="single" w:sz="8" w:space="0" w:color="auto"/>
              <w:left w:val="single" w:sz="8" w:space="0" w:color="auto"/>
              <w:bottom w:val="single" w:sz="8" w:space="0" w:color="auto"/>
              <w:right w:val="single" w:sz="8" w:space="0" w:color="000000"/>
            </w:tcBorders>
            <w:shd w:val="clear" w:color="000000" w:fill="auto"/>
            <w:vAlign w:val="center"/>
            <w:hideMark/>
          </w:tcPr>
          <w:p w:rsidR="00114785" w:rsidRPr="00357FAE" w:rsidRDefault="00114785" w:rsidP="00B84469">
            <w:pPr>
              <w:widowControl w:val="0"/>
              <w:spacing w:after="0" w:line="240" w:lineRule="auto"/>
              <w:ind w:firstLine="0"/>
              <w:jc w:val="center"/>
              <w:rPr>
                <w:rFonts w:ascii="Garamond" w:eastAsia="Times New Roman" w:hAnsi="Garamond"/>
                <w:b/>
                <w:bCs/>
                <w:color w:val="000000"/>
                <w:spacing w:val="-4"/>
                <w:sz w:val="18"/>
                <w:szCs w:val="18"/>
                <w:lang w:val="sq-AL"/>
              </w:rPr>
            </w:pPr>
            <w:r w:rsidRPr="00357FAE">
              <w:rPr>
                <w:rFonts w:ascii="Garamond" w:eastAsia="Times New Roman" w:hAnsi="Garamond"/>
                <w:b/>
                <w:bCs/>
                <w:color w:val="000000"/>
                <w:spacing w:val="-4"/>
                <w:sz w:val="18"/>
                <w:szCs w:val="18"/>
                <w:lang w:val="sq-AL"/>
              </w:rPr>
              <w:t>Niveli i tensionit</w:t>
            </w:r>
          </w:p>
        </w:tc>
        <w:tc>
          <w:tcPr>
            <w:tcW w:w="1038" w:type="pct"/>
            <w:tcBorders>
              <w:top w:val="single" w:sz="8" w:space="0" w:color="auto"/>
              <w:left w:val="nil"/>
              <w:bottom w:val="single" w:sz="8" w:space="0" w:color="auto"/>
              <w:right w:val="single" w:sz="4" w:space="0" w:color="auto"/>
            </w:tcBorders>
            <w:shd w:val="clear" w:color="000000" w:fill="auto"/>
            <w:vAlign w:val="center"/>
            <w:hideMark/>
          </w:tcPr>
          <w:p w:rsidR="00114785" w:rsidRPr="00357FAE" w:rsidRDefault="00114785" w:rsidP="00B84469">
            <w:pPr>
              <w:widowControl w:val="0"/>
              <w:spacing w:after="0" w:line="240" w:lineRule="auto"/>
              <w:ind w:firstLine="0"/>
              <w:jc w:val="center"/>
              <w:rPr>
                <w:rFonts w:ascii="Garamond" w:eastAsia="Times New Roman" w:hAnsi="Garamond"/>
                <w:b/>
                <w:bCs/>
                <w:color w:val="000000"/>
                <w:spacing w:val="-4"/>
                <w:sz w:val="18"/>
                <w:szCs w:val="18"/>
                <w:lang w:val="sq-AL"/>
              </w:rPr>
            </w:pPr>
            <w:r w:rsidRPr="00357FAE">
              <w:rPr>
                <w:rFonts w:ascii="Garamond" w:eastAsia="Times New Roman" w:hAnsi="Garamond"/>
                <w:b/>
                <w:bCs/>
                <w:color w:val="000000"/>
                <w:spacing w:val="-4"/>
                <w:sz w:val="18"/>
                <w:szCs w:val="18"/>
                <w:lang w:val="sq-AL"/>
              </w:rPr>
              <w:t>Çmimi (lekë/kWh)</w:t>
            </w:r>
          </w:p>
        </w:tc>
        <w:tc>
          <w:tcPr>
            <w:tcW w:w="956" w:type="pct"/>
            <w:tcBorders>
              <w:top w:val="single" w:sz="8" w:space="0" w:color="auto"/>
              <w:left w:val="nil"/>
              <w:bottom w:val="single" w:sz="8" w:space="0" w:color="auto"/>
              <w:right w:val="single" w:sz="8" w:space="0" w:color="auto"/>
            </w:tcBorders>
            <w:shd w:val="clear" w:color="000000" w:fill="auto"/>
            <w:vAlign w:val="center"/>
            <w:hideMark/>
          </w:tcPr>
          <w:p w:rsidR="00114785" w:rsidRPr="00357FAE" w:rsidRDefault="00114785" w:rsidP="00B84469">
            <w:pPr>
              <w:widowControl w:val="0"/>
              <w:spacing w:after="0" w:line="240" w:lineRule="auto"/>
              <w:ind w:firstLine="0"/>
              <w:jc w:val="center"/>
              <w:rPr>
                <w:rFonts w:ascii="Garamond" w:eastAsia="Times New Roman" w:hAnsi="Garamond"/>
                <w:b/>
                <w:bCs/>
                <w:color w:val="000000"/>
                <w:spacing w:val="-4"/>
                <w:sz w:val="18"/>
                <w:szCs w:val="18"/>
                <w:lang w:val="sq-AL"/>
              </w:rPr>
            </w:pPr>
            <w:r w:rsidRPr="00357FAE">
              <w:rPr>
                <w:rFonts w:ascii="Garamond" w:eastAsia="Times New Roman" w:hAnsi="Garamond"/>
                <w:b/>
                <w:bCs/>
                <w:color w:val="000000"/>
                <w:spacing w:val="-4"/>
                <w:sz w:val="18"/>
                <w:szCs w:val="18"/>
                <w:lang w:val="sq-AL"/>
              </w:rPr>
              <w:t>Çmimi pikë (lekë/</w:t>
            </w:r>
          </w:p>
          <w:p w:rsidR="00114785" w:rsidRPr="00357FAE" w:rsidRDefault="00114785" w:rsidP="00B84469">
            <w:pPr>
              <w:widowControl w:val="0"/>
              <w:spacing w:after="0" w:line="240" w:lineRule="auto"/>
              <w:ind w:firstLine="0"/>
              <w:jc w:val="center"/>
              <w:rPr>
                <w:rFonts w:ascii="Garamond" w:eastAsia="Times New Roman" w:hAnsi="Garamond"/>
                <w:b/>
                <w:bCs/>
                <w:color w:val="000000"/>
                <w:spacing w:val="-4"/>
                <w:sz w:val="18"/>
                <w:szCs w:val="18"/>
                <w:lang w:val="sq-AL"/>
              </w:rPr>
            </w:pPr>
            <w:r w:rsidRPr="00357FAE">
              <w:rPr>
                <w:rFonts w:ascii="Garamond" w:eastAsia="Times New Roman" w:hAnsi="Garamond"/>
                <w:b/>
                <w:bCs/>
                <w:color w:val="000000"/>
                <w:spacing w:val="-4"/>
                <w:sz w:val="18"/>
                <w:szCs w:val="18"/>
                <w:lang w:val="sq-AL"/>
              </w:rPr>
              <w:t>kWh)</w:t>
            </w:r>
          </w:p>
        </w:tc>
      </w:tr>
      <w:tr w:rsidR="00114785" w:rsidRPr="00357FAE" w:rsidTr="00B84469">
        <w:trPr>
          <w:trHeight w:val="113"/>
        </w:trPr>
        <w:tc>
          <w:tcPr>
            <w:tcW w:w="3006" w:type="pct"/>
            <w:tcBorders>
              <w:top w:val="single" w:sz="4" w:space="0" w:color="auto"/>
              <w:left w:val="single" w:sz="8" w:space="0" w:color="auto"/>
              <w:bottom w:val="single" w:sz="4" w:space="0" w:color="auto"/>
              <w:right w:val="single" w:sz="8" w:space="0" w:color="000000"/>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Konsumatorë në 10/6 kV</w:t>
            </w:r>
          </w:p>
        </w:tc>
        <w:tc>
          <w:tcPr>
            <w:tcW w:w="1038" w:type="pct"/>
            <w:tcBorders>
              <w:top w:val="single" w:sz="4" w:space="0" w:color="auto"/>
              <w:left w:val="nil"/>
              <w:bottom w:val="single" w:sz="4" w:space="0" w:color="auto"/>
              <w:right w:val="single" w:sz="4"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11</w:t>
            </w:r>
          </w:p>
        </w:tc>
        <w:tc>
          <w:tcPr>
            <w:tcW w:w="956" w:type="pct"/>
            <w:tcBorders>
              <w:top w:val="single" w:sz="4" w:space="0" w:color="auto"/>
              <w:left w:val="nil"/>
              <w:bottom w:val="single" w:sz="4" w:space="0" w:color="auto"/>
              <w:right w:val="single" w:sz="8"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12.65</w:t>
            </w:r>
          </w:p>
        </w:tc>
      </w:tr>
      <w:tr w:rsidR="00114785" w:rsidRPr="00357FAE" w:rsidTr="00B84469">
        <w:trPr>
          <w:trHeight w:val="126"/>
        </w:trPr>
        <w:tc>
          <w:tcPr>
            <w:tcW w:w="3006" w:type="pct"/>
            <w:tcBorders>
              <w:top w:val="nil"/>
              <w:left w:val="single" w:sz="8" w:space="0" w:color="auto"/>
              <w:bottom w:val="single" w:sz="4" w:space="0" w:color="auto"/>
              <w:right w:val="single" w:sz="8" w:space="0" w:color="auto"/>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Konsumatorë në TM matja në TU</w:t>
            </w:r>
          </w:p>
        </w:tc>
        <w:tc>
          <w:tcPr>
            <w:tcW w:w="1038" w:type="pct"/>
            <w:tcBorders>
              <w:top w:val="nil"/>
              <w:left w:val="nil"/>
              <w:bottom w:val="single" w:sz="4" w:space="0" w:color="auto"/>
              <w:right w:val="single" w:sz="4"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12.4</w:t>
            </w:r>
          </w:p>
        </w:tc>
        <w:tc>
          <w:tcPr>
            <w:tcW w:w="956" w:type="pct"/>
            <w:tcBorders>
              <w:top w:val="nil"/>
              <w:left w:val="nil"/>
              <w:bottom w:val="single" w:sz="4" w:space="0" w:color="auto"/>
              <w:right w:val="single" w:sz="8"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14.3</w:t>
            </w:r>
          </w:p>
        </w:tc>
      </w:tr>
      <w:tr w:rsidR="00114785" w:rsidRPr="00357FAE" w:rsidTr="00B84469">
        <w:trPr>
          <w:trHeight w:val="51"/>
        </w:trPr>
        <w:tc>
          <w:tcPr>
            <w:tcW w:w="3006" w:type="pct"/>
            <w:tcBorders>
              <w:top w:val="single" w:sz="4" w:space="0" w:color="auto"/>
              <w:left w:val="single" w:sz="8" w:space="0" w:color="auto"/>
              <w:bottom w:val="single" w:sz="4" w:space="0" w:color="auto"/>
              <w:right w:val="single" w:sz="8" w:space="0" w:color="000000"/>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Furra buke dhe prodhim mielli në 10/6 kV</w:t>
            </w:r>
          </w:p>
        </w:tc>
        <w:tc>
          <w:tcPr>
            <w:tcW w:w="1038" w:type="pct"/>
            <w:tcBorders>
              <w:top w:val="nil"/>
              <w:left w:val="nil"/>
              <w:bottom w:val="single" w:sz="4" w:space="0" w:color="auto"/>
              <w:right w:val="single" w:sz="4"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7.1</w:t>
            </w:r>
          </w:p>
        </w:tc>
        <w:tc>
          <w:tcPr>
            <w:tcW w:w="956" w:type="pct"/>
            <w:tcBorders>
              <w:top w:val="nil"/>
              <w:left w:val="nil"/>
              <w:bottom w:val="single" w:sz="4" w:space="0" w:color="auto"/>
              <w:right w:val="single" w:sz="8"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8.17</w:t>
            </w:r>
          </w:p>
        </w:tc>
      </w:tr>
      <w:tr w:rsidR="00114785" w:rsidRPr="00357FAE" w:rsidTr="00B84469">
        <w:trPr>
          <w:trHeight w:val="51"/>
        </w:trPr>
        <w:tc>
          <w:tcPr>
            <w:tcW w:w="3006" w:type="pct"/>
            <w:tcBorders>
              <w:top w:val="single" w:sz="4" w:space="0" w:color="auto"/>
              <w:left w:val="single" w:sz="8" w:space="0" w:color="auto"/>
              <w:bottom w:val="single" w:sz="4" w:space="0" w:color="auto"/>
              <w:right w:val="single" w:sz="8" w:space="0" w:color="000000"/>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Konsumatorë në 0.4 kV</w:t>
            </w:r>
          </w:p>
        </w:tc>
        <w:tc>
          <w:tcPr>
            <w:tcW w:w="1038" w:type="pct"/>
            <w:tcBorders>
              <w:top w:val="nil"/>
              <w:left w:val="nil"/>
              <w:bottom w:val="single" w:sz="4" w:space="0" w:color="auto"/>
              <w:right w:val="single" w:sz="4"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14</w:t>
            </w:r>
          </w:p>
        </w:tc>
        <w:tc>
          <w:tcPr>
            <w:tcW w:w="956" w:type="pct"/>
            <w:tcBorders>
              <w:top w:val="nil"/>
              <w:left w:val="nil"/>
              <w:bottom w:val="single" w:sz="4" w:space="0" w:color="auto"/>
              <w:right w:val="single" w:sz="8"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16.1</w:t>
            </w:r>
          </w:p>
        </w:tc>
      </w:tr>
      <w:tr w:rsidR="00114785" w:rsidRPr="00357FAE" w:rsidTr="00B84469">
        <w:trPr>
          <w:trHeight w:val="71"/>
        </w:trPr>
        <w:tc>
          <w:tcPr>
            <w:tcW w:w="3006" w:type="pct"/>
            <w:tcBorders>
              <w:top w:val="single" w:sz="4" w:space="0" w:color="auto"/>
              <w:left w:val="single" w:sz="8" w:space="0" w:color="auto"/>
              <w:bottom w:val="single" w:sz="4" w:space="0" w:color="auto"/>
              <w:right w:val="single" w:sz="8" w:space="0" w:color="000000"/>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Furra buke dhe prodhim mielli në 0.4 kV</w:t>
            </w:r>
          </w:p>
        </w:tc>
        <w:tc>
          <w:tcPr>
            <w:tcW w:w="1038" w:type="pct"/>
            <w:tcBorders>
              <w:top w:val="nil"/>
              <w:left w:val="nil"/>
              <w:bottom w:val="single" w:sz="4" w:space="0" w:color="auto"/>
              <w:right w:val="single" w:sz="4"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7.6</w:t>
            </w:r>
          </w:p>
        </w:tc>
        <w:tc>
          <w:tcPr>
            <w:tcW w:w="956" w:type="pct"/>
            <w:tcBorders>
              <w:top w:val="nil"/>
              <w:left w:val="nil"/>
              <w:bottom w:val="single" w:sz="4" w:space="0" w:color="auto"/>
              <w:right w:val="single" w:sz="8"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8.74</w:t>
            </w:r>
          </w:p>
        </w:tc>
      </w:tr>
      <w:tr w:rsidR="00114785" w:rsidRPr="00357FAE" w:rsidTr="00B84469">
        <w:trPr>
          <w:trHeight w:val="51"/>
        </w:trPr>
        <w:tc>
          <w:tcPr>
            <w:tcW w:w="3006" w:type="pct"/>
            <w:tcBorders>
              <w:top w:val="single" w:sz="4" w:space="0" w:color="auto"/>
              <w:left w:val="single" w:sz="8" w:space="0" w:color="auto"/>
              <w:bottom w:val="single" w:sz="4" w:space="0" w:color="auto"/>
              <w:right w:val="single" w:sz="8" w:space="0" w:color="000000"/>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Familjarë</w:t>
            </w:r>
          </w:p>
        </w:tc>
        <w:tc>
          <w:tcPr>
            <w:tcW w:w="1038" w:type="pct"/>
            <w:tcBorders>
              <w:top w:val="nil"/>
              <w:left w:val="nil"/>
              <w:bottom w:val="single" w:sz="4" w:space="0" w:color="auto"/>
              <w:right w:val="single" w:sz="4"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9.5</w:t>
            </w:r>
          </w:p>
        </w:tc>
        <w:tc>
          <w:tcPr>
            <w:tcW w:w="956" w:type="pct"/>
            <w:tcBorders>
              <w:top w:val="nil"/>
              <w:left w:val="nil"/>
              <w:bottom w:val="single" w:sz="4" w:space="0" w:color="auto"/>
              <w:right w:val="single" w:sz="8"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p>
        </w:tc>
      </w:tr>
      <w:tr w:rsidR="00114785" w:rsidRPr="00357FAE" w:rsidTr="00B84469">
        <w:trPr>
          <w:trHeight w:val="261"/>
        </w:trPr>
        <w:tc>
          <w:tcPr>
            <w:tcW w:w="3006" w:type="pct"/>
            <w:tcBorders>
              <w:top w:val="single" w:sz="4" w:space="0" w:color="auto"/>
              <w:left w:val="single" w:sz="8" w:space="0" w:color="auto"/>
              <w:bottom w:val="single" w:sz="4" w:space="0" w:color="auto"/>
              <w:right w:val="single" w:sz="8" w:space="0" w:color="000000"/>
            </w:tcBorders>
            <w:shd w:val="clear" w:color="000000" w:fill="auto"/>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 xml:space="preserve">Tarifa për konsumin e energjisë elektrike në ambientet e përbashkëta (ndriçim </w:t>
            </w:r>
            <w:r w:rsidRPr="00357FAE">
              <w:rPr>
                <w:rFonts w:ascii="Garamond" w:eastAsia="Times New Roman" w:hAnsi="Garamond"/>
                <w:bCs/>
                <w:color w:val="000000"/>
                <w:spacing w:val="-4"/>
                <w:sz w:val="18"/>
                <w:szCs w:val="18"/>
                <w:lang w:val="sq-AL"/>
              </w:rPr>
              <w:lastRenderedPageBreak/>
              <w:t>shkalle, pompë, ashensor)</w:t>
            </w:r>
          </w:p>
        </w:tc>
        <w:tc>
          <w:tcPr>
            <w:tcW w:w="1038" w:type="pct"/>
            <w:tcBorders>
              <w:top w:val="nil"/>
              <w:left w:val="nil"/>
              <w:bottom w:val="single" w:sz="4" w:space="0" w:color="auto"/>
              <w:right w:val="single" w:sz="4"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lastRenderedPageBreak/>
              <w:t>9.5</w:t>
            </w:r>
          </w:p>
        </w:tc>
        <w:tc>
          <w:tcPr>
            <w:tcW w:w="956" w:type="pct"/>
            <w:tcBorders>
              <w:top w:val="nil"/>
              <w:left w:val="nil"/>
              <w:bottom w:val="single" w:sz="4" w:space="0" w:color="auto"/>
              <w:right w:val="single" w:sz="8" w:space="0" w:color="auto"/>
            </w:tcBorders>
            <w:shd w:val="clear" w:color="000000" w:fill="auto"/>
            <w:noWrap/>
            <w:vAlign w:val="center"/>
            <w:hideMark/>
          </w:tcPr>
          <w:p w:rsidR="00114785" w:rsidRPr="00357FAE" w:rsidRDefault="00114785" w:rsidP="00B84469">
            <w:pPr>
              <w:widowControl w:val="0"/>
              <w:spacing w:after="0" w:line="240" w:lineRule="auto"/>
              <w:ind w:firstLine="0"/>
              <w:jc w:val="center"/>
              <w:rPr>
                <w:rFonts w:ascii="Garamond" w:eastAsia="Times New Roman" w:hAnsi="Garamond"/>
                <w:bCs/>
                <w:color w:val="000000"/>
                <w:spacing w:val="-4"/>
                <w:sz w:val="18"/>
                <w:szCs w:val="18"/>
                <w:lang w:val="sq-AL"/>
              </w:rPr>
            </w:pPr>
          </w:p>
        </w:tc>
      </w:tr>
      <w:tr w:rsidR="00114785" w:rsidRPr="00357FAE" w:rsidTr="00B84469">
        <w:trPr>
          <w:trHeight w:val="121"/>
        </w:trPr>
        <w:tc>
          <w:tcPr>
            <w:tcW w:w="3006" w:type="pct"/>
            <w:tcBorders>
              <w:top w:val="single" w:sz="4" w:space="0" w:color="auto"/>
              <w:left w:val="single" w:sz="8" w:space="0" w:color="auto"/>
              <w:bottom w:val="single" w:sz="8" w:space="0" w:color="auto"/>
              <w:right w:val="single" w:sz="8" w:space="0" w:color="000000"/>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lastRenderedPageBreak/>
              <w:t>Tarifë fikse e shërbimit për leximin “zero” (lekë/muaj)</w:t>
            </w:r>
          </w:p>
        </w:tc>
        <w:tc>
          <w:tcPr>
            <w:tcW w:w="1994" w:type="pct"/>
            <w:gridSpan w:val="2"/>
            <w:tcBorders>
              <w:top w:val="single" w:sz="4" w:space="0" w:color="auto"/>
              <w:left w:val="nil"/>
              <w:bottom w:val="single" w:sz="8" w:space="0" w:color="auto"/>
              <w:right w:val="single" w:sz="8" w:space="0" w:color="000000"/>
            </w:tcBorders>
            <w:shd w:val="clear" w:color="000000" w:fill="auto"/>
            <w:noWrap/>
            <w:vAlign w:val="center"/>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200</w:t>
            </w:r>
          </w:p>
        </w:tc>
      </w:tr>
      <w:tr w:rsidR="00114785" w:rsidRPr="00357FAE" w:rsidTr="00B84469">
        <w:trPr>
          <w:trHeight w:val="580"/>
        </w:trPr>
        <w:tc>
          <w:tcPr>
            <w:tcW w:w="5000" w:type="pct"/>
            <w:gridSpan w:val="3"/>
            <w:tcBorders>
              <w:top w:val="nil"/>
            </w:tcBorders>
            <w:shd w:val="clear" w:color="000000" w:fill="auto"/>
            <w:noWrap/>
            <w:vAlign w:val="bottom"/>
            <w:hideMark/>
          </w:tcPr>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Çmimi i energjisë reaktive është sa 15% e çmimit të energjisë aktive.</w:t>
            </w:r>
          </w:p>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Orari pik gjatë të cilit do të aplikohet tarifa për energjinë e konsumuar në pikë është.</w:t>
            </w:r>
          </w:p>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Për periudhën 1 nëntor – 31 mars nga ora 18:00 deri në 22:00.</w:t>
            </w:r>
          </w:p>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Për periudhën 1 prill – 31 tetor nga ora 19:00 deri 23:00.</w:t>
            </w:r>
          </w:p>
          <w:p w:rsidR="00114785" w:rsidRPr="00357FAE" w:rsidRDefault="00114785" w:rsidP="00B84469">
            <w:pPr>
              <w:widowControl w:val="0"/>
              <w:spacing w:after="0" w:line="240" w:lineRule="auto"/>
              <w:ind w:firstLine="0"/>
              <w:rPr>
                <w:rFonts w:ascii="Garamond" w:eastAsia="Times New Roman" w:hAnsi="Garamond"/>
                <w:bCs/>
                <w:color w:val="000000"/>
                <w:spacing w:val="-4"/>
                <w:sz w:val="18"/>
                <w:szCs w:val="18"/>
                <w:lang w:val="sq-AL"/>
              </w:rPr>
            </w:pPr>
            <w:r w:rsidRPr="00357FAE">
              <w:rPr>
                <w:rFonts w:ascii="Garamond" w:eastAsia="Times New Roman" w:hAnsi="Garamond"/>
                <w:bCs/>
                <w:color w:val="000000"/>
                <w:spacing w:val="-4"/>
                <w:sz w:val="18"/>
                <w:szCs w:val="18"/>
                <w:lang w:val="sq-AL"/>
              </w:rPr>
              <w:t xml:space="preserve"> </w:t>
            </w:r>
          </w:p>
        </w:tc>
      </w:tr>
    </w:tbl>
    <w:p w:rsidR="00E35811" w:rsidRDefault="00E35811"/>
    <w:sectPr w:rsidR="00E3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785"/>
    <w:rsid w:val="00114785"/>
    <w:rsid w:val="00503B79"/>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78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147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147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14785"/>
    <w:rPr>
      <w:rFonts w:ascii="Garamond" w:eastAsia="MS Mincho" w:hAnsi="Garamond" w:cs="CG Times"/>
      <w:b/>
      <w:bCs/>
      <w:sz w:val="24"/>
      <w:lang w:val="en-GB"/>
    </w:rPr>
  </w:style>
  <w:style w:type="paragraph" w:customStyle="1" w:styleId="Paragrafi">
    <w:name w:val="Paragrafi"/>
    <w:link w:val="ParagrafiChar"/>
    <w:rsid w:val="001147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4785"/>
    <w:rPr>
      <w:rFonts w:ascii="Garamond" w:eastAsia="MS Mincho" w:hAnsi="Garamond" w:cs="CG Times"/>
      <w:sz w:val="24"/>
    </w:rPr>
  </w:style>
  <w:style w:type="paragraph" w:customStyle="1" w:styleId="Titulli">
    <w:name w:val="Titulli"/>
    <w:next w:val="Normal"/>
    <w:link w:val="TitulliChar"/>
    <w:uiPriority w:val="99"/>
    <w:rsid w:val="001147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14785"/>
    <w:rPr>
      <w:rFonts w:ascii="Garamond" w:eastAsia="MS Mincho" w:hAnsi="Garamond" w:cs="CG Times"/>
      <w:b/>
      <w:bCs/>
      <w:caps/>
      <w:sz w:val="24"/>
      <w:lang w:val="en-GB"/>
    </w:rPr>
  </w:style>
  <w:style w:type="character" w:customStyle="1" w:styleId="AktiChar">
    <w:name w:val="Akti Char"/>
    <w:basedOn w:val="DefaultParagraphFont"/>
    <w:link w:val="Akti"/>
    <w:rsid w:val="00114785"/>
    <w:rPr>
      <w:rFonts w:ascii="Garamond" w:eastAsia="MS Mincho" w:hAnsi="Garamond" w:cs="CG Times"/>
      <w:b/>
      <w:bCs/>
      <w:caps/>
      <w:color w:val="000000"/>
      <w:sz w:val="24"/>
      <w:lang w:val="en-GB"/>
    </w:rPr>
  </w:style>
  <w:style w:type="paragraph" w:customStyle="1" w:styleId="Autoriteti">
    <w:name w:val="Autoriteti"/>
    <w:next w:val="Normal"/>
    <w:link w:val="AutoritetiChar"/>
    <w:rsid w:val="001147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147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14785"/>
    <w:rPr>
      <w:rFonts w:ascii="Garamond" w:eastAsia="MS Mincho" w:hAnsi="Garamond" w:cs="CG Times"/>
      <w:caps/>
      <w:sz w:val="24"/>
      <w:lang w:val="en-GB"/>
    </w:rPr>
  </w:style>
  <w:style w:type="character" w:customStyle="1" w:styleId="AutoritetiEmerChar">
    <w:name w:val="Autoriteti_Emer Char"/>
    <w:link w:val="AutoritetiEmer"/>
    <w:locked/>
    <w:rsid w:val="00114785"/>
    <w:rPr>
      <w:rFonts w:ascii="Garamond" w:eastAsia="MS Mincho" w:hAnsi="Garamond" w:cs="Times New Roman"/>
      <w:b/>
      <w:bCs/>
      <w:sz w:val="24"/>
      <w:lang w:val="en-GB"/>
    </w:rPr>
  </w:style>
  <w:style w:type="paragraph" w:customStyle="1" w:styleId="Titull-Titull">
    <w:name w:val="Titull-Titull"/>
    <w:basedOn w:val="Paragrafi"/>
    <w:qFormat/>
    <w:rsid w:val="00114785"/>
    <w:pPr>
      <w:ind w:firstLine="0"/>
      <w:jc w:val="center"/>
    </w:pPr>
    <w:rPr>
      <w:caps/>
      <w:szCs w:val="24"/>
    </w:rPr>
  </w:style>
  <w:style w:type="paragraph" w:customStyle="1" w:styleId="Hapesira7">
    <w:name w:val="Hapesira 7"/>
    <w:basedOn w:val="Paragrafi"/>
    <w:qFormat/>
    <w:rsid w:val="0011478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78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147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147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14785"/>
    <w:rPr>
      <w:rFonts w:ascii="Garamond" w:eastAsia="MS Mincho" w:hAnsi="Garamond" w:cs="CG Times"/>
      <w:b/>
      <w:bCs/>
      <w:sz w:val="24"/>
      <w:lang w:val="en-GB"/>
    </w:rPr>
  </w:style>
  <w:style w:type="paragraph" w:customStyle="1" w:styleId="Paragrafi">
    <w:name w:val="Paragrafi"/>
    <w:link w:val="ParagrafiChar"/>
    <w:rsid w:val="001147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4785"/>
    <w:rPr>
      <w:rFonts w:ascii="Garamond" w:eastAsia="MS Mincho" w:hAnsi="Garamond" w:cs="CG Times"/>
      <w:sz w:val="24"/>
    </w:rPr>
  </w:style>
  <w:style w:type="paragraph" w:customStyle="1" w:styleId="Titulli">
    <w:name w:val="Titulli"/>
    <w:next w:val="Normal"/>
    <w:link w:val="TitulliChar"/>
    <w:uiPriority w:val="99"/>
    <w:rsid w:val="001147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14785"/>
    <w:rPr>
      <w:rFonts w:ascii="Garamond" w:eastAsia="MS Mincho" w:hAnsi="Garamond" w:cs="CG Times"/>
      <w:b/>
      <w:bCs/>
      <w:caps/>
      <w:sz w:val="24"/>
      <w:lang w:val="en-GB"/>
    </w:rPr>
  </w:style>
  <w:style w:type="character" w:customStyle="1" w:styleId="AktiChar">
    <w:name w:val="Akti Char"/>
    <w:basedOn w:val="DefaultParagraphFont"/>
    <w:link w:val="Akti"/>
    <w:rsid w:val="00114785"/>
    <w:rPr>
      <w:rFonts w:ascii="Garamond" w:eastAsia="MS Mincho" w:hAnsi="Garamond" w:cs="CG Times"/>
      <w:b/>
      <w:bCs/>
      <w:caps/>
      <w:color w:val="000000"/>
      <w:sz w:val="24"/>
      <w:lang w:val="en-GB"/>
    </w:rPr>
  </w:style>
  <w:style w:type="paragraph" w:customStyle="1" w:styleId="Autoriteti">
    <w:name w:val="Autoriteti"/>
    <w:next w:val="Normal"/>
    <w:link w:val="AutoritetiChar"/>
    <w:rsid w:val="001147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147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14785"/>
    <w:rPr>
      <w:rFonts w:ascii="Garamond" w:eastAsia="MS Mincho" w:hAnsi="Garamond" w:cs="CG Times"/>
      <w:caps/>
      <w:sz w:val="24"/>
      <w:lang w:val="en-GB"/>
    </w:rPr>
  </w:style>
  <w:style w:type="character" w:customStyle="1" w:styleId="AutoritetiEmerChar">
    <w:name w:val="Autoriteti_Emer Char"/>
    <w:link w:val="AutoritetiEmer"/>
    <w:locked/>
    <w:rsid w:val="00114785"/>
    <w:rPr>
      <w:rFonts w:ascii="Garamond" w:eastAsia="MS Mincho" w:hAnsi="Garamond" w:cs="Times New Roman"/>
      <w:b/>
      <w:bCs/>
      <w:sz w:val="24"/>
      <w:lang w:val="en-GB"/>
    </w:rPr>
  </w:style>
  <w:style w:type="paragraph" w:customStyle="1" w:styleId="Titull-Titull">
    <w:name w:val="Titull-Titull"/>
    <w:basedOn w:val="Paragrafi"/>
    <w:qFormat/>
    <w:rsid w:val="00114785"/>
    <w:pPr>
      <w:ind w:firstLine="0"/>
      <w:jc w:val="center"/>
    </w:pPr>
    <w:rPr>
      <w:caps/>
      <w:szCs w:val="24"/>
    </w:rPr>
  </w:style>
  <w:style w:type="paragraph" w:customStyle="1" w:styleId="Hapesira7">
    <w:name w:val="Hapesira 7"/>
    <w:basedOn w:val="Paragrafi"/>
    <w:qFormat/>
    <w:rsid w:val="0011478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2019-02-05T14:34:00Z</cp:lastPrinted>
  <dcterms:created xsi:type="dcterms:W3CDTF">2017-12-21T14:48:00Z</dcterms:created>
  <dcterms:modified xsi:type="dcterms:W3CDTF">2019-02-05T14:34:00Z</dcterms:modified>
</cp:coreProperties>
</file>