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B97" w:rsidRPr="00B32D6C" w:rsidRDefault="00354B97" w:rsidP="00354B97">
      <w:pPr>
        <w:pStyle w:val="NeniTitull"/>
        <w:rPr>
          <w:lang w:val="sq-AL"/>
        </w:rPr>
      </w:pPr>
      <w:r w:rsidRPr="00B32D6C">
        <w:rPr>
          <w:lang w:val="sq-AL"/>
        </w:rPr>
        <w:t>VENDIM</w:t>
      </w:r>
    </w:p>
    <w:p w:rsidR="00354B97" w:rsidRPr="00B32D6C" w:rsidRDefault="00354B97" w:rsidP="00354B97">
      <w:pPr>
        <w:pStyle w:val="NeniTitull"/>
        <w:rPr>
          <w:lang w:val="sq-AL"/>
        </w:rPr>
      </w:pPr>
      <w:r w:rsidRPr="00B32D6C">
        <w:rPr>
          <w:lang w:val="sq-AL"/>
        </w:rPr>
        <w:t>Nr. 57, datë 18.4.2017</w:t>
      </w:r>
    </w:p>
    <w:p w:rsidR="00354B97" w:rsidRPr="00B32D6C" w:rsidRDefault="00354B97" w:rsidP="00354B97">
      <w:pPr>
        <w:pStyle w:val="Hapesira7"/>
        <w:rPr>
          <w:lang w:val="sq-AL"/>
        </w:rPr>
      </w:pPr>
    </w:p>
    <w:p w:rsidR="00354B97" w:rsidRPr="00B32D6C" w:rsidRDefault="00354B97" w:rsidP="00354B97">
      <w:pPr>
        <w:pStyle w:val="NeniTitull"/>
        <w:rPr>
          <w:lang w:val="sq-AL"/>
        </w:rPr>
      </w:pPr>
      <w:r w:rsidRPr="00B32D6C">
        <w:rPr>
          <w:lang w:val="sq-AL"/>
        </w:rPr>
        <w:t xml:space="preserve">MBI MIRATIMIN E KONTRATËS PËR SHIT-BLERJEN E ENERGJISË ELEKTRIKE NDËRMJET KESH </w:t>
      </w:r>
      <w:r>
        <w:rPr>
          <w:lang w:val="sq-AL"/>
        </w:rPr>
        <w:t>SH.A. DHE OSHEE SHA</w:t>
      </w:r>
      <w:r w:rsidRPr="00B32D6C">
        <w:rPr>
          <w:lang w:val="sq-AL"/>
        </w:rPr>
        <w:t xml:space="preserve"> PËR TEPRICAT E ENERGJISË ELEKTRIKE, PËRFSHIRË TEPRICAT NË KUSHTET E PRURJEVE TË MËDHA, ME QËLLIM PLOTËSIMIN E HUMBJEVE NË RRJETIN E SHPËRNDARJES PËR PERIUDHËN KOHORE 1.1.2017-31.12.2017</w:t>
      </w:r>
    </w:p>
    <w:p w:rsidR="00354B97" w:rsidRPr="00B32D6C" w:rsidRDefault="00354B97" w:rsidP="00354B97">
      <w:pPr>
        <w:pStyle w:val="Hapesira7"/>
        <w:rPr>
          <w:lang w:val="sq-AL"/>
        </w:rPr>
      </w:pPr>
    </w:p>
    <w:p w:rsidR="00354B97" w:rsidRPr="00B32D6C" w:rsidRDefault="00354B97" w:rsidP="00354B97">
      <w:pPr>
        <w:pStyle w:val="Paragrafi"/>
        <w:rPr>
          <w:lang w:val="sq-AL"/>
        </w:rPr>
      </w:pPr>
      <w:r w:rsidRPr="00B32D6C">
        <w:rPr>
          <w:lang w:val="sq-AL"/>
        </w:rPr>
        <w:t xml:space="preserve">Në mbështetje të nenit 16 të ligjit nr. 43/2015, “Për sektorin e energjisë elektrike”; nenit 5 pika 4 të </w:t>
      </w:r>
      <w:r>
        <w:rPr>
          <w:lang w:val="sq-AL"/>
        </w:rPr>
        <w:t>vendimit të Këshillit të Ministrave</w:t>
      </w:r>
      <w:r w:rsidRPr="00B32D6C">
        <w:rPr>
          <w:lang w:val="sq-AL"/>
        </w:rPr>
        <w:t xml:space="preserve"> nr. 244, datë 30.3.2016, “Për miratimin e kushteve për vendosjen e detyrimit të shërbimit publik, që do të zbatohen ndaj të </w:t>
      </w:r>
      <w:r>
        <w:rPr>
          <w:lang w:val="sq-AL"/>
        </w:rPr>
        <w:t>licenc</w:t>
      </w:r>
      <w:r w:rsidRPr="00B32D6C">
        <w:rPr>
          <w:lang w:val="sq-AL"/>
        </w:rPr>
        <w:t xml:space="preserve">uarve në sektorin e energjisë elektrike, të cilët ushtrojnë aktivitetin e prodhimit, transmetimit, shpërndarjes dhe furnizimit me energji elektrike”, dhe nenit 26 të “Rregullave të organizimit, funksionimit dhe procedurave të ERE”, miratuar me vendimin e Bordit të ERE-s nr. 96, datë 23.6.2016, </w:t>
      </w:r>
      <w:r>
        <w:rPr>
          <w:lang w:val="sq-AL"/>
        </w:rPr>
        <w:t>b</w:t>
      </w:r>
      <w:r w:rsidRPr="00B32D6C">
        <w:rPr>
          <w:lang w:val="sq-AL"/>
        </w:rPr>
        <w:t>ordi i ERE</w:t>
      </w:r>
      <w:r>
        <w:rPr>
          <w:lang w:val="sq-AL"/>
        </w:rPr>
        <w:t>-s</w:t>
      </w:r>
      <w:r w:rsidRPr="00B32D6C">
        <w:rPr>
          <w:lang w:val="sq-AL"/>
        </w:rPr>
        <w:t xml:space="preserve"> në mbledhjen e tij të datës 18.4.2017 pasi shqyrtoi relacionin e përgatitur nga drejtoritë teknike të ERE</w:t>
      </w:r>
      <w:r>
        <w:rPr>
          <w:lang w:val="sq-AL"/>
        </w:rPr>
        <w:t>-s</w:t>
      </w:r>
      <w:r w:rsidRPr="00B32D6C">
        <w:rPr>
          <w:lang w:val="sq-AL"/>
        </w:rPr>
        <w:t xml:space="preserve"> për miratimin e </w:t>
      </w:r>
      <w:r>
        <w:rPr>
          <w:lang w:val="sq-AL"/>
        </w:rPr>
        <w:t>Marrëveshjes/Kontratës për shit</w:t>
      </w:r>
      <w:r w:rsidRPr="00B32D6C">
        <w:rPr>
          <w:lang w:val="sq-AL"/>
        </w:rPr>
        <w:t>blerjen e energjisë elektrike ndërmjet KESH sh.a. dhe OSHEE sh.a. për tepricat e energjisë elektrike, përfshirë tepricat në kushtet e prurjeve të mëdha, me qëllim plotësimin e humbjeve në rrjetin e shpërndarjes për periudhën kohore 1.1.2017-31.12.2017,</w:t>
      </w:r>
    </w:p>
    <w:p w:rsidR="00354B97" w:rsidRPr="00B32D6C" w:rsidRDefault="00354B97" w:rsidP="00354B97">
      <w:pPr>
        <w:pStyle w:val="Paragrafi"/>
        <w:rPr>
          <w:lang w:val="sq-AL"/>
        </w:rPr>
      </w:pPr>
      <w:r>
        <w:rPr>
          <w:lang w:val="sq-AL"/>
        </w:rPr>
        <w:t>k</w:t>
      </w:r>
      <w:r w:rsidRPr="00B32D6C">
        <w:rPr>
          <w:lang w:val="sq-AL"/>
        </w:rPr>
        <w:t xml:space="preserve">onstatoi se: </w:t>
      </w:r>
    </w:p>
    <w:p w:rsidR="00354B97" w:rsidRPr="00B32D6C" w:rsidRDefault="00354B97" w:rsidP="00354B97">
      <w:pPr>
        <w:pStyle w:val="Paragrafi"/>
        <w:rPr>
          <w:lang w:val="sq-AL"/>
        </w:rPr>
      </w:pPr>
      <w:r w:rsidRPr="00B32D6C">
        <w:rPr>
          <w:lang w:val="sq-AL"/>
        </w:rPr>
        <w:t>- Me vendimin nr. 18, datë 31.1.2017, Bordi i ERE  vendosi “Fillimin e procedurës për shqyrtimin dhe miratimin e kontratës për shit-blerjen e energjisë elektrike ndërmjet KESH sh.a. dhe OSHEE sh.a</w:t>
      </w:r>
      <w:r>
        <w:rPr>
          <w:lang w:val="sq-AL"/>
        </w:rPr>
        <w:t>.</w:t>
      </w:r>
      <w:r w:rsidRPr="00B32D6C">
        <w:rPr>
          <w:lang w:val="sq-AL"/>
        </w:rPr>
        <w:t xml:space="preserve"> për tepricat e energjisë elektrike, përfshirë tepricat në kushtet e prurjeve të mëdha, me qëllim plotësimin e humbjeve në rrjetin e shpërndarjes për periudhën kohore 1.1.2017- 31.12.2017”.</w:t>
      </w:r>
    </w:p>
    <w:p w:rsidR="00354B97" w:rsidRPr="00B32D6C" w:rsidRDefault="00354B97" w:rsidP="00354B97">
      <w:pPr>
        <w:pStyle w:val="Paragrafi"/>
        <w:rPr>
          <w:lang w:val="sq-AL"/>
        </w:rPr>
      </w:pPr>
      <w:r w:rsidRPr="00B32D6C">
        <w:rPr>
          <w:lang w:val="sq-AL"/>
        </w:rPr>
        <w:t>- ERE kërkoi opinionin e palëve të interesit si Ministria e Energjisë dhe Industrisë (shkresë nr</w:t>
      </w:r>
      <w:r>
        <w:rPr>
          <w:lang w:val="sq-AL"/>
        </w:rPr>
        <w:t>.</w:t>
      </w:r>
      <w:r w:rsidRPr="00B32D6C">
        <w:rPr>
          <w:lang w:val="sq-AL"/>
        </w:rPr>
        <w:t xml:space="preserve"> 17/6 prot, datë 3.2.,2017), Autoriteti i Konkurrencës (shkresë nr. 122 datë 3.2.2017) në lidhje me këtë vendimmarrje.</w:t>
      </w:r>
    </w:p>
    <w:p w:rsidR="00354B97" w:rsidRPr="00B32D6C" w:rsidRDefault="00354B97" w:rsidP="00354B97">
      <w:pPr>
        <w:pStyle w:val="Paragrafi"/>
        <w:rPr>
          <w:lang w:val="sq-AL"/>
        </w:rPr>
      </w:pPr>
      <w:r w:rsidRPr="00B32D6C">
        <w:rPr>
          <w:lang w:val="sq-AL"/>
        </w:rPr>
        <w:t>- Pas përfundimit të afatit 15 ditor të marrjes së mendimeve nga palët e interesuara, rezultoi se ka paraqitur në ERE opinion mbi këtë marrëveshje vetëm Autoriteti i Konkurrencës duke vendosur të përjashtojë nga ndalimi marrëveshjen.</w:t>
      </w:r>
    </w:p>
    <w:p w:rsidR="00354B97" w:rsidRPr="00B32D6C" w:rsidRDefault="00354B97" w:rsidP="00354B97">
      <w:pPr>
        <w:pStyle w:val="Paragrafi"/>
        <w:rPr>
          <w:lang w:val="sq-AL"/>
        </w:rPr>
      </w:pPr>
      <w:r w:rsidRPr="00B32D6C">
        <w:rPr>
          <w:lang w:val="sq-AL"/>
        </w:rPr>
        <w:t>- OSHEE sh.a. nëpërmjet shkresës së saj nr</w:t>
      </w:r>
      <w:r>
        <w:rPr>
          <w:lang w:val="sq-AL"/>
        </w:rPr>
        <w:t>.</w:t>
      </w:r>
      <w:r w:rsidRPr="00B32D6C">
        <w:rPr>
          <w:lang w:val="sq-AL"/>
        </w:rPr>
        <w:t xml:space="preserve"> 1517 prot, datë 18.1.2017 bëri me dije se kjo kontratë është nënshkruar nga të dyja palët, OSHEE sh.a. dhe KESH sh.a. dhe ka nisur një kopje të saj për miratim në ERE.</w:t>
      </w:r>
    </w:p>
    <w:p w:rsidR="00354B97" w:rsidRPr="00B32D6C" w:rsidRDefault="00354B97" w:rsidP="00354B97">
      <w:pPr>
        <w:pStyle w:val="Paragrafi"/>
        <w:rPr>
          <w:lang w:val="sq-AL"/>
        </w:rPr>
      </w:pPr>
      <w:r w:rsidRPr="00B32D6C">
        <w:rPr>
          <w:lang w:val="sq-AL"/>
        </w:rPr>
        <w:t>Për gjithë sa më sipër</w:t>
      </w:r>
      <w:r>
        <w:rPr>
          <w:lang w:val="sq-AL"/>
        </w:rPr>
        <w:t>,</w:t>
      </w:r>
      <w:r w:rsidRPr="00B32D6C">
        <w:rPr>
          <w:lang w:val="sq-AL"/>
        </w:rPr>
        <w:t xml:space="preserve"> </w:t>
      </w:r>
      <w:r>
        <w:rPr>
          <w:lang w:val="sq-AL"/>
        </w:rPr>
        <w:t>b</w:t>
      </w:r>
      <w:r w:rsidRPr="00B32D6C">
        <w:rPr>
          <w:lang w:val="sq-AL"/>
        </w:rPr>
        <w:t xml:space="preserve">ordi i ERE-s, </w:t>
      </w:r>
    </w:p>
    <w:p w:rsidR="00354B97" w:rsidRPr="00B32D6C" w:rsidRDefault="00354B97" w:rsidP="00354B97">
      <w:pPr>
        <w:pStyle w:val="Hapesira7"/>
        <w:rPr>
          <w:lang w:val="sq-AL"/>
        </w:rPr>
      </w:pPr>
    </w:p>
    <w:p w:rsidR="00354B97" w:rsidRPr="00B32D6C" w:rsidRDefault="00354B97" w:rsidP="00354B97">
      <w:pPr>
        <w:pStyle w:val="NeniNr"/>
        <w:rPr>
          <w:lang w:val="sq-AL"/>
        </w:rPr>
      </w:pPr>
      <w:r w:rsidRPr="00B32D6C">
        <w:rPr>
          <w:lang w:val="sq-AL"/>
        </w:rPr>
        <w:t>VENDOSI:</w:t>
      </w:r>
    </w:p>
    <w:p w:rsidR="00354B97" w:rsidRPr="00B32D6C" w:rsidRDefault="00354B97" w:rsidP="00354B97">
      <w:pPr>
        <w:pStyle w:val="Hapesira7"/>
        <w:rPr>
          <w:lang w:val="sq-AL"/>
        </w:rPr>
      </w:pPr>
    </w:p>
    <w:p w:rsidR="00354B97" w:rsidRPr="00B32D6C" w:rsidRDefault="00354B97" w:rsidP="00354B97">
      <w:pPr>
        <w:pStyle w:val="Paragrafi"/>
        <w:rPr>
          <w:lang w:val="sq-AL"/>
        </w:rPr>
      </w:pPr>
      <w:r w:rsidRPr="00B32D6C">
        <w:rPr>
          <w:lang w:val="sq-AL"/>
        </w:rPr>
        <w:t>1.</w:t>
      </w:r>
      <w:r w:rsidRPr="00B32D6C">
        <w:rPr>
          <w:lang w:val="sq-AL"/>
        </w:rPr>
        <w:tab/>
        <w:t xml:space="preserve">Të miratojë </w:t>
      </w:r>
      <w:r>
        <w:rPr>
          <w:lang w:val="sq-AL"/>
        </w:rPr>
        <w:t>k</w:t>
      </w:r>
      <w:r w:rsidRPr="00B32D6C">
        <w:rPr>
          <w:lang w:val="sq-AL"/>
        </w:rPr>
        <w:t>ontratën për sh</w:t>
      </w:r>
      <w:r>
        <w:rPr>
          <w:lang w:val="sq-AL"/>
        </w:rPr>
        <w:t>it</w:t>
      </w:r>
      <w:r w:rsidRPr="00B32D6C">
        <w:rPr>
          <w:lang w:val="sq-AL"/>
        </w:rPr>
        <w:t>blerjen e energjisë elektrike ndërmjet KESH sh.a. dhe OSHEE sh.a. për tepricat e energjisë elektrike, përfshirë tepricat në kushtet e prurjeve të mëdha, me qëllim plotësimin e humbjeve në rrjetin e shpërndarjes për periudhën kohore 1.1.2017-31.12.2017 (</w:t>
      </w:r>
      <w:r>
        <w:rPr>
          <w:lang w:val="sq-AL"/>
        </w:rPr>
        <w:t>b</w:t>
      </w:r>
      <w:r w:rsidRPr="00B32D6C">
        <w:rPr>
          <w:lang w:val="sq-AL"/>
        </w:rPr>
        <w:t>ashkëlidhur)</w:t>
      </w:r>
      <w:r>
        <w:rPr>
          <w:lang w:val="sq-AL"/>
        </w:rPr>
        <w:t>.</w:t>
      </w:r>
      <w:r w:rsidRPr="00B32D6C">
        <w:rPr>
          <w:lang w:val="sq-AL"/>
        </w:rPr>
        <w:t xml:space="preserve"> </w:t>
      </w:r>
    </w:p>
    <w:p w:rsidR="00354B97" w:rsidRPr="00B32D6C" w:rsidRDefault="00354B97" w:rsidP="00354B97">
      <w:pPr>
        <w:pStyle w:val="Paragrafi"/>
        <w:rPr>
          <w:lang w:val="sq-AL"/>
        </w:rPr>
      </w:pPr>
      <w:r w:rsidRPr="00B32D6C">
        <w:rPr>
          <w:lang w:val="sq-AL"/>
        </w:rPr>
        <w:t>2.</w:t>
      </w:r>
      <w:r w:rsidRPr="00B32D6C">
        <w:rPr>
          <w:lang w:val="sq-AL"/>
        </w:rPr>
        <w:tab/>
        <w:t xml:space="preserve">Drejtoria Juridike dhe e Mbrojtjes së Konsumatorit të njoftojë palët e interesuara për vendimin e </w:t>
      </w:r>
      <w:r>
        <w:rPr>
          <w:lang w:val="sq-AL"/>
        </w:rPr>
        <w:t>b</w:t>
      </w:r>
      <w:r w:rsidRPr="00B32D6C">
        <w:rPr>
          <w:lang w:val="sq-AL"/>
        </w:rPr>
        <w:t xml:space="preserve">ordit të ERE-s. </w:t>
      </w:r>
    </w:p>
    <w:p w:rsidR="00354B97" w:rsidRPr="00B32D6C" w:rsidRDefault="00354B97" w:rsidP="00354B97">
      <w:pPr>
        <w:pStyle w:val="Paragrafi"/>
        <w:rPr>
          <w:lang w:val="sq-AL"/>
        </w:rPr>
      </w:pPr>
      <w:r w:rsidRPr="00B32D6C">
        <w:rPr>
          <w:lang w:val="sq-AL"/>
        </w:rPr>
        <w:t>Ky vendim hyn në fuqi menjëherë.</w:t>
      </w:r>
    </w:p>
    <w:p w:rsidR="00354B97" w:rsidRPr="00B32D6C" w:rsidRDefault="00354B97" w:rsidP="00354B97">
      <w:pPr>
        <w:pStyle w:val="Paragrafi"/>
        <w:rPr>
          <w:lang w:val="sq-AL"/>
        </w:rPr>
      </w:pPr>
      <w:r w:rsidRPr="00B32D6C">
        <w:rPr>
          <w:lang w:val="sq-AL"/>
        </w:rPr>
        <w:t>Ky vendim botohet në Fletoren Zyrtare.</w:t>
      </w:r>
    </w:p>
    <w:p w:rsidR="00354B97" w:rsidRPr="00B32D6C" w:rsidRDefault="00354B97" w:rsidP="00354B97">
      <w:pPr>
        <w:pStyle w:val="Paragrafi"/>
        <w:rPr>
          <w:lang w:val="sq-AL"/>
        </w:rPr>
      </w:pPr>
      <w:r w:rsidRPr="00B32D6C">
        <w:rPr>
          <w:lang w:val="sq-AL"/>
        </w:rPr>
        <w:t>Ky vendim mund të ankimohet në Gjykatën Administrative Tiranë,  brenda 30 ditëve kalendarike nga  botimi në Fletoren Zyrtare</w:t>
      </w:r>
    </w:p>
    <w:p w:rsidR="00354B97" w:rsidRPr="00B32D6C" w:rsidRDefault="00354B97" w:rsidP="00354B97">
      <w:pPr>
        <w:pStyle w:val="Hapesira7"/>
        <w:rPr>
          <w:lang w:val="sq-AL"/>
        </w:rPr>
      </w:pPr>
    </w:p>
    <w:p w:rsidR="00354B97" w:rsidRPr="00B32D6C" w:rsidRDefault="00354B97" w:rsidP="00354B97">
      <w:pPr>
        <w:spacing w:after="0" w:line="240" w:lineRule="auto"/>
        <w:jc w:val="right"/>
        <w:rPr>
          <w:rFonts w:ascii="Garamond" w:eastAsia="MS Mincho" w:hAnsi="Garamond" w:cs="CG Times"/>
          <w:sz w:val="24"/>
          <w:lang w:val="sq-AL"/>
        </w:rPr>
      </w:pPr>
      <w:r w:rsidRPr="00B32D6C">
        <w:rPr>
          <w:rFonts w:ascii="Garamond" w:eastAsia="MS Mincho" w:hAnsi="Garamond" w:cs="CG Times"/>
          <w:sz w:val="24"/>
          <w:lang w:val="sq-AL"/>
        </w:rPr>
        <w:t>KRYETARI</w:t>
      </w:r>
    </w:p>
    <w:p w:rsidR="00354B97" w:rsidRPr="00B32D6C" w:rsidRDefault="00354B97" w:rsidP="00354B97">
      <w:pPr>
        <w:spacing w:after="0" w:line="240" w:lineRule="auto"/>
        <w:jc w:val="right"/>
        <w:rPr>
          <w:rFonts w:ascii="Garamond" w:eastAsia="MS Mincho" w:hAnsi="Garamond" w:cs="CG Times"/>
          <w:b/>
          <w:sz w:val="24"/>
          <w:lang w:val="sq-AL"/>
        </w:rPr>
      </w:pPr>
      <w:r w:rsidRPr="00B32D6C">
        <w:rPr>
          <w:rFonts w:ascii="Garamond" w:eastAsia="MS Mincho" w:hAnsi="Garamond" w:cs="CG Times"/>
          <w:b/>
          <w:sz w:val="24"/>
          <w:lang w:val="sq-AL"/>
        </w:rPr>
        <w:t>Petrit Ahmeti</w:t>
      </w:r>
    </w:p>
    <w:p w:rsidR="00354B97" w:rsidRPr="00B32D6C" w:rsidRDefault="00354B97" w:rsidP="00354B97">
      <w:pPr>
        <w:pStyle w:val="Paragrafi"/>
        <w:rPr>
          <w:lang w:val="sq-AL"/>
        </w:rPr>
        <w:sectPr w:rsidR="00354B97" w:rsidRPr="00B32D6C" w:rsidSect="00354B97">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5521"/>
          <w:cols w:space="454"/>
          <w:docGrid w:linePitch="360"/>
        </w:sectPr>
      </w:pPr>
    </w:p>
    <w:p w:rsidR="00354B97" w:rsidRPr="00B32D6C" w:rsidRDefault="00354B97" w:rsidP="00354B97">
      <w:pPr>
        <w:pStyle w:val="Paragrafi"/>
        <w:rPr>
          <w:lang w:val="sq-AL"/>
        </w:rPr>
      </w:pPr>
    </w:p>
    <w:p w:rsidR="00354B97" w:rsidRPr="00B32D6C" w:rsidRDefault="00354B97" w:rsidP="00354B97">
      <w:pPr>
        <w:pStyle w:val="Paragrafi"/>
        <w:rPr>
          <w:lang w:val="sq-AL"/>
        </w:rPr>
      </w:pPr>
    </w:p>
    <w:p w:rsidR="00354B97" w:rsidRPr="00B32D6C" w:rsidRDefault="00354B97" w:rsidP="00354B97">
      <w:pPr>
        <w:pStyle w:val="NeniTitull"/>
        <w:keepNext w:val="0"/>
        <w:rPr>
          <w:lang w:val="sq-AL"/>
        </w:rPr>
      </w:pPr>
    </w:p>
    <w:p w:rsidR="00354B97" w:rsidRPr="00B32D6C" w:rsidRDefault="00354B97" w:rsidP="00354B97">
      <w:pPr>
        <w:pStyle w:val="NeniTitull"/>
        <w:keepNext w:val="0"/>
        <w:rPr>
          <w:lang w:val="sq-AL"/>
        </w:rPr>
      </w:pPr>
    </w:p>
    <w:p w:rsidR="00354B97" w:rsidRPr="00B32D6C" w:rsidRDefault="00354B97" w:rsidP="00354B97">
      <w:pPr>
        <w:pStyle w:val="NeniTitull"/>
        <w:jc w:val="left"/>
        <w:rPr>
          <w:lang w:val="sq-AL"/>
        </w:rPr>
      </w:pPr>
      <w:bookmarkStart w:id="0" w:name="_GoBack"/>
      <w:r w:rsidRPr="00B32D6C">
        <w:rPr>
          <w:noProof/>
          <w:lang w:val="en-US"/>
        </w:rPr>
        <w:lastRenderedPageBreak/>
        <w:drawing>
          <wp:inline distT="0" distB="0" distL="0" distR="0" wp14:anchorId="279145C9" wp14:editId="0B2EEE4A">
            <wp:extent cx="5640019" cy="82013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rotWithShape="1">
                    <a:blip r:embed="rId12" cstate="print">
                      <a:extLst>
                        <a:ext uri="{28A0092B-C50C-407E-A947-70E740481C1C}">
                          <a14:useLocalDpi xmlns:a14="http://schemas.microsoft.com/office/drawing/2010/main" val="0"/>
                        </a:ext>
                      </a:extLst>
                    </a:blip>
                    <a:srcRect l="8963" t="8876" r="10246" b="8031"/>
                    <a:stretch/>
                  </pic:blipFill>
                  <pic:spPr bwMode="auto">
                    <a:xfrm>
                      <a:off x="0" y="0"/>
                      <a:ext cx="5639953" cy="8201292"/>
                    </a:xfrm>
                    <a:prstGeom prst="rect">
                      <a:avLst/>
                    </a:prstGeom>
                    <a:ln>
                      <a:noFill/>
                    </a:ln>
                    <a:extLst>
                      <a:ext uri="{53640926-AAD7-44D8-BBD7-CCE9431645EC}">
                        <a14:shadowObscured xmlns:a14="http://schemas.microsoft.com/office/drawing/2010/main"/>
                      </a:ext>
                    </a:extLst>
                  </pic:spPr>
                </pic:pic>
              </a:graphicData>
            </a:graphic>
          </wp:inline>
        </w:drawing>
      </w:r>
      <w:bookmarkEnd w:id="0"/>
      <w:r w:rsidRPr="00B32D6C">
        <w:rPr>
          <w:noProof/>
          <w:lang w:val="en-US"/>
        </w:rPr>
        <w:lastRenderedPageBreak/>
        <w:drawing>
          <wp:inline distT="0" distB="0" distL="0" distR="0" wp14:anchorId="22783E30" wp14:editId="79F67ED7">
            <wp:extent cx="5325465" cy="8149702"/>
            <wp:effectExtent l="0" t="0" r="889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13" cstate="print">
                      <a:extLst>
                        <a:ext uri="{28A0092B-C50C-407E-A947-70E740481C1C}">
                          <a14:useLocalDpi xmlns:a14="http://schemas.microsoft.com/office/drawing/2010/main" val="0"/>
                        </a:ext>
                      </a:extLst>
                    </a:blip>
                    <a:srcRect l="13382" t="8538" r="9787" b="8284"/>
                    <a:stretch/>
                  </pic:blipFill>
                  <pic:spPr bwMode="auto">
                    <a:xfrm>
                      <a:off x="0" y="0"/>
                      <a:ext cx="5324231" cy="8147814"/>
                    </a:xfrm>
                    <a:prstGeom prst="rect">
                      <a:avLst/>
                    </a:prstGeom>
                    <a:ln>
                      <a:noFill/>
                    </a:ln>
                    <a:extLst>
                      <a:ext uri="{53640926-AAD7-44D8-BBD7-CCE9431645EC}">
                        <a14:shadowObscured xmlns:a14="http://schemas.microsoft.com/office/drawing/2010/main"/>
                      </a:ext>
                    </a:extLst>
                  </pic:spPr>
                </pic:pic>
              </a:graphicData>
            </a:graphic>
          </wp:inline>
        </w:drawing>
      </w:r>
      <w:r w:rsidRPr="00B32D6C">
        <w:rPr>
          <w:noProof/>
          <w:lang w:val="en-US"/>
        </w:rPr>
        <w:lastRenderedPageBreak/>
        <w:drawing>
          <wp:inline distT="0" distB="0" distL="0" distR="0" wp14:anchorId="006D0248" wp14:editId="70FD4784">
            <wp:extent cx="5530291" cy="791504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jpg"/>
                    <pic:cNvPicPr/>
                  </pic:nvPicPr>
                  <pic:blipFill rotWithShape="1">
                    <a:blip r:embed="rId14" cstate="print">
                      <a:extLst>
                        <a:ext uri="{28A0092B-C50C-407E-A947-70E740481C1C}">
                          <a14:useLocalDpi xmlns:a14="http://schemas.microsoft.com/office/drawing/2010/main" val="0"/>
                        </a:ext>
                      </a:extLst>
                    </a:blip>
                    <a:srcRect l="13397" t="8207" r="8588" b="7621"/>
                    <a:stretch/>
                  </pic:blipFill>
                  <pic:spPr bwMode="auto">
                    <a:xfrm>
                      <a:off x="0" y="0"/>
                      <a:ext cx="5538926" cy="7927404"/>
                    </a:xfrm>
                    <a:prstGeom prst="rect">
                      <a:avLst/>
                    </a:prstGeom>
                    <a:ln>
                      <a:noFill/>
                    </a:ln>
                    <a:extLst>
                      <a:ext uri="{53640926-AAD7-44D8-BBD7-CCE9431645EC}">
                        <a14:shadowObscured xmlns:a14="http://schemas.microsoft.com/office/drawing/2010/main"/>
                      </a:ext>
                    </a:extLst>
                  </pic:spPr>
                </pic:pic>
              </a:graphicData>
            </a:graphic>
          </wp:inline>
        </w:drawing>
      </w:r>
    </w:p>
    <w:p w:rsidR="00130F40" w:rsidRDefault="00130F40">
      <w:pPr>
        <w:spacing w:after="0" w:line="200" w:lineRule="exact"/>
        <w:rPr>
          <w:sz w:val="20"/>
          <w:szCs w:val="20"/>
        </w:rPr>
      </w:pPr>
    </w:p>
    <w:sectPr w:rsidR="00130F40" w:rsidSect="00354B97">
      <w:footerReference w:type="default" r:id="rId15"/>
      <w:pgSz w:w="12240" w:h="15840"/>
      <w:pgMar w:top="1480" w:right="1340" w:bottom="820" w:left="1720" w:header="0" w:footer="63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54B97">
      <w:pPr>
        <w:spacing w:after="0" w:line="240" w:lineRule="auto"/>
      </w:pPr>
      <w:r>
        <w:separator/>
      </w:r>
    </w:p>
  </w:endnote>
  <w:endnote w:type="continuationSeparator" w:id="0">
    <w:p w:rsidR="00000000" w:rsidRDefault="00354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958905"/>
      <w:docPartObj>
        <w:docPartGallery w:val="Page Numbers (Bottom of Page)"/>
        <w:docPartUnique/>
      </w:docPartObj>
    </w:sdtPr>
    <w:sdtEndPr>
      <w:rPr>
        <w:rFonts w:ascii="Garamond" w:hAnsi="Garamond"/>
        <w:noProof/>
        <w:sz w:val="24"/>
        <w:szCs w:val="24"/>
      </w:rPr>
    </w:sdtEndPr>
    <w:sdtContent>
      <w:p w:rsidR="00354B97" w:rsidRPr="00B4283E" w:rsidRDefault="00354B97" w:rsidP="00BB433C">
        <w:pPr>
          <w:pStyle w:val="Footer"/>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5536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B97" w:rsidRPr="005B4361" w:rsidRDefault="00354B97" w:rsidP="00BB433C">
    <w:pPr>
      <w:pStyle w:val="Footer"/>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63850154"/>
      <w:docPartObj>
        <w:docPartGallery w:val="Page Numbers (Bottom of Page)"/>
        <w:docPartUnique/>
      </w:docPartObj>
    </w:sdtPr>
    <w:sdtEndPr>
      <w:rPr>
        <w:noProof/>
        <w:sz w:val="24"/>
        <w:szCs w:val="24"/>
      </w:rPr>
    </w:sdtEndPr>
    <w:sdtContent>
      <w:p w:rsidR="00354B97" w:rsidRPr="00833610" w:rsidRDefault="00354B9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54B97" w:rsidRDefault="00354B9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F40" w:rsidRDefault="00354B97" w:rsidP="00761050">
    <w:pPr>
      <w:tabs>
        <w:tab w:val="right" w:pos="9420"/>
      </w:tabs>
      <w:spacing w:after="0" w:line="200" w:lineRule="exact"/>
      <w:rPr>
        <w:sz w:val="20"/>
        <w:szCs w:val="20"/>
      </w:rPr>
    </w:pPr>
    <w:r>
      <w:pict>
        <v:shapetype id="_x0000_t202" coordsize="21600,21600" o:spt="202" path="m,l,21600r21600,l21600,xe">
          <v:stroke joinstyle="miter"/>
          <v:path gradientshapeok="t" o:connecttype="rect"/>
        </v:shapetype>
        <v:shape id="_x0000_s1025" type="#_x0000_t202" style="position:absolute;margin-left:488pt;margin-top:739.5pt;width:54pt;height:17.1pt;z-index:-251657728;mso-position-horizontal-relative:page;mso-position-vertical-relative:page" filled="f" stroked="f">
          <v:textbox inset="0,0,0,0">
            <w:txbxContent>
              <w:p w:rsidR="00130F40" w:rsidRDefault="00130F40">
                <w:pPr>
                  <w:spacing w:before="59" w:after="0" w:line="240" w:lineRule="auto"/>
                  <w:ind w:left="20" w:right="-20"/>
                  <w:rPr>
                    <w:rFonts w:ascii="Garamond" w:eastAsia="Garamond" w:hAnsi="Garamond" w:cs="Garamond"/>
                    <w:sz w:val="24"/>
                    <w:szCs w:val="24"/>
                  </w:rPr>
                </w:pPr>
              </w:p>
            </w:txbxContent>
          </v:textbox>
          <w10:wrap anchorx="page" anchory="page"/>
        </v:shape>
      </w:pict>
    </w:r>
    <w:r w:rsidR="00761050">
      <w:rPr>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54B97">
      <w:pPr>
        <w:spacing w:after="0" w:line="240" w:lineRule="auto"/>
      </w:pPr>
      <w:r>
        <w:separator/>
      </w:r>
    </w:p>
  </w:footnote>
  <w:footnote w:type="continuationSeparator" w:id="0">
    <w:p w:rsidR="00000000" w:rsidRDefault="00354B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54B97" w:rsidRPr="00EB260B" w:rsidTr="0024030F">
      <w:trPr>
        <w:trHeight w:val="936"/>
        <w:jc w:val="center"/>
      </w:trPr>
      <w:tc>
        <w:tcPr>
          <w:tcW w:w="2811" w:type="dxa"/>
          <w:shd w:val="pct5" w:color="auto" w:fill="F2F2F2"/>
          <w:vAlign w:val="center"/>
        </w:tcPr>
        <w:p w:rsidR="00354B97" w:rsidRPr="00EB260B" w:rsidRDefault="00354B97"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54B97" w:rsidRPr="00EB260B" w:rsidRDefault="00354B97" w:rsidP="0024030F">
          <w:pPr>
            <w:pStyle w:val="NoSpacing"/>
            <w:spacing w:before="100" w:after="100"/>
            <w:jc w:val="center"/>
            <w:rPr>
              <w:rFonts w:ascii="Garamond" w:hAnsi="Garamond"/>
              <w:b/>
              <w:sz w:val="28"/>
              <w:szCs w:val="28"/>
            </w:rPr>
          </w:pPr>
          <w:r>
            <w:rPr>
              <w:noProof/>
              <w:lang w:val="en-US"/>
            </w:rPr>
            <w:drawing>
              <wp:inline distT="0" distB="0" distL="0" distR="0" wp14:anchorId="0E7F5126" wp14:editId="4558E6D0">
                <wp:extent cx="304524" cy="427512"/>
                <wp:effectExtent l="0" t="0" r="635" b="0"/>
                <wp:docPr id="16" name="Picture 1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54B97" w:rsidRPr="00EB260B" w:rsidRDefault="00354B97" w:rsidP="0024030F">
          <w:pPr>
            <w:pStyle w:val="NoSpacing"/>
            <w:spacing w:before="100" w:after="100"/>
            <w:jc w:val="center"/>
            <w:rPr>
              <w:rFonts w:ascii="Garamond" w:hAnsi="Garamond"/>
              <w:b/>
              <w:sz w:val="28"/>
              <w:szCs w:val="28"/>
            </w:rPr>
          </w:pPr>
          <w:r>
            <w:rPr>
              <w:rFonts w:ascii="Garamond" w:hAnsi="Garamond"/>
              <w:b/>
              <w:sz w:val="28"/>
              <w:szCs w:val="28"/>
            </w:rPr>
            <w:t xml:space="preserve"> Viti 2017 – Numri 99 </w:t>
          </w:r>
        </w:p>
      </w:tc>
    </w:tr>
  </w:tbl>
  <w:p w:rsidR="00354B97" w:rsidRPr="00385E2C" w:rsidRDefault="00354B9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B97" w:rsidRDefault="00354B97"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hdrShapeDefaults>
    <o:shapedefaults v:ext="edit" spidmax="2064"/>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130F40"/>
    <w:rsid w:val="00130F40"/>
    <w:rsid w:val="00354B97"/>
    <w:rsid w:val="00761050"/>
    <w:rsid w:val="00971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050"/>
  </w:style>
  <w:style w:type="paragraph" w:styleId="Footer">
    <w:name w:val="footer"/>
    <w:basedOn w:val="Normal"/>
    <w:link w:val="FooterChar"/>
    <w:uiPriority w:val="99"/>
    <w:unhideWhenUsed/>
    <w:rsid w:val="00761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050"/>
  </w:style>
  <w:style w:type="paragraph" w:styleId="NoSpacing">
    <w:name w:val="No Spacing"/>
    <w:link w:val="NoSpacingChar"/>
    <w:uiPriority w:val="1"/>
    <w:qFormat/>
    <w:rsid w:val="00354B97"/>
    <w:pPr>
      <w:widowControl/>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54B97"/>
    <w:rPr>
      <w:rFonts w:ascii="Times New Roman" w:eastAsia="Times New Roman" w:hAnsi="Times New Roman" w:cs="Times New Roman"/>
      <w:sz w:val="24"/>
      <w:szCs w:val="24"/>
      <w:lang w:val="sq-AL"/>
    </w:rPr>
  </w:style>
  <w:style w:type="paragraph" w:customStyle="1" w:styleId="Paragrafi">
    <w:name w:val="Paragrafi"/>
    <w:link w:val="ParagrafiChar"/>
    <w:rsid w:val="00354B97"/>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54B97"/>
    <w:rPr>
      <w:rFonts w:ascii="Garamond" w:eastAsia="MS Mincho" w:hAnsi="Garamond" w:cs="CG Times"/>
      <w:sz w:val="24"/>
    </w:rPr>
  </w:style>
  <w:style w:type="paragraph" w:customStyle="1" w:styleId="NeniNr">
    <w:name w:val="Neni_Nr"/>
    <w:next w:val="Normal"/>
    <w:link w:val="NeniNrChar"/>
    <w:rsid w:val="00354B97"/>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54B97"/>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54B97"/>
    <w:rPr>
      <w:rFonts w:ascii="Garamond" w:eastAsia="MS Mincho" w:hAnsi="Garamond" w:cs="CG Times"/>
      <w:sz w:val="24"/>
      <w:lang w:val="en-GB"/>
    </w:rPr>
  </w:style>
  <w:style w:type="paragraph" w:customStyle="1" w:styleId="Hapesira7">
    <w:name w:val="Hapesira 7"/>
    <w:basedOn w:val="Paragrafi"/>
    <w:qFormat/>
    <w:rsid w:val="00354B97"/>
    <w:rPr>
      <w:sz w:val="14"/>
      <w:szCs w:val="24"/>
    </w:rPr>
  </w:style>
  <w:style w:type="paragraph" w:styleId="BalloonText">
    <w:name w:val="Balloon Text"/>
    <w:basedOn w:val="Normal"/>
    <w:link w:val="BalloonTextChar"/>
    <w:uiPriority w:val="99"/>
    <w:semiHidden/>
    <w:unhideWhenUsed/>
    <w:rsid w:val="00354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B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458</Words>
  <Characters>2614</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VENDIM I ERE-s nr. 57, date 18.4.2017.docx</dc:title>
  <dc:creator>gledis.blushi</dc:creator>
  <cp:lastModifiedBy>bruna.aliaj</cp:lastModifiedBy>
  <cp:revision>4</cp:revision>
  <dcterms:created xsi:type="dcterms:W3CDTF">2017-12-15T13:30:00Z</dcterms:created>
  <dcterms:modified xsi:type="dcterms:W3CDTF">2018-01-30T10:56:00Z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2017-05-09T00:00:00Z</vt:filetime>
  </property>
  <property fmtid="{D5CDD505-2E9C-101B-9397-08002B2CF9AE}" pid="3" name="LastSaved">
    <vt:filetime>2017-12-15T00:00:00Z</vt:filetime>
  </property>
</Properties>
</file>