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6F7" w:rsidRPr="002455A9" w:rsidRDefault="003F36F7" w:rsidP="003F36F7">
      <w:pPr>
        <w:pStyle w:val="NeniTitull"/>
        <w:keepNext w:val="0"/>
        <w:rPr>
          <w:spacing w:val="-4"/>
          <w:lang w:val="sq-AL"/>
        </w:rPr>
      </w:pPr>
      <w:r w:rsidRPr="002455A9">
        <w:rPr>
          <w:spacing w:val="-4"/>
          <w:lang w:val="sq-AL"/>
        </w:rPr>
        <w:t>VENDIM</w:t>
      </w:r>
    </w:p>
    <w:p w:rsidR="003F36F7" w:rsidRPr="002455A9" w:rsidRDefault="003F36F7" w:rsidP="003F36F7">
      <w:pPr>
        <w:pStyle w:val="NeniTitull"/>
        <w:keepNext w:val="0"/>
        <w:rPr>
          <w:spacing w:val="-4"/>
          <w:lang w:val="sq-AL"/>
        </w:rPr>
      </w:pPr>
      <w:r w:rsidRPr="002455A9">
        <w:rPr>
          <w:spacing w:val="-4"/>
          <w:lang w:val="sq-AL"/>
        </w:rPr>
        <w:t>Nr. 205, datë 18.12.2017</w:t>
      </w:r>
    </w:p>
    <w:p w:rsidR="003F36F7" w:rsidRPr="002455A9" w:rsidRDefault="003F36F7" w:rsidP="003F36F7">
      <w:pPr>
        <w:pStyle w:val="Hapesira7"/>
        <w:rPr>
          <w:spacing w:val="-4"/>
          <w:lang w:val="sq-AL"/>
        </w:rPr>
      </w:pPr>
    </w:p>
    <w:p w:rsidR="003F36F7" w:rsidRPr="002455A9" w:rsidRDefault="003F36F7" w:rsidP="003F36F7">
      <w:pPr>
        <w:pStyle w:val="NeniTitull"/>
        <w:keepNext w:val="0"/>
        <w:rPr>
          <w:spacing w:val="-4"/>
          <w:lang w:val="sq-AL"/>
        </w:rPr>
      </w:pPr>
      <w:r w:rsidRPr="002455A9">
        <w:rPr>
          <w:spacing w:val="-4"/>
          <w:lang w:val="sq-AL"/>
        </w:rPr>
        <w:t>MBI FILLIMIN E PROCEDURËS PËR LICENCIMIN E SHOQËRISË “ENERGJI ASHTA” SHPK, NË AKTIVITETIN E FURNIZIMIT TË ENERGJISË ELEKTRIKE</w:t>
      </w:r>
    </w:p>
    <w:p w:rsidR="003F36F7" w:rsidRPr="002455A9" w:rsidRDefault="003F36F7" w:rsidP="003F36F7">
      <w:pPr>
        <w:pStyle w:val="Hapesira7"/>
        <w:rPr>
          <w:spacing w:val="-4"/>
          <w:lang w:val="sq-AL"/>
        </w:rPr>
      </w:pPr>
    </w:p>
    <w:p w:rsidR="003F36F7" w:rsidRPr="002455A9" w:rsidRDefault="003F36F7" w:rsidP="003F36F7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Në mbështetje të neneve 16; 37, pika 2, germa “ç”, të ligjit nr. 43/2015, “Për sektorin e energjisë elektrike”, neneve 4, pika 1, germa “d”; 5, pika 1, germa “d”; 10, pikat 1 dhe 3 të rregullores “Për procedurat dhe afatet për dhënien, modifikimin, transferimin, rinovimin ose heqjen e licencave në sektorin e energjisë elektrike”, të miratuar me vendimin e bordit të ERE-s nr. 109, datë 29.6.2016, dhe 19, pika 1, germa “a” të “Rregullave për organizimin, funksionimin dhe procedurat e ERE-s”, miratuar me vendimin e bordit të ERE-s, nr. 96, datë 17.6.2016; Bordi i Entit Rregullator të Energjisë (ERE), në mbledhjen e tij të datës 18.12.2017, mbasi shqyrtoi relacionin për fillimin e procedurës për licencimin e shoqërisë “Energji Ashta” sh.p.k. në aktivitetin e furnizimit të energjisë elektrike, të përgatitur nga Drejtoria e Licencimit dhe e Monitorimit të Tregut,</w:t>
      </w:r>
    </w:p>
    <w:p w:rsidR="003F36F7" w:rsidRPr="002455A9" w:rsidRDefault="003F36F7" w:rsidP="003F36F7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konstatoi se:</w:t>
      </w:r>
    </w:p>
    <w:p w:rsidR="003F36F7" w:rsidRPr="002455A9" w:rsidRDefault="003F36F7" w:rsidP="003F36F7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Shoqëria “Energji Ashta” sh.p.k., me shkresën nr. 714 prot., datë 2.11.2017, ka paraqitur kërkesën për t’u pajisur me licencë në aktivitetin e furnizimit të energjisë elektrike.</w:t>
      </w:r>
    </w:p>
    <w:p w:rsidR="003F36F7" w:rsidRDefault="003F36F7" w:rsidP="003F36F7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Shoqëria “Energji Ashta” sh.p.k., me shkresën nr. 714/2 prot., datë 12.12.2017 ka paraqitur dokumentacionin shtesë në mbështetje të kërkesës për t’u pajisur me licencë në aktivitetin e furnizimit të energjisë elektrike.</w:t>
      </w:r>
    </w:p>
    <w:p w:rsidR="003F36F7" w:rsidRPr="002455A9" w:rsidRDefault="003F36F7" w:rsidP="003F36F7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Aplikimi i shoqërisë “Energji Ashta” sh.p.k. plotëson kërk</w:t>
      </w:r>
      <w:r>
        <w:rPr>
          <w:spacing w:val="-4"/>
          <w:szCs w:val="24"/>
          <w:lang w:val="sq-AL"/>
        </w:rPr>
        <w:t xml:space="preserve">esat e parashikuara nga ERE në </w:t>
      </w:r>
      <w:r w:rsidRPr="002455A9">
        <w:rPr>
          <w:spacing w:val="-4"/>
          <w:szCs w:val="24"/>
          <w:lang w:val="sq-AL"/>
        </w:rPr>
        <w:t xml:space="preserve">rregulloren “Për procedurat dhe afatet për dhënien, modifikimin, transferimin, rinovimin ose heqjen e licencave në sektorin e energjisë elektrike”, si më poshtë: </w:t>
      </w:r>
    </w:p>
    <w:p w:rsidR="003F36F7" w:rsidRPr="002455A9" w:rsidRDefault="003F36F7" w:rsidP="003F36F7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- Formati i aplikimit (neni 9, pika 1, germat “a”, “b” dhe “c”) është plotësuar në mënyrë korrekte.</w:t>
      </w:r>
    </w:p>
    <w:p w:rsidR="003F36F7" w:rsidRPr="002455A9" w:rsidRDefault="003F36F7" w:rsidP="003F36F7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- Dokumentacioni financiar dhe fiskal (neni 9, pika 3, germat “b”, “c” dhe “d”) është plotësuar në mënyrë korrekte.</w:t>
      </w:r>
    </w:p>
    <w:p w:rsidR="003F36F7" w:rsidRPr="002455A9" w:rsidRDefault="003F36F7" w:rsidP="003F36F7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- Dokumentacioni teknik për aktivitetin e furnizimit të energjisë elektrike (neni 9, pika 4.7, germat “a”, “b”, “c” dhe “f”) është plotësuar në mënyrë korrekte.</w:t>
      </w:r>
    </w:p>
    <w:p w:rsidR="003F36F7" w:rsidRPr="002455A9" w:rsidRDefault="003F36F7" w:rsidP="003F36F7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Për dokumentacionin e munguar që ka të bëjë me nenin 9, pika 2 dhe pika 3, germa “a”, do të njoftohet subjekti, që në bazë të rregullores “Për procedurat dhe afatet për dhënien, modifikimin, transferimin, rinovimin dhe heqjen e licencave në sektorin e energjisë elektrike”, t’i paraqesë këto në ERE brenda afateve të përcaktuara.</w:t>
      </w:r>
    </w:p>
    <w:p w:rsidR="003F36F7" w:rsidRPr="002455A9" w:rsidRDefault="003F36F7" w:rsidP="003F36F7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 xml:space="preserve">Për gjithë sa më sipër, bordi i ERE-s </w:t>
      </w:r>
    </w:p>
    <w:p w:rsidR="003F36F7" w:rsidRPr="002455A9" w:rsidRDefault="003F36F7" w:rsidP="003F36F7">
      <w:pPr>
        <w:pStyle w:val="Hapesira7"/>
        <w:rPr>
          <w:spacing w:val="-4"/>
          <w:lang w:val="sq-AL"/>
        </w:rPr>
      </w:pPr>
    </w:p>
    <w:p w:rsidR="003F36F7" w:rsidRPr="002455A9" w:rsidRDefault="003F36F7" w:rsidP="003F36F7">
      <w:pPr>
        <w:pStyle w:val="NeniNr"/>
        <w:keepNext w:val="0"/>
        <w:rPr>
          <w:spacing w:val="-4"/>
          <w:lang w:val="sq-AL"/>
        </w:rPr>
      </w:pPr>
      <w:r w:rsidRPr="002455A9">
        <w:rPr>
          <w:spacing w:val="-4"/>
          <w:lang w:val="sq-AL"/>
        </w:rPr>
        <w:t>VENDOSI:</w:t>
      </w:r>
    </w:p>
    <w:p w:rsidR="003F36F7" w:rsidRPr="002455A9" w:rsidRDefault="003F36F7" w:rsidP="003F36F7">
      <w:pPr>
        <w:pStyle w:val="Hapesira7"/>
        <w:rPr>
          <w:spacing w:val="-4"/>
          <w:lang w:val="sq-AL"/>
        </w:rPr>
      </w:pPr>
    </w:p>
    <w:p w:rsidR="003F36F7" w:rsidRPr="002455A9" w:rsidRDefault="003F36F7" w:rsidP="003F36F7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 xml:space="preserve">1. Fillimin e procedurës për licencimin e shoqërisë “Energji Ashta” sh.p.k. në aktivitetin e furnizimit të energjisë elektrike. </w:t>
      </w:r>
    </w:p>
    <w:p w:rsidR="003F36F7" w:rsidRPr="002455A9" w:rsidRDefault="003F36F7" w:rsidP="003F36F7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2. Drejtoria e Licencimit dhe e Monitorimit të Tregut, të njoftojë aplikuesin për vendimin e bordit të ERE-s. </w:t>
      </w:r>
    </w:p>
    <w:p w:rsidR="003F36F7" w:rsidRPr="002455A9" w:rsidRDefault="003F36F7" w:rsidP="003F36F7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 xml:space="preserve">Ky vendim hyn në fuqi menjëherë. </w:t>
      </w:r>
    </w:p>
    <w:p w:rsidR="003F36F7" w:rsidRPr="002455A9" w:rsidRDefault="003F36F7" w:rsidP="003F36F7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 xml:space="preserve">Ky vendim botohet në Fletoren Zyrtare. </w:t>
      </w:r>
    </w:p>
    <w:p w:rsidR="003F36F7" w:rsidRPr="002455A9" w:rsidRDefault="003F36F7" w:rsidP="003F36F7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 xml:space="preserve">Ky vendim mund të ankimohet në Gjykatën Administrative Tiranë brenda 30 ditëve kalendarike nga botimi në Fletoren Zyrtare. </w:t>
      </w:r>
    </w:p>
    <w:p w:rsidR="003F36F7" w:rsidRPr="002455A9" w:rsidRDefault="003F36F7" w:rsidP="003F36F7">
      <w:pPr>
        <w:pStyle w:val="Paragrafi"/>
        <w:rPr>
          <w:spacing w:val="-4"/>
          <w:sz w:val="14"/>
          <w:szCs w:val="24"/>
          <w:lang w:val="sq-AL"/>
        </w:rPr>
      </w:pPr>
    </w:p>
    <w:p w:rsidR="003F36F7" w:rsidRPr="002455A9" w:rsidRDefault="003F36F7" w:rsidP="003F36F7">
      <w:pPr>
        <w:pStyle w:val="Autoriteti"/>
        <w:keepNext w:val="0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KRYETARI</w:t>
      </w:r>
    </w:p>
    <w:p w:rsidR="003F36F7" w:rsidRPr="002455A9" w:rsidRDefault="003F36F7" w:rsidP="003F36F7">
      <w:pPr>
        <w:pStyle w:val="AutoritetiEmer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 xml:space="preserve"> Petrit Ahmeti</w:t>
      </w:r>
    </w:p>
    <w:p w:rsidR="00A12B93" w:rsidRDefault="00A12B93">
      <w:bookmarkStart w:id="0" w:name="_GoBack"/>
      <w:bookmarkEnd w:id="0"/>
    </w:p>
    <w:sectPr w:rsidR="00A12B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6F7"/>
    <w:rsid w:val="003F36F7"/>
    <w:rsid w:val="00A1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F36F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3F36F7"/>
    <w:rPr>
      <w:rFonts w:ascii="Garamond" w:eastAsia="MS Mincho" w:hAnsi="Garamond" w:cs="Times New Roman"/>
      <w:sz w:val="24"/>
      <w:szCs w:val="20"/>
    </w:rPr>
  </w:style>
  <w:style w:type="paragraph" w:customStyle="1" w:styleId="NeniNr">
    <w:name w:val="Neni_Nr"/>
    <w:next w:val="Normal"/>
    <w:link w:val="NeniNrChar"/>
    <w:rsid w:val="003F36F7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3F36F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3F36F7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Autoriteti">
    <w:name w:val="Autoriteti"/>
    <w:next w:val="Normal"/>
    <w:link w:val="AutoritetiChar"/>
    <w:rsid w:val="003F36F7"/>
    <w:pPr>
      <w:keepNext/>
      <w:widowControl w:val="0"/>
      <w:spacing w:after="0" w:line="240" w:lineRule="auto"/>
      <w:jc w:val="right"/>
    </w:pPr>
    <w:rPr>
      <w:rFonts w:ascii="Garamond" w:eastAsia="MS Mincho" w:hAnsi="Garamond" w:cs="Times New Roman"/>
      <w:caps/>
      <w:sz w:val="24"/>
      <w:szCs w:val="20"/>
      <w:lang w:val="en-GB"/>
    </w:rPr>
  </w:style>
  <w:style w:type="paragraph" w:customStyle="1" w:styleId="AutoritetiEmer">
    <w:name w:val="Autoriteti_Emer"/>
    <w:next w:val="Normal"/>
    <w:link w:val="AutoritetiEmerChar"/>
    <w:rsid w:val="003F36F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AutoritetiChar">
    <w:name w:val="Autoriteti Char"/>
    <w:link w:val="Autoriteti"/>
    <w:locked/>
    <w:rsid w:val="003F36F7"/>
    <w:rPr>
      <w:rFonts w:ascii="Garamond" w:eastAsia="MS Mincho" w:hAnsi="Garamond" w:cs="Times New Roman"/>
      <w:caps/>
      <w:sz w:val="24"/>
      <w:szCs w:val="20"/>
      <w:lang w:val="en-GB"/>
    </w:rPr>
  </w:style>
  <w:style w:type="character" w:customStyle="1" w:styleId="AutoritetiEmerChar">
    <w:name w:val="Autoriteti_Emer Char"/>
    <w:link w:val="AutoritetiEmer"/>
    <w:locked/>
    <w:rsid w:val="003F36F7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Hapesira7">
    <w:name w:val="Hapesira 7"/>
    <w:basedOn w:val="Paragrafi"/>
    <w:qFormat/>
    <w:rsid w:val="003F36F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F36F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3F36F7"/>
    <w:rPr>
      <w:rFonts w:ascii="Garamond" w:eastAsia="MS Mincho" w:hAnsi="Garamond" w:cs="Times New Roman"/>
      <w:sz w:val="24"/>
      <w:szCs w:val="20"/>
    </w:rPr>
  </w:style>
  <w:style w:type="paragraph" w:customStyle="1" w:styleId="NeniNr">
    <w:name w:val="Neni_Nr"/>
    <w:next w:val="Normal"/>
    <w:link w:val="NeniNrChar"/>
    <w:rsid w:val="003F36F7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3F36F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3F36F7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Autoriteti">
    <w:name w:val="Autoriteti"/>
    <w:next w:val="Normal"/>
    <w:link w:val="AutoritetiChar"/>
    <w:rsid w:val="003F36F7"/>
    <w:pPr>
      <w:keepNext/>
      <w:widowControl w:val="0"/>
      <w:spacing w:after="0" w:line="240" w:lineRule="auto"/>
      <w:jc w:val="right"/>
    </w:pPr>
    <w:rPr>
      <w:rFonts w:ascii="Garamond" w:eastAsia="MS Mincho" w:hAnsi="Garamond" w:cs="Times New Roman"/>
      <w:caps/>
      <w:sz w:val="24"/>
      <w:szCs w:val="20"/>
      <w:lang w:val="en-GB"/>
    </w:rPr>
  </w:style>
  <w:style w:type="paragraph" w:customStyle="1" w:styleId="AutoritetiEmer">
    <w:name w:val="Autoriteti_Emer"/>
    <w:next w:val="Normal"/>
    <w:link w:val="AutoritetiEmerChar"/>
    <w:rsid w:val="003F36F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AutoritetiChar">
    <w:name w:val="Autoriteti Char"/>
    <w:link w:val="Autoriteti"/>
    <w:locked/>
    <w:rsid w:val="003F36F7"/>
    <w:rPr>
      <w:rFonts w:ascii="Garamond" w:eastAsia="MS Mincho" w:hAnsi="Garamond" w:cs="Times New Roman"/>
      <w:caps/>
      <w:sz w:val="24"/>
      <w:szCs w:val="20"/>
      <w:lang w:val="en-GB"/>
    </w:rPr>
  </w:style>
  <w:style w:type="character" w:customStyle="1" w:styleId="AutoritetiEmerChar">
    <w:name w:val="Autoriteti_Emer Char"/>
    <w:link w:val="AutoritetiEmer"/>
    <w:locked/>
    <w:rsid w:val="003F36F7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Hapesira7">
    <w:name w:val="Hapesira 7"/>
    <w:basedOn w:val="Paragrafi"/>
    <w:qFormat/>
    <w:rsid w:val="003F36F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2018-01-05T11:30:00Z</dcterms:created>
  <dcterms:modified xsi:type="dcterms:W3CDTF">2018-01-05T11:30:00Z</dcterms:modified>
</cp:coreProperties>
</file>