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5F63" w:rsidRPr="00C47D9B" w:rsidRDefault="009A5F63" w:rsidP="009A5F63">
      <w:pPr>
        <w:pStyle w:val="NeniTitull"/>
        <w:keepNext w:val="0"/>
        <w:rPr>
          <w:spacing w:val="-4"/>
          <w:szCs w:val="24"/>
          <w:lang w:val="sq-AL"/>
        </w:rPr>
      </w:pPr>
      <w:bookmarkStart w:id="0" w:name="_GoBack"/>
      <w:r w:rsidRPr="00C47D9B">
        <w:rPr>
          <w:spacing w:val="-4"/>
          <w:szCs w:val="24"/>
          <w:lang w:val="sq-AL"/>
        </w:rPr>
        <w:t>VENDIM</w:t>
      </w:r>
    </w:p>
    <w:p w:rsidR="009A5F63" w:rsidRPr="00C47D9B" w:rsidRDefault="009A5F63" w:rsidP="009A5F63">
      <w:pPr>
        <w:pStyle w:val="NeniTitull"/>
        <w:keepNext w:val="0"/>
        <w:rPr>
          <w:spacing w:val="-4"/>
          <w:szCs w:val="24"/>
          <w:lang w:val="sq-AL"/>
        </w:rPr>
      </w:pPr>
      <w:r w:rsidRPr="00C47D9B">
        <w:rPr>
          <w:spacing w:val="-4"/>
          <w:szCs w:val="24"/>
          <w:lang w:val="sq-AL"/>
        </w:rPr>
        <w:t>Nr. 207, datë 18.12.2017</w:t>
      </w:r>
    </w:p>
    <w:p w:rsidR="009A5F63" w:rsidRPr="00C47D9B" w:rsidRDefault="009A5F63" w:rsidP="009A5F63">
      <w:pPr>
        <w:pStyle w:val="NeniTitull"/>
        <w:keepNext w:val="0"/>
        <w:rPr>
          <w:spacing w:val="-4"/>
          <w:szCs w:val="24"/>
          <w:lang w:val="sq-AL"/>
        </w:rPr>
      </w:pPr>
    </w:p>
    <w:p w:rsidR="009A5F63" w:rsidRPr="00C47D9B" w:rsidRDefault="009A5F63" w:rsidP="009A5F63">
      <w:pPr>
        <w:pStyle w:val="NeniTitull"/>
        <w:keepNext w:val="0"/>
        <w:rPr>
          <w:spacing w:val="-4"/>
          <w:szCs w:val="24"/>
          <w:lang w:val="sq-AL"/>
        </w:rPr>
      </w:pPr>
      <w:r w:rsidRPr="00C47D9B">
        <w:rPr>
          <w:spacing w:val="-4"/>
          <w:szCs w:val="24"/>
          <w:lang w:val="sq-AL"/>
        </w:rPr>
        <w:t>PËR MIRATIMIN E RREGULLORES “PËR CILËSINË E FURNIZIMIT DHE PERFORMANCËN E SIGURISË SË RRJETIT NË SISTEMIN E TRANSMETIMIT TË ENERGJISË ELEKTRIKE”</w:t>
      </w:r>
    </w:p>
    <w:p w:rsidR="009A5F63" w:rsidRPr="00C47D9B" w:rsidRDefault="006D7C2D" w:rsidP="006D7C2D">
      <w:pPr>
        <w:pStyle w:val="Paragrafi"/>
        <w:jc w:val="center"/>
        <w:rPr>
          <w:i/>
          <w:spacing w:val="-4"/>
          <w:szCs w:val="24"/>
          <w:lang w:val="sq-AL"/>
        </w:rPr>
      </w:pPr>
      <w:r w:rsidRPr="00C47D9B">
        <w:rPr>
          <w:i/>
          <w:spacing w:val="-4"/>
          <w:szCs w:val="24"/>
          <w:lang w:val="sq-AL"/>
        </w:rPr>
        <w:t>(Ndryshuar me vendimin nr. 270, datë 21.12.2018)</w:t>
      </w:r>
    </w:p>
    <w:p w:rsidR="006D7C2D" w:rsidRPr="00C47D9B" w:rsidRDefault="006D7C2D" w:rsidP="006D7C2D">
      <w:pPr>
        <w:pStyle w:val="Paragrafi"/>
        <w:jc w:val="right"/>
        <w:rPr>
          <w:i/>
          <w:spacing w:val="-4"/>
          <w:szCs w:val="24"/>
          <w:lang w:val="sq-AL"/>
        </w:rPr>
      </w:pPr>
      <w:r w:rsidRPr="00C47D9B">
        <w:rPr>
          <w:i/>
          <w:spacing w:val="-4"/>
          <w:szCs w:val="24"/>
          <w:lang w:val="sq-AL"/>
        </w:rPr>
        <w:t>(i përditësuar)</w:t>
      </w:r>
    </w:p>
    <w:p w:rsidR="006D7C2D" w:rsidRPr="00C47D9B" w:rsidRDefault="006D7C2D" w:rsidP="006D7C2D">
      <w:pPr>
        <w:pStyle w:val="Paragrafi"/>
        <w:jc w:val="center"/>
        <w:rPr>
          <w:i/>
          <w:spacing w:val="-4"/>
          <w:szCs w:val="24"/>
          <w:lang w:val="sq-AL"/>
        </w:rPr>
      </w:pPr>
    </w:p>
    <w:p w:rsidR="009A5F63" w:rsidRPr="00C47D9B" w:rsidRDefault="009A5F63" w:rsidP="009A5F63">
      <w:pPr>
        <w:pStyle w:val="Paragrafi"/>
        <w:rPr>
          <w:spacing w:val="-4"/>
          <w:szCs w:val="24"/>
          <w:lang w:val="sq-AL"/>
        </w:rPr>
      </w:pPr>
      <w:r w:rsidRPr="00C47D9B">
        <w:rPr>
          <w:spacing w:val="-4"/>
          <w:szCs w:val="24"/>
          <w:lang w:val="sq-AL"/>
        </w:rPr>
        <w:t>Në mbështetje të nenit 7, pika 1; nenit 16; nenit 19, germa “h” dhe “j”, të ligjit nr. 43/2015, “Për sektorin e energjisë elektrike”, si dhe nenit 26 të “Rregullores për organizimin, funksionimin dhe procedurat e ERE-s”, miratuar me vendimin e bordit të ERE-s nr. 96, datë 17.6.2016, Bordi i Entit Rregullator të Energjisë (ERE), në mbledhjen e tij të datës 18.12.2017, pasi shqyrtoi relacionin e “Rregullores së cilësisë së furnizimit dhe performancës së sigurisë së rrjetit në sistemin e transmetimit të energjisë elektrike”, të përgatitur nga drejtoritë teknike,</w:t>
      </w:r>
    </w:p>
    <w:p w:rsidR="009A5F63" w:rsidRPr="00C47D9B" w:rsidRDefault="009A5F63" w:rsidP="009A5F63">
      <w:pPr>
        <w:pStyle w:val="Paragrafi"/>
        <w:rPr>
          <w:spacing w:val="-4"/>
          <w:szCs w:val="24"/>
          <w:lang w:val="sq-AL"/>
        </w:rPr>
      </w:pPr>
      <w:r w:rsidRPr="00C47D9B">
        <w:rPr>
          <w:spacing w:val="-4"/>
          <w:szCs w:val="24"/>
          <w:lang w:val="sq-AL"/>
        </w:rPr>
        <w:t xml:space="preserve">konstatoi se: </w:t>
      </w:r>
    </w:p>
    <w:p w:rsidR="009A5F63" w:rsidRPr="00C47D9B" w:rsidRDefault="009A5F63" w:rsidP="009A5F63">
      <w:pPr>
        <w:pStyle w:val="Paragrafi"/>
        <w:rPr>
          <w:spacing w:val="-4"/>
          <w:szCs w:val="24"/>
          <w:lang w:val="sq-AL"/>
        </w:rPr>
      </w:pPr>
      <w:r w:rsidRPr="00C47D9B">
        <w:rPr>
          <w:spacing w:val="-4"/>
          <w:szCs w:val="24"/>
          <w:lang w:val="sq-AL"/>
        </w:rPr>
        <w:t xml:space="preserve">1. </w:t>
      </w:r>
      <w:r w:rsidRPr="00C47D9B">
        <w:rPr>
          <w:spacing w:val="-4"/>
          <w:szCs w:val="24"/>
          <w:lang w:val="sq-AL"/>
        </w:rPr>
        <w:tab/>
        <w:t xml:space="preserve">Me vendimin nr. 5, datë 27.1.2016, bordi i ERE-s vendosi: “Fillimin e procedurës për shqyrtimin dhe miratimin e rregullave të cilësisë së furnizimit dhe performancës së sigurisë së rrjetit të transmetimit”. </w:t>
      </w:r>
    </w:p>
    <w:p w:rsidR="009A5F63" w:rsidRPr="00C47D9B" w:rsidRDefault="009A5F63" w:rsidP="009A5F63">
      <w:pPr>
        <w:pStyle w:val="Paragrafi"/>
        <w:rPr>
          <w:spacing w:val="-4"/>
          <w:szCs w:val="24"/>
          <w:lang w:val="sq-AL"/>
        </w:rPr>
      </w:pPr>
      <w:r w:rsidRPr="00C47D9B">
        <w:rPr>
          <w:spacing w:val="-4"/>
          <w:szCs w:val="24"/>
          <w:lang w:val="sq-AL"/>
        </w:rPr>
        <w:t xml:space="preserve">2. </w:t>
      </w:r>
      <w:r w:rsidRPr="00C47D9B">
        <w:rPr>
          <w:spacing w:val="-4"/>
          <w:szCs w:val="24"/>
          <w:lang w:val="sq-AL"/>
        </w:rPr>
        <w:tab/>
        <w:t>Me shkresën nr. 132 prot., datë 4.2.2016, ERE u ka dërguar të gjitha palëve të treta dhe grupeve të interesit, draftin e rregullores “Për cilësinë e furnizimit dhe performancën e sigurisë së rrjetit në sistemin e transmetimit të energjisë elektrike” për opinion.</w:t>
      </w:r>
    </w:p>
    <w:p w:rsidR="009A5F63" w:rsidRPr="00C47D9B" w:rsidRDefault="009A5F63" w:rsidP="009A5F63">
      <w:pPr>
        <w:pStyle w:val="Paragrafi"/>
        <w:rPr>
          <w:spacing w:val="-4"/>
          <w:szCs w:val="24"/>
          <w:lang w:val="sq-AL"/>
        </w:rPr>
      </w:pPr>
      <w:r w:rsidRPr="00C47D9B">
        <w:rPr>
          <w:spacing w:val="-4"/>
          <w:szCs w:val="24"/>
          <w:lang w:val="sq-AL"/>
        </w:rPr>
        <w:t xml:space="preserve">3. Me shkresën me nr. 716 prot. të ERE-s, datë 7.10.2016, kanë ardhur komente nga USAID-i mbi draftin e rregullores “Për cilësinë e furnizimit dhe performancën e sigurisë së rrjetit në sistemin e transmetimit të energjisë elektrike”, duke propozuar vendosjen e një periudhe tranzitore lidhur me përmbushjen e këtyre detyrimeve, në kuadër të ristrukturimit të sektorit të energjisë elektrike dhe implementimit të modelit të ri të tregut. </w:t>
      </w:r>
    </w:p>
    <w:p w:rsidR="009A5F63" w:rsidRPr="00C47D9B" w:rsidRDefault="009A5F63" w:rsidP="009A5F63">
      <w:pPr>
        <w:pStyle w:val="Paragrafi"/>
        <w:rPr>
          <w:spacing w:val="-4"/>
          <w:szCs w:val="24"/>
          <w:lang w:val="sq-AL"/>
        </w:rPr>
      </w:pPr>
      <w:r w:rsidRPr="00C47D9B">
        <w:rPr>
          <w:spacing w:val="-4"/>
          <w:szCs w:val="24"/>
          <w:lang w:val="sq-AL"/>
        </w:rPr>
        <w:t>4. Në shkresën e saj me nr. 775/1 prot. i ERE-s, datë 18.11.2016, OST-ja ka paraqitur komentet e saj, lidhur me draftin e rregullores “Për cilësinë e furnizimit dhe performancën e sigurisë së rrjetit në sistemin e transmetimit të energjisë elektrike”, në të cilat janë janë shqyrtuar dhe reflektuar ndryshimet e nevojshme.</w:t>
      </w:r>
    </w:p>
    <w:p w:rsidR="009A5F63" w:rsidRPr="00C47D9B" w:rsidRDefault="009A5F63" w:rsidP="009A5F63">
      <w:pPr>
        <w:pStyle w:val="Paragrafi"/>
        <w:rPr>
          <w:spacing w:val="-4"/>
          <w:szCs w:val="24"/>
          <w:lang w:val="sq-AL"/>
        </w:rPr>
      </w:pPr>
      <w:r w:rsidRPr="00C47D9B">
        <w:rPr>
          <w:spacing w:val="-4"/>
          <w:szCs w:val="24"/>
          <w:lang w:val="sq-AL"/>
        </w:rPr>
        <w:t>5.</w:t>
      </w:r>
      <w:r w:rsidRPr="00C47D9B">
        <w:rPr>
          <w:spacing w:val="-4"/>
          <w:szCs w:val="24"/>
          <w:lang w:val="sq-AL"/>
        </w:rPr>
        <w:tab/>
        <w:t xml:space="preserve"> Me shkresën nr. 653 prot., datë 4.10.2017, i është dërguar shoqërisë OST sh.a., edhe një herë drafti i rregullores “Për cilësinë e furnizimit dhe performancën e sigurisë së rrjetit në sistemin e transmetimit të energjisë elektrike”, me të gjitha ndryshimet e reflektuara, si pasojë e propozimeve të ardhura. </w:t>
      </w:r>
    </w:p>
    <w:p w:rsidR="009A5F63" w:rsidRPr="00C47D9B" w:rsidRDefault="009A5F63" w:rsidP="009A5F63">
      <w:pPr>
        <w:pStyle w:val="Paragrafi"/>
        <w:rPr>
          <w:spacing w:val="-4"/>
          <w:szCs w:val="24"/>
          <w:lang w:val="sq-AL"/>
        </w:rPr>
      </w:pPr>
      <w:r w:rsidRPr="00C47D9B">
        <w:rPr>
          <w:spacing w:val="-4"/>
          <w:szCs w:val="24"/>
          <w:lang w:val="sq-AL"/>
        </w:rPr>
        <w:t>6. Në përgjigje të shkresës nr. 653 prot., datë 4.10.2017, shoqëria OST sh.a., me shkresën nr. 5315/1 prot., datë 10.10.2017, ka paraqitur disa komente të tjera për draftin, të cilat janë shqyrtuar dhe reflektuar ndryshimet e nevojshme.</w:t>
      </w:r>
    </w:p>
    <w:p w:rsidR="009A5F63" w:rsidRPr="00C47D9B" w:rsidRDefault="009A5F63" w:rsidP="009A5F63">
      <w:pPr>
        <w:pStyle w:val="Paragrafi"/>
        <w:rPr>
          <w:spacing w:val="-4"/>
          <w:szCs w:val="24"/>
          <w:lang w:val="sq-AL"/>
        </w:rPr>
      </w:pPr>
      <w:r w:rsidRPr="00C47D9B">
        <w:rPr>
          <w:spacing w:val="-4"/>
          <w:szCs w:val="24"/>
          <w:lang w:val="sq-AL"/>
        </w:rPr>
        <w:t>Për gjithë sa më sipër cituar, bordi i ERE-s</w:t>
      </w:r>
    </w:p>
    <w:p w:rsidR="009A5F63" w:rsidRPr="00C47D9B" w:rsidRDefault="009A5F63" w:rsidP="009A5F63">
      <w:pPr>
        <w:pStyle w:val="Hapesira7"/>
        <w:rPr>
          <w:spacing w:val="-4"/>
          <w:sz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t>VENDOSI:</w:t>
      </w:r>
    </w:p>
    <w:p w:rsidR="009A5F63" w:rsidRPr="00C47D9B" w:rsidRDefault="009A5F63" w:rsidP="009A5F63">
      <w:pPr>
        <w:pStyle w:val="Hapesira7"/>
        <w:rPr>
          <w:spacing w:val="-4"/>
          <w:sz w:val="24"/>
          <w:lang w:val="sq-AL"/>
        </w:rPr>
      </w:pPr>
    </w:p>
    <w:p w:rsidR="009A5F63" w:rsidRPr="00C47D9B" w:rsidRDefault="009A5F63" w:rsidP="009A5F63">
      <w:pPr>
        <w:pStyle w:val="Paragrafi"/>
        <w:rPr>
          <w:spacing w:val="-4"/>
          <w:szCs w:val="24"/>
          <w:lang w:val="sq-AL"/>
        </w:rPr>
      </w:pPr>
      <w:r w:rsidRPr="00C47D9B">
        <w:rPr>
          <w:spacing w:val="-4"/>
          <w:szCs w:val="24"/>
          <w:lang w:val="sq-AL"/>
        </w:rPr>
        <w:t>1. Të miratojë rregulloren “Për cilësinë e furnizimit dhe performancën e sigurisë së rrjetit në sistemin e transmetimit të energjisë elektrike” (bashkëlidhur).</w:t>
      </w:r>
    </w:p>
    <w:p w:rsidR="009A5F63" w:rsidRPr="00C47D9B" w:rsidRDefault="009A5F63" w:rsidP="009A5F63">
      <w:pPr>
        <w:pStyle w:val="Paragrafi"/>
        <w:rPr>
          <w:spacing w:val="-4"/>
          <w:szCs w:val="24"/>
          <w:lang w:val="sq-AL"/>
        </w:rPr>
      </w:pPr>
      <w:r w:rsidRPr="00C47D9B">
        <w:rPr>
          <w:spacing w:val="-4"/>
          <w:szCs w:val="24"/>
          <w:lang w:val="sq-AL"/>
        </w:rPr>
        <w:t>2. Drejtoria Juridike dhe e Mbrojtjes së Konsumatorit të njoftojë shoqërinë OST sh.a. dhe gjithë palët e interesuara për vendimin e bordit të ERE-s. </w:t>
      </w:r>
    </w:p>
    <w:p w:rsidR="009A5F63" w:rsidRPr="00C47D9B" w:rsidRDefault="009A5F63" w:rsidP="009A5F63">
      <w:pPr>
        <w:pStyle w:val="Paragrafi"/>
        <w:rPr>
          <w:spacing w:val="-4"/>
          <w:szCs w:val="24"/>
          <w:lang w:val="sq-AL"/>
        </w:rPr>
      </w:pPr>
      <w:r w:rsidRPr="00C47D9B">
        <w:rPr>
          <w:spacing w:val="-4"/>
          <w:szCs w:val="24"/>
          <w:lang w:val="sq-AL"/>
        </w:rPr>
        <w:t xml:space="preserve">Ky vendim hyn në fuqi menjëherë </w:t>
      </w:r>
    </w:p>
    <w:p w:rsidR="009A5F63" w:rsidRPr="00C47D9B" w:rsidRDefault="009A5F63" w:rsidP="009A5F63">
      <w:pPr>
        <w:pStyle w:val="Paragrafi"/>
        <w:rPr>
          <w:spacing w:val="-4"/>
          <w:szCs w:val="24"/>
          <w:lang w:val="sq-AL"/>
        </w:rPr>
      </w:pPr>
      <w:r w:rsidRPr="00C47D9B">
        <w:rPr>
          <w:spacing w:val="-4"/>
          <w:szCs w:val="24"/>
          <w:lang w:val="sq-AL"/>
        </w:rPr>
        <w:t xml:space="preserve">Ky vendim botohet në Fletoren Zyrtare. </w:t>
      </w:r>
    </w:p>
    <w:p w:rsidR="009A5F63" w:rsidRPr="00C47D9B" w:rsidRDefault="009A5F63" w:rsidP="009A5F63">
      <w:pPr>
        <w:pStyle w:val="Paragrafi"/>
        <w:rPr>
          <w:spacing w:val="-4"/>
          <w:szCs w:val="24"/>
          <w:lang w:val="sq-AL"/>
        </w:rPr>
      </w:pPr>
      <w:r w:rsidRPr="00C47D9B">
        <w:rPr>
          <w:spacing w:val="-4"/>
          <w:szCs w:val="24"/>
          <w:lang w:val="sq-AL"/>
        </w:rPr>
        <w:t>Ky vendim mund të ankimohet në Gjykatën Administrative Tiranë brenda 30 ditëve kalendarike nga botimi në Fletoren Zyrtare.</w:t>
      </w:r>
    </w:p>
    <w:p w:rsidR="009A5F63" w:rsidRPr="00C47D9B" w:rsidRDefault="009A5F63" w:rsidP="009A5F63">
      <w:pPr>
        <w:pStyle w:val="Autoriteti"/>
        <w:keepNext w:val="0"/>
        <w:rPr>
          <w:spacing w:val="-4"/>
          <w:szCs w:val="24"/>
          <w:lang w:val="sq-AL"/>
        </w:rPr>
      </w:pPr>
    </w:p>
    <w:p w:rsidR="009A5F63" w:rsidRPr="00C47D9B" w:rsidRDefault="009A5F63" w:rsidP="009A5F63">
      <w:pPr>
        <w:pStyle w:val="Autoriteti"/>
        <w:keepNext w:val="0"/>
        <w:rPr>
          <w:spacing w:val="-4"/>
          <w:szCs w:val="24"/>
          <w:lang w:val="sq-AL"/>
        </w:rPr>
      </w:pPr>
      <w:r w:rsidRPr="00C47D9B">
        <w:rPr>
          <w:spacing w:val="-4"/>
          <w:szCs w:val="24"/>
          <w:lang w:val="sq-AL"/>
        </w:rPr>
        <w:lastRenderedPageBreak/>
        <w:t>KRYETARI</w:t>
      </w:r>
    </w:p>
    <w:p w:rsidR="009A5F63" w:rsidRPr="00C47D9B" w:rsidRDefault="009A5F63" w:rsidP="009A5F63">
      <w:pPr>
        <w:pStyle w:val="AutoritetiEmer"/>
        <w:rPr>
          <w:spacing w:val="-4"/>
          <w:szCs w:val="24"/>
          <w:lang w:val="sq-AL"/>
        </w:rPr>
      </w:pPr>
      <w:r w:rsidRPr="00C47D9B">
        <w:rPr>
          <w:spacing w:val="-4"/>
          <w:szCs w:val="24"/>
          <w:lang w:val="sq-AL"/>
        </w:rPr>
        <w:t xml:space="preserve"> Petrit Ahmeti</w:t>
      </w:r>
    </w:p>
    <w:p w:rsidR="009A5F63" w:rsidRPr="00C47D9B" w:rsidRDefault="009A5F63" w:rsidP="009A5F63">
      <w:pPr>
        <w:pStyle w:val="NeniNr"/>
        <w:keepNext w:val="0"/>
        <w:rPr>
          <w:b/>
          <w:spacing w:val="-4"/>
          <w:szCs w:val="24"/>
          <w:lang w:val="sq-AL"/>
        </w:rPr>
      </w:pPr>
    </w:p>
    <w:p w:rsidR="009A5F63" w:rsidRPr="00C47D9B" w:rsidRDefault="009A5F63" w:rsidP="009A5F63">
      <w:pPr>
        <w:pStyle w:val="NeniNr"/>
        <w:keepNext w:val="0"/>
        <w:rPr>
          <w:spacing w:val="-4"/>
          <w:szCs w:val="24"/>
          <w:lang w:val="sq-AL"/>
        </w:rPr>
      </w:pPr>
      <w:r w:rsidRPr="00C47D9B">
        <w:rPr>
          <w:b/>
          <w:spacing w:val="-4"/>
          <w:szCs w:val="24"/>
          <w:lang w:val="sq-AL"/>
        </w:rPr>
        <w:t>RREGULLORE</w:t>
      </w:r>
      <w:r w:rsidRPr="00C47D9B">
        <w:rPr>
          <w:spacing w:val="-4"/>
          <w:szCs w:val="24"/>
          <w:lang w:val="sq-AL"/>
        </w:rPr>
        <w:t xml:space="preserve"> </w:t>
      </w:r>
    </w:p>
    <w:p w:rsidR="009A5F63" w:rsidRPr="00C47D9B" w:rsidRDefault="009A5F63" w:rsidP="009A5F63">
      <w:pPr>
        <w:pStyle w:val="NeniNr"/>
        <w:keepNext w:val="0"/>
        <w:rPr>
          <w:b/>
          <w:bCs/>
          <w:spacing w:val="-4"/>
          <w:szCs w:val="24"/>
          <w:lang w:val="sq-AL"/>
        </w:rPr>
      </w:pPr>
      <w:r w:rsidRPr="00C47D9B">
        <w:rPr>
          <w:spacing w:val="-4"/>
          <w:szCs w:val="24"/>
          <w:lang w:val="sq-AL"/>
        </w:rPr>
        <w:t>PËR CILËSINË E FURNIZIMIT DHE PERFORMANCËN E SIGURISË SË RRJETIT NË SISTEMIN E TRANSMETIMIT TË ENERGJISË ELEKTRIKE</w:t>
      </w:r>
    </w:p>
    <w:p w:rsidR="009A5F63" w:rsidRPr="00C47D9B" w:rsidRDefault="009A5F63" w:rsidP="009A5F63">
      <w:pPr>
        <w:pStyle w:val="Hapesira7"/>
        <w:rPr>
          <w:spacing w:val="-4"/>
          <w:sz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t>PJESA I</w:t>
      </w:r>
    </w:p>
    <w:p w:rsidR="009A5F63" w:rsidRPr="00C47D9B" w:rsidRDefault="009A5F63" w:rsidP="009A5F63">
      <w:pPr>
        <w:pStyle w:val="NeniNr"/>
        <w:keepNext w:val="0"/>
        <w:rPr>
          <w:spacing w:val="-4"/>
          <w:szCs w:val="24"/>
          <w:lang w:val="sq-AL"/>
        </w:rPr>
      </w:pPr>
      <w:r w:rsidRPr="00C47D9B">
        <w:rPr>
          <w:spacing w:val="-4"/>
          <w:szCs w:val="24"/>
          <w:lang w:val="sq-AL"/>
        </w:rPr>
        <w:t>DISPOZITA TË PËRGJITHSHME</w:t>
      </w:r>
    </w:p>
    <w:p w:rsidR="009A5F63" w:rsidRPr="00C47D9B" w:rsidRDefault="009A5F63" w:rsidP="009A5F63">
      <w:pPr>
        <w:pStyle w:val="Hapesira7"/>
        <w:rPr>
          <w:spacing w:val="-4"/>
          <w:sz w:val="24"/>
          <w:lang w:val="sq-AL"/>
        </w:rPr>
      </w:pPr>
    </w:p>
    <w:p w:rsidR="009A5F63" w:rsidRPr="00C47D9B" w:rsidRDefault="009A5F63" w:rsidP="009A5F63">
      <w:pPr>
        <w:pStyle w:val="NeniNr"/>
        <w:keepNext w:val="0"/>
        <w:rPr>
          <w:bCs/>
          <w:spacing w:val="-4"/>
          <w:szCs w:val="24"/>
          <w:lang w:val="sq-AL"/>
        </w:rPr>
      </w:pPr>
      <w:r w:rsidRPr="00C47D9B">
        <w:rPr>
          <w:bCs/>
          <w:spacing w:val="-4"/>
          <w:szCs w:val="24"/>
          <w:lang w:val="sq-AL"/>
        </w:rPr>
        <w:t xml:space="preserve">Neni 1 </w:t>
      </w:r>
    </w:p>
    <w:p w:rsidR="009A5F63" w:rsidRPr="00C47D9B" w:rsidRDefault="009A5F63" w:rsidP="009A5F63">
      <w:pPr>
        <w:pStyle w:val="NeniNr"/>
        <w:keepNext w:val="0"/>
        <w:rPr>
          <w:b/>
          <w:bCs/>
          <w:spacing w:val="-4"/>
          <w:szCs w:val="24"/>
          <w:lang w:val="sq-AL"/>
        </w:rPr>
      </w:pPr>
      <w:r w:rsidRPr="00C47D9B">
        <w:rPr>
          <w:b/>
          <w:bCs/>
          <w:spacing w:val="-4"/>
          <w:szCs w:val="24"/>
          <w:lang w:val="sq-AL"/>
        </w:rPr>
        <w:t xml:space="preserve">Baza ligjore </w:t>
      </w:r>
    </w:p>
    <w:p w:rsidR="009A5F63" w:rsidRPr="00C47D9B" w:rsidRDefault="009A5F63" w:rsidP="009A5F63">
      <w:pPr>
        <w:pStyle w:val="Hapesira7"/>
        <w:rPr>
          <w:spacing w:val="-4"/>
          <w:sz w:val="24"/>
          <w:lang w:val="sq-AL"/>
        </w:rPr>
      </w:pPr>
    </w:p>
    <w:p w:rsidR="009A5F63" w:rsidRPr="00C47D9B" w:rsidRDefault="009A5F63" w:rsidP="009A5F63">
      <w:pPr>
        <w:pStyle w:val="Paragrafi"/>
        <w:rPr>
          <w:spacing w:val="-4"/>
          <w:szCs w:val="24"/>
          <w:lang w:val="sq-AL"/>
        </w:rPr>
      </w:pPr>
      <w:r w:rsidRPr="00C47D9B">
        <w:rPr>
          <w:spacing w:val="-4"/>
          <w:szCs w:val="24"/>
          <w:lang w:val="sq-AL"/>
        </w:rPr>
        <w:t>Kjo rregullore hartohet në mbështetje të nenit 7 dhe nenit 19, germa “h” dhe “j”, të ligjit nr. 43/2015, “Për sektorin e energjisë elektrike”; të ligjit nr. 9902, datë 17.4.2008, “Për mbrojtjen e konsumatorëve”, neni 40; Kodit të Matjes së Energjisë Elektrike dhe Kodit të Rrjetit të Transmetimit të Energjisë Elektrike.</w:t>
      </w:r>
    </w:p>
    <w:p w:rsidR="009A5F63" w:rsidRPr="00C47D9B" w:rsidRDefault="009A5F63" w:rsidP="009A5F63">
      <w:pPr>
        <w:pStyle w:val="Hapesira7"/>
        <w:rPr>
          <w:spacing w:val="-4"/>
          <w:sz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t>Neni 2</w:t>
      </w:r>
    </w:p>
    <w:p w:rsidR="009A5F63" w:rsidRPr="00C47D9B" w:rsidRDefault="009A5F63" w:rsidP="009A5F63">
      <w:pPr>
        <w:pStyle w:val="NeniNr"/>
        <w:keepNext w:val="0"/>
        <w:rPr>
          <w:b/>
          <w:spacing w:val="-4"/>
          <w:szCs w:val="24"/>
          <w:lang w:val="sq-AL"/>
        </w:rPr>
      </w:pPr>
      <w:r w:rsidRPr="00C47D9B">
        <w:rPr>
          <w:b/>
          <w:spacing w:val="-4"/>
          <w:szCs w:val="24"/>
          <w:lang w:val="sq-AL"/>
        </w:rPr>
        <w:t xml:space="preserve">Objekti </w:t>
      </w:r>
    </w:p>
    <w:p w:rsidR="009A5F63" w:rsidRPr="00C47D9B" w:rsidRDefault="009A5F63" w:rsidP="009A5F63">
      <w:pPr>
        <w:pStyle w:val="Hapesira7"/>
        <w:rPr>
          <w:spacing w:val="-4"/>
          <w:sz w:val="24"/>
          <w:lang w:val="sq-AL"/>
        </w:rPr>
      </w:pPr>
    </w:p>
    <w:p w:rsidR="009A5F63" w:rsidRPr="00C47D9B" w:rsidRDefault="009A5F63" w:rsidP="009A5F63">
      <w:pPr>
        <w:pStyle w:val="Paragrafi"/>
        <w:rPr>
          <w:spacing w:val="-4"/>
          <w:szCs w:val="24"/>
          <w:lang w:val="sq-AL"/>
        </w:rPr>
      </w:pPr>
      <w:r w:rsidRPr="00C47D9B">
        <w:rPr>
          <w:spacing w:val="-4"/>
          <w:szCs w:val="24"/>
          <w:lang w:val="sq-AL"/>
        </w:rPr>
        <w:t xml:space="preserve">1. Kjo rregullore specifikon treguesit e cilësisë së furnizimit me energji elektrike, si dhe performancën në lidhje me sigurinë e rrjetit për Operatorin e Sistemit të Transmetimit (OST), sipas ligjit nr. 43/2015, “Për sektorin e energjisë elektrike”. </w:t>
      </w:r>
    </w:p>
    <w:p w:rsidR="009A5F63" w:rsidRPr="00C47D9B" w:rsidRDefault="009A5F63" w:rsidP="009A5F63">
      <w:pPr>
        <w:pStyle w:val="Paragrafi"/>
        <w:rPr>
          <w:spacing w:val="-4"/>
          <w:szCs w:val="24"/>
          <w:lang w:val="sq-AL"/>
        </w:rPr>
      </w:pPr>
      <w:r w:rsidRPr="00C47D9B">
        <w:rPr>
          <w:spacing w:val="-4"/>
          <w:szCs w:val="24"/>
          <w:lang w:val="sq-AL"/>
        </w:rPr>
        <w:t>2. OST-ja ka detyrimin e shërbimit publik që të përmbushë standardet e cilësisë së furnizimit të specifikuara nga Kodi i Rrjetit të Transmetimit dhe kjo rregullore.</w:t>
      </w:r>
    </w:p>
    <w:p w:rsidR="009A5F63" w:rsidRPr="00C47D9B" w:rsidRDefault="009A5F63" w:rsidP="009A5F63">
      <w:pPr>
        <w:pStyle w:val="Hapesira7"/>
        <w:rPr>
          <w:spacing w:val="-4"/>
          <w:sz w:val="24"/>
          <w:lang w:val="sq-AL"/>
        </w:rPr>
      </w:pPr>
      <w:r w:rsidRPr="00C47D9B">
        <w:rPr>
          <w:spacing w:val="-4"/>
          <w:sz w:val="24"/>
          <w:lang w:val="sq-AL"/>
        </w:rPr>
        <w:tab/>
      </w:r>
      <w:r w:rsidRPr="00C47D9B">
        <w:rPr>
          <w:spacing w:val="-4"/>
          <w:sz w:val="24"/>
          <w:lang w:val="sq-AL"/>
        </w:rPr>
        <w:tab/>
      </w:r>
      <w:r w:rsidRPr="00C47D9B">
        <w:rPr>
          <w:spacing w:val="-4"/>
          <w:sz w:val="24"/>
          <w:lang w:val="sq-AL"/>
        </w:rPr>
        <w:tab/>
      </w:r>
      <w:r w:rsidRPr="00C47D9B">
        <w:rPr>
          <w:spacing w:val="-4"/>
          <w:sz w:val="24"/>
          <w:lang w:val="sq-AL"/>
        </w:rPr>
        <w:tab/>
      </w:r>
      <w:r w:rsidRPr="00C47D9B">
        <w:rPr>
          <w:spacing w:val="-4"/>
          <w:sz w:val="24"/>
          <w:lang w:val="sq-AL"/>
        </w:rPr>
        <w:tab/>
      </w:r>
    </w:p>
    <w:p w:rsidR="009A5F63" w:rsidRPr="00C47D9B" w:rsidRDefault="009A5F63" w:rsidP="009A5F63">
      <w:pPr>
        <w:pStyle w:val="NeniNr"/>
        <w:keepNext w:val="0"/>
        <w:rPr>
          <w:spacing w:val="-4"/>
          <w:szCs w:val="24"/>
          <w:lang w:val="sq-AL"/>
        </w:rPr>
      </w:pPr>
      <w:r w:rsidRPr="00C47D9B">
        <w:rPr>
          <w:spacing w:val="-4"/>
          <w:szCs w:val="24"/>
          <w:lang w:val="sq-AL"/>
        </w:rPr>
        <w:t>Neni 3</w:t>
      </w:r>
    </w:p>
    <w:p w:rsidR="009A5F63" w:rsidRPr="00C47D9B" w:rsidRDefault="009A5F63" w:rsidP="009A5F63">
      <w:pPr>
        <w:pStyle w:val="NeniNr"/>
        <w:keepNext w:val="0"/>
        <w:rPr>
          <w:b/>
          <w:spacing w:val="-4"/>
          <w:szCs w:val="24"/>
          <w:lang w:val="sq-AL"/>
        </w:rPr>
      </w:pPr>
      <w:r w:rsidRPr="00C47D9B">
        <w:rPr>
          <w:b/>
          <w:spacing w:val="-4"/>
          <w:szCs w:val="24"/>
          <w:lang w:val="sq-AL"/>
        </w:rPr>
        <w:t xml:space="preserve">Përgjegjësitë dhe autoriteti i ERE-s </w:t>
      </w:r>
    </w:p>
    <w:p w:rsidR="009A5F63" w:rsidRPr="00C47D9B" w:rsidRDefault="009A5F63" w:rsidP="009A5F63">
      <w:pPr>
        <w:pStyle w:val="Hapesira7"/>
        <w:rPr>
          <w:spacing w:val="-4"/>
          <w:sz w:val="24"/>
          <w:lang w:val="sq-AL"/>
        </w:rPr>
      </w:pPr>
    </w:p>
    <w:p w:rsidR="009A5F63" w:rsidRPr="00C47D9B" w:rsidRDefault="009A5F63" w:rsidP="009A5F63">
      <w:pPr>
        <w:pStyle w:val="Paragrafi"/>
        <w:rPr>
          <w:spacing w:val="-4"/>
          <w:szCs w:val="24"/>
          <w:lang w:val="sq-AL"/>
        </w:rPr>
      </w:pPr>
      <w:r w:rsidRPr="00C47D9B">
        <w:rPr>
          <w:spacing w:val="-4"/>
          <w:szCs w:val="24"/>
          <w:lang w:val="sq-AL"/>
        </w:rPr>
        <w:t>1. Bazuar në nenin 19, germa “h” dhe “j”, të ligjit nr. 43/2015, “Për sektorin e energjisë elektrike”, Enti Rregullator i Energjisë (ERE) ka përgjegjësitë dhe autoritetin e mëposhtëm në</w:t>
      </w:r>
      <w:r w:rsidRPr="00C47D9B">
        <w:rPr>
          <w:b/>
          <w:spacing w:val="-4"/>
          <w:szCs w:val="24"/>
          <w:lang w:val="sq-AL"/>
        </w:rPr>
        <w:t xml:space="preserve"> </w:t>
      </w:r>
      <w:r w:rsidRPr="00C47D9B">
        <w:rPr>
          <w:spacing w:val="-4"/>
          <w:szCs w:val="24"/>
          <w:lang w:val="sq-AL"/>
        </w:rPr>
        <w:t>lidhje me çështjet e cilësisë së furnizimit me energji elektrike:</w:t>
      </w:r>
    </w:p>
    <w:p w:rsidR="009A5F63" w:rsidRPr="00C47D9B" w:rsidRDefault="009A5F63" w:rsidP="009A5F63">
      <w:pPr>
        <w:pStyle w:val="Paragrafi"/>
        <w:rPr>
          <w:spacing w:val="-4"/>
          <w:szCs w:val="24"/>
          <w:lang w:val="sq-AL"/>
        </w:rPr>
      </w:pPr>
      <w:r w:rsidRPr="00C47D9B">
        <w:rPr>
          <w:spacing w:val="-4"/>
          <w:szCs w:val="24"/>
          <w:lang w:val="sq-AL"/>
        </w:rPr>
        <w:t>a) Të publikojë kushtet për cilësinë e furnizimit të ofruar nga operatorët e sistemit;</w:t>
      </w:r>
    </w:p>
    <w:p w:rsidR="009A5F63" w:rsidRPr="00C47D9B" w:rsidRDefault="009A5F63" w:rsidP="009A5F63">
      <w:pPr>
        <w:pStyle w:val="Paragrafi"/>
        <w:rPr>
          <w:spacing w:val="-4"/>
          <w:szCs w:val="24"/>
          <w:lang w:val="sq-AL"/>
        </w:rPr>
      </w:pPr>
      <w:r w:rsidRPr="00C47D9B">
        <w:rPr>
          <w:spacing w:val="-4"/>
          <w:szCs w:val="24"/>
          <w:lang w:val="sq-AL"/>
        </w:rPr>
        <w:t>b) Të nxisë përmirësimin e cilësisë së shërbimit në sektorin e energjisë elektrike.</w:t>
      </w:r>
    </w:p>
    <w:p w:rsidR="009A5F63" w:rsidRPr="00C47D9B" w:rsidRDefault="009A5F63" w:rsidP="009A5F63">
      <w:pPr>
        <w:pStyle w:val="Paragrafi"/>
        <w:rPr>
          <w:spacing w:val="-4"/>
          <w:szCs w:val="24"/>
          <w:lang w:val="sq-AL"/>
        </w:rPr>
      </w:pPr>
      <w:r w:rsidRPr="00C47D9B">
        <w:rPr>
          <w:spacing w:val="-4"/>
          <w:szCs w:val="24"/>
          <w:lang w:val="sq-AL"/>
        </w:rPr>
        <w:t>2. Bazuar në nenin 25, pika 2, germa “dh”, të ligjit nr. 43/2015, “Për sektorin e energjisë elektrike”, ERE duhet të përfshijë te raporti vjetor, i cili i paraqitet Kuvendit të Shqipërisë, brenda datës 31 mars të çdo viti, informacionin mbi të dhënat për cilësinë e furnizimit. Si pasojë, të licencuarit duhet të paraqesin informacion për cilësinë e furnizimit në ERE, sipas nenit 6 dhe 8 të kësaj rregulloreje.</w:t>
      </w:r>
    </w:p>
    <w:p w:rsidR="009A5F63" w:rsidRPr="00C47D9B" w:rsidRDefault="009A5F63" w:rsidP="009A5F63">
      <w:pPr>
        <w:pStyle w:val="Hapesira7"/>
        <w:rPr>
          <w:spacing w:val="-4"/>
          <w:sz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t>Neni 4</w:t>
      </w:r>
    </w:p>
    <w:p w:rsidR="009A5F63" w:rsidRPr="00C47D9B" w:rsidRDefault="009A5F63" w:rsidP="009A5F63">
      <w:pPr>
        <w:pStyle w:val="NeniNr"/>
        <w:keepNext w:val="0"/>
        <w:rPr>
          <w:b/>
          <w:spacing w:val="-4"/>
          <w:szCs w:val="24"/>
          <w:lang w:val="sq-AL"/>
        </w:rPr>
      </w:pPr>
      <w:r w:rsidRPr="00C47D9B">
        <w:rPr>
          <w:b/>
          <w:spacing w:val="-4"/>
          <w:szCs w:val="24"/>
          <w:lang w:val="sq-AL"/>
        </w:rPr>
        <w:t xml:space="preserve">Përkufizimet për treguesit e performancës </w:t>
      </w:r>
    </w:p>
    <w:p w:rsidR="009A5F63" w:rsidRPr="00C47D9B" w:rsidRDefault="009A5F63" w:rsidP="009A5F63">
      <w:pPr>
        <w:pStyle w:val="Hapesira7"/>
        <w:rPr>
          <w:spacing w:val="-4"/>
          <w:sz w:val="24"/>
          <w:lang w:val="sq-AL"/>
        </w:rPr>
      </w:pPr>
    </w:p>
    <w:p w:rsidR="009A5F63" w:rsidRPr="00C47D9B" w:rsidRDefault="009A5F63" w:rsidP="009A5F63">
      <w:pPr>
        <w:pStyle w:val="Paragrafi"/>
        <w:rPr>
          <w:spacing w:val="-4"/>
          <w:szCs w:val="24"/>
          <w:lang w:val="sq-AL"/>
        </w:rPr>
      </w:pPr>
      <w:r w:rsidRPr="00C47D9B">
        <w:rPr>
          <w:spacing w:val="-4"/>
          <w:szCs w:val="24"/>
          <w:lang w:val="sq-AL"/>
        </w:rPr>
        <w:t>Treguesit e performancës të përdorur në këtë rregullore janë si më poshtë:</w:t>
      </w:r>
    </w:p>
    <w:p w:rsidR="009A5F63" w:rsidRPr="00C47D9B" w:rsidRDefault="009A5F63" w:rsidP="009A5F63">
      <w:pPr>
        <w:pStyle w:val="Paragrafi"/>
        <w:rPr>
          <w:spacing w:val="-4"/>
          <w:szCs w:val="24"/>
          <w:lang w:val="sq-AL"/>
        </w:rPr>
      </w:pPr>
      <w:r w:rsidRPr="00C47D9B">
        <w:rPr>
          <w:spacing w:val="-4"/>
          <w:szCs w:val="24"/>
          <w:lang w:val="sq-AL"/>
        </w:rPr>
        <w:t>“Enti Rregullator i Energjisë ose ERE” është autoriteti rregullator i sektorit të energjisë elektrike, i cili funksionon në përputhje me ligjin nr. 43/2015, “Për sektorin e energjisë elektrike”.</w:t>
      </w:r>
    </w:p>
    <w:p w:rsidR="009A5F63" w:rsidRPr="00C47D9B" w:rsidRDefault="009A5F63" w:rsidP="009A5F63">
      <w:pPr>
        <w:pStyle w:val="Paragrafi"/>
        <w:rPr>
          <w:spacing w:val="-4"/>
          <w:szCs w:val="24"/>
          <w:lang w:val="sq-AL"/>
        </w:rPr>
      </w:pPr>
      <w:r w:rsidRPr="00C47D9B">
        <w:rPr>
          <w:spacing w:val="-4"/>
          <w:szCs w:val="24"/>
          <w:lang w:val="sq-AL"/>
        </w:rPr>
        <w:t xml:space="preserve">“Operator i Sistemit të Transmetimit ose OST” është personi juridik, përgjegjës për operimin, mirëmbajtjen dhe zhvillimin e sistemit të transmetimit, duke përfshirë interkoneksionet me sistemet e tjera ndërkufitare, për të siguruar aftësinë afatgjatë të sistemit për plotësimin e kërkesave të arsyeshme për </w:t>
      </w:r>
      <w:r w:rsidRPr="00C47D9B">
        <w:rPr>
          <w:spacing w:val="-4"/>
          <w:szCs w:val="24"/>
          <w:lang w:val="sq-AL"/>
        </w:rPr>
        <w:lastRenderedPageBreak/>
        <w:t>transmetimin e energjisë elektrike.</w:t>
      </w:r>
    </w:p>
    <w:p w:rsidR="009A5F63" w:rsidRPr="00C47D9B" w:rsidRDefault="009A5F63" w:rsidP="009A5F63">
      <w:pPr>
        <w:pStyle w:val="Paragrafi"/>
        <w:rPr>
          <w:spacing w:val="-4"/>
          <w:szCs w:val="24"/>
          <w:lang w:val="sq-AL"/>
        </w:rPr>
      </w:pPr>
      <w:r w:rsidRPr="00C47D9B">
        <w:rPr>
          <w:spacing w:val="-4"/>
          <w:szCs w:val="24"/>
          <w:lang w:val="sq-AL"/>
        </w:rPr>
        <w:t>“Furnizues” është një shoqëri e licencuar për kryerjen e veprimtarisë së furnizimit me energji elektrike.</w:t>
      </w:r>
    </w:p>
    <w:p w:rsidR="009A5F63" w:rsidRPr="00C47D9B" w:rsidRDefault="009A5F63" w:rsidP="009A5F63">
      <w:pPr>
        <w:pStyle w:val="Paragrafi"/>
        <w:rPr>
          <w:spacing w:val="-4"/>
          <w:szCs w:val="24"/>
          <w:lang w:val="sq-AL"/>
        </w:rPr>
      </w:pPr>
      <w:r w:rsidRPr="00C47D9B">
        <w:rPr>
          <w:spacing w:val="-4"/>
          <w:szCs w:val="24"/>
          <w:lang w:val="sq-AL"/>
        </w:rPr>
        <w:t>“Klient” është një klient shumice ose fundor i energjisë elektrike.</w:t>
      </w:r>
    </w:p>
    <w:p w:rsidR="009A5F63" w:rsidRPr="00C47D9B" w:rsidRDefault="009A5F63" w:rsidP="009A5F63">
      <w:pPr>
        <w:pStyle w:val="Paragrafi"/>
        <w:rPr>
          <w:spacing w:val="-4"/>
          <w:szCs w:val="24"/>
          <w:lang w:val="sq-AL"/>
        </w:rPr>
      </w:pPr>
      <w:r w:rsidRPr="00C47D9B">
        <w:rPr>
          <w:spacing w:val="-4"/>
          <w:szCs w:val="24"/>
          <w:lang w:val="sq-AL"/>
        </w:rPr>
        <w:t>“Klient fundor” është një klient që blen energji elektrike vetëm për përdorim vetjak.</w:t>
      </w:r>
    </w:p>
    <w:p w:rsidR="009A5F63" w:rsidRPr="00C47D9B" w:rsidRDefault="009A5F63" w:rsidP="009A5F63">
      <w:pPr>
        <w:pStyle w:val="Paragrafi"/>
        <w:rPr>
          <w:spacing w:val="-4"/>
          <w:szCs w:val="24"/>
          <w:lang w:val="sq-AL"/>
        </w:rPr>
      </w:pPr>
      <w:r w:rsidRPr="00C47D9B">
        <w:rPr>
          <w:spacing w:val="-4"/>
          <w:szCs w:val="24"/>
          <w:lang w:val="sq-AL"/>
        </w:rPr>
        <w:t>“Klientë jofamiljarë” janë personat fizikë ose juridikë që blejnë energji elektrike, e cila nuk shkon për përdorim familjar, prodhuesit dhe klientët e shumicës.</w:t>
      </w:r>
    </w:p>
    <w:p w:rsidR="009A5F63" w:rsidRPr="00C47D9B" w:rsidRDefault="009A5F63" w:rsidP="009A5F63">
      <w:pPr>
        <w:pStyle w:val="Paragrafi"/>
        <w:rPr>
          <w:spacing w:val="-4"/>
          <w:szCs w:val="24"/>
          <w:lang w:val="sq-AL"/>
        </w:rPr>
      </w:pPr>
      <w:r w:rsidRPr="00C47D9B">
        <w:rPr>
          <w:spacing w:val="-4"/>
          <w:szCs w:val="24"/>
          <w:lang w:val="sq-AL"/>
        </w:rPr>
        <w:t>“Detyrimi i shërbimit publik” është detyrimi që vendoset ndaj një të licencuari për kryerjen e një shërbimi publik, që lidhet me sigurinë dhe cilësinë e furnizimit, çmimet e rregulluara në sektorin e energjisë elektrike, eficiencën e energjisë elektrike, energjinë nga burimet e rinovueshme, mbrojtjen e mjedisit, përmbushja e të cilit nuk cenon konkurrencën, përveç kur është e domosdoshme për të siguruar shërbimin publik në fjalë.</w:t>
      </w:r>
    </w:p>
    <w:p w:rsidR="009A5F63" w:rsidRPr="00C47D9B" w:rsidRDefault="009A5F63" w:rsidP="009A5F63">
      <w:pPr>
        <w:pStyle w:val="Paragrafi"/>
        <w:rPr>
          <w:spacing w:val="-4"/>
          <w:szCs w:val="24"/>
          <w:lang w:val="sq-AL"/>
        </w:rPr>
      </w:pPr>
      <w:r w:rsidRPr="00C47D9B">
        <w:rPr>
          <w:spacing w:val="-4"/>
          <w:szCs w:val="24"/>
          <w:lang w:val="sq-AL"/>
        </w:rPr>
        <w:t xml:space="preserve">“Koha mesatare e ndërprerjes së furnizimit me energji elektrike (AIT)” nënkupton treguesin e matjes së kohës së ndërprerjes së furnizimit me energji elektrike në sistem (orë në vit). </w:t>
      </w:r>
    </w:p>
    <w:p w:rsidR="009A5F63" w:rsidRPr="00C47D9B" w:rsidRDefault="009A5F63" w:rsidP="009A5F63">
      <w:pPr>
        <w:pStyle w:val="Hapesira7"/>
        <w:rPr>
          <w:spacing w:val="-4"/>
          <w:sz w:val="24"/>
          <w:lang w:val="sq-AL"/>
        </w:rPr>
      </w:pPr>
    </w:p>
    <w:p w:rsidR="009A5F63" w:rsidRPr="00C47D9B" w:rsidRDefault="009A5F63" w:rsidP="009A5F63">
      <w:pPr>
        <w:widowControl w:val="0"/>
        <w:ind w:left="720" w:hanging="720"/>
        <w:jc w:val="center"/>
        <w:rPr>
          <w:rFonts w:ascii="Garamond" w:hAnsi="Garamond"/>
          <w:spacing w:val="-4"/>
          <w:sz w:val="24"/>
          <w:szCs w:val="24"/>
          <w:lang w:val="sq-AL"/>
        </w:rPr>
      </w:pPr>
      <m:oMathPara>
        <m:oMath>
          <m:r>
            <w:rPr>
              <w:rFonts w:ascii="Cambria Math" w:hAnsi="Cambria Math" w:cs="Arial"/>
              <w:sz w:val="24"/>
              <w:szCs w:val="24"/>
              <w:lang w:val="sq-AL"/>
            </w:rPr>
            <m:t>AIT=</m:t>
          </m:r>
          <m:f>
            <m:fPr>
              <m:ctrlPr>
                <w:rPr>
                  <w:rFonts w:ascii="Cambria Math" w:hAnsi="Cambria Math" w:cs="Arial"/>
                  <w:i/>
                  <w:sz w:val="24"/>
                  <w:szCs w:val="24"/>
                  <w:lang w:val="sq-AL"/>
                </w:rPr>
              </m:ctrlPr>
            </m:fPr>
            <m:num>
              <m:r>
                <w:rPr>
                  <w:rFonts w:ascii="Cambria Math" w:hAnsi="Cambria Math" w:cs="Arial"/>
                  <w:sz w:val="24"/>
                  <w:szCs w:val="24"/>
                  <w:lang w:val="sq-AL"/>
                </w:rPr>
                <m:t>8760×</m:t>
              </m:r>
              <m:nary>
                <m:naryPr>
                  <m:chr m:val="∑"/>
                  <m:limLoc m:val="subSup"/>
                  <m:supHide m:val="1"/>
                  <m:ctrlPr>
                    <w:rPr>
                      <w:rFonts w:ascii="Cambria Math" w:hAnsi="Cambria Math" w:cs="Arial"/>
                      <w:i/>
                      <w:sz w:val="24"/>
                      <w:szCs w:val="24"/>
                      <w:lang w:val="sq-AL"/>
                    </w:rPr>
                  </m:ctrlPr>
                </m:naryPr>
                <m:sub>
                  <m:r>
                    <w:rPr>
                      <w:rFonts w:ascii="Cambria Math" w:hAnsi="Cambria Math" w:cs="Arial"/>
                      <w:sz w:val="24"/>
                      <w:szCs w:val="24"/>
                      <w:lang w:val="sq-AL"/>
                    </w:rPr>
                    <m:t>i</m:t>
                  </m:r>
                </m:sub>
                <m:sup/>
                <m:e>
                  <m:sSub>
                    <m:sSubPr>
                      <m:ctrlPr>
                        <w:rPr>
                          <w:rFonts w:ascii="Cambria Math" w:hAnsi="Cambria Math" w:cs="Arial"/>
                          <w:i/>
                          <w:sz w:val="24"/>
                          <w:szCs w:val="24"/>
                          <w:lang w:val="sq-AL"/>
                        </w:rPr>
                      </m:ctrlPr>
                    </m:sSubPr>
                    <m:e>
                      <m:r>
                        <w:rPr>
                          <w:rFonts w:ascii="Cambria Math" w:hAnsi="Cambria Math" w:cs="Arial"/>
                          <w:sz w:val="24"/>
                          <w:szCs w:val="24"/>
                          <w:lang w:val="sq-AL"/>
                        </w:rPr>
                        <m:t>E</m:t>
                      </m:r>
                    </m:e>
                    <m:sub>
                      <m:r>
                        <w:rPr>
                          <w:rFonts w:ascii="Cambria Math" w:hAnsi="Cambria Math" w:cs="Arial"/>
                          <w:sz w:val="24"/>
                          <w:szCs w:val="24"/>
                          <w:lang w:val="sq-AL"/>
                        </w:rPr>
                        <m:t>i</m:t>
                      </m:r>
                    </m:sub>
                  </m:sSub>
                </m:e>
              </m:nary>
            </m:num>
            <m:den>
              <m:sSub>
                <m:sSubPr>
                  <m:ctrlPr>
                    <w:rPr>
                      <w:rFonts w:ascii="Cambria Math" w:hAnsi="Cambria Math" w:cs="Arial"/>
                      <w:i/>
                      <w:sz w:val="24"/>
                      <w:szCs w:val="24"/>
                      <w:lang w:val="sq-AL"/>
                    </w:rPr>
                  </m:ctrlPr>
                </m:sSubPr>
                <m:e>
                  <m:r>
                    <w:rPr>
                      <w:rFonts w:ascii="Cambria Math" w:hAnsi="Cambria Math" w:cs="Arial"/>
                      <w:sz w:val="24"/>
                      <w:szCs w:val="24"/>
                      <w:lang w:val="sq-AL"/>
                    </w:rPr>
                    <m:t>E</m:t>
                  </m:r>
                </m:e>
                <m:sub>
                  <m:r>
                    <w:rPr>
                      <w:rFonts w:ascii="Cambria Math" w:hAnsi="Cambria Math" w:cs="Arial"/>
                      <w:sz w:val="24"/>
                      <w:szCs w:val="24"/>
                      <w:lang w:val="sq-AL"/>
                    </w:rPr>
                    <m:t>t</m:t>
                  </m:r>
                </m:sub>
              </m:sSub>
            </m:den>
          </m:f>
        </m:oMath>
      </m:oMathPara>
    </w:p>
    <w:p w:rsidR="009A5F63" w:rsidRPr="00C47D9B" w:rsidRDefault="009A5F63" w:rsidP="009A5F63">
      <w:pPr>
        <w:pStyle w:val="Paragrafi"/>
        <w:rPr>
          <w:spacing w:val="-4"/>
          <w:szCs w:val="24"/>
          <w:lang w:val="sq-AL"/>
        </w:rPr>
      </w:pPr>
      <w:r w:rsidRPr="00C47D9B">
        <w:rPr>
          <w:spacing w:val="-4"/>
          <w:szCs w:val="24"/>
          <w:lang w:val="sq-AL"/>
        </w:rPr>
        <w:t xml:space="preserve">Ku: </w:t>
      </w:r>
      <m:oMath>
        <m:sSub>
          <m:sSubPr>
            <m:ctrlPr>
              <w:rPr>
                <w:rFonts w:ascii="Cambria Math" w:hAnsi="Cambria Math" w:cs="Arial"/>
                <w:i/>
                <w:szCs w:val="24"/>
                <w:lang w:val="sq-AL"/>
              </w:rPr>
            </m:ctrlPr>
          </m:sSubPr>
          <m:e>
            <m:r>
              <w:rPr>
                <w:rFonts w:ascii="Cambria Math" w:hAnsi="Cambria Math" w:cs="Arial"/>
                <w:szCs w:val="24"/>
                <w:lang w:val="sq-AL"/>
              </w:rPr>
              <m:t>E</m:t>
            </m:r>
          </m:e>
          <m:sub>
            <m:r>
              <w:rPr>
                <w:rFonts w:ascii="Cambria Math" w:hAnsi="Cambria Math" w:cs="Arial"/>
                <w:szCs w:val="24"/>
                <w:lang w:val="sq-AL"/>
              </w:rPr>
              <m:t>t</m:t>
            </m:r>
          </m:sub>
        </m:sSub>
      </m:oMath>
      <w:r w:rsidRPr="00C47D9B">
        <w:rPr>
          <w:spacing w:val="-4"/>
          <w:szCs w:val="24"/>
          <w:lang w:val="sq-AL"/>
        </w:rPr>
        <w:t>është energjia totale e furnizuar nga sistemi i transmetimit për konsumatorët (në mwh) dhe E</w:t>
      </w:r>
      <w:r w:rsidRPr="00C47D9B">
        <w:rPr>
          <w:spacing w:val="-4"/>
          <w:szCs w:val="24"/>
          <w:vertAlign w:val="subscript"/>
          <w:lang w:val="sq-AL"/>
        </w:rPr>
        <w:t>i</w:t>
      </w:r>
      <w:r w:rsidRPr="00C47D9B">
        <w:rPr>
          <w:spacing w:val="-4"/>
          <w:szCs w:val="24"/>
          <w:lang w:val="sq-AL"/>
        </w:rPr>
        <w:t xml:space="preserve"> energjia e pafurnizuar (në mwh) për çdo rast (incident)</w:t>
      </w:r>
    </w:p>
    <w:p w:rsidR="009A5F63" w:rsidRPr="00C47D9B" w:rsidRDefault="009A5F63" w:rsidP="009A5F63">
      <w:pPr>
        <w:pStyle w:val="Paragrafi"/>
        <w:rPr>
          <w:spacing w:val="-4"/>
          <w:szCs w:val="24"/>
          <w:lang w:val="sq-AL"/>
        </w:rPr>
      </w:pPr>
      <w:r w:rsidRPr="00C47D9B">
        <w:rPr>
          <w:spacing w:val="-4"/>
          <w:szCs w:val="24"/>
          <w:lang w:val="sq-AL"/>
        </w:rPr>
        <w:t>“Energjia e pafurnizuar (ENS)” nënkupton sasinë totale të energjisë (në mwh) që duhet t’u ishte furnizuar konsumatorëve, të cilëve iu është ndërprerë energjia elektrike, nëse nuk do të kishte pasur ndërprerje. Ajo llogaritet si shumë e energjisë së pafurnizuar për çdo rast ndërprerjeje.</w:t>
      </w:r>
    </w:p>
    <w:p w:rsidR="009A5F63" w:rsidRPr="00C47D9B" w:rsidRDefault="009A5F63" w:rsidP="009A5F63">
      <w:pPr>
        <w:pStyle w:val="Hapesira7"/>
        <w:rPr>
          <w:spacing w:val="-4"/>
          <w:sz w:val="24"/>
          <w:lang w:val="sq-AL"/>
        </w:rPr>
      </w:pPr>
    </w:p>
    <w:p w:rsidR="009A5F63" w:rsidRPr="00C47D9B" w:rsidRDefault="009A5F63" w:rsidP="009A5F63">
      <w:pPr>
        <w:widowControl w:val="0"/>
        <w:ind w:left="1440" w:hanging="720"/>
        <w:jc w:val="center"/>
        <w:rPr>
          <w:rFonts w:ascii="Garamond" w:hAnsi="Garamond"/>
          <w:spacing w:val="-4"/>
          <w:sz w:val="24"/>
          <w:szCs w:val="24"/>
          <w:lang w:val="sq-AL"/>
        </w:rPr>
      </w:pPr>
      <m:oMathPara>
        <m:oMathParaPr>
          <m:jc m:val="center"/>
        </m:oMathParaPr>
        <m:oMath>
          <m:r>
            <w:rPr>
              <w:rFonts w:ascii="Cambria Math" w:hAnsi="Cambria Math" w:cs="Arial"/>
              <w:sz w:val="24"/>
              <w:szCs w:val="24"/>
              <w:lang w:val="sq-AL"/>
            </w:rPr>
            <m:t xml:space="preserve">ENS= </m:t>
          </m:r>
          <m:nary>
            <m:naryPr>
              <m:chr m:val="∑"/>
              <m:limLoc m:val="undOvr"/>
              <m:supHide m:val="1"/>
              <m:ctrlPr>
                <w:rPr>
                  <w:rFonts w:ascii="Cambria Math" w:hAnsi="Cambria Math" w:cs="Arial"/>
                  <w:i/>
                  <w:sz w:val="24"/>
                  <w:szCs w:val="24"/>
                  <w:lang w:val="sq-AL"/>
                </w:rPr>
              </m:ctrlPr>
            </m:naryPr>
            <m:sub>
              <m:r>
                <w:rPr>
                  <w:rFonts w:ascii="Cambria Math" w:hAnsi="Cambria Math" w:cs="Arial"/>
                  <w:sz w:val="24"/>
                  <w:szCs w:val="24"/>
                  <w:lang w:val="sq-AL"/>
                </w:rPr>
                <m:t>i</m:t>
              </m:r>
            </m:sub>
            <m:sup/>
            <m:e>
              <m:sSub>
                <m:sSubPr>
                  <m:ctrlPr>
                    <w:rPr>
                      <w:rFonts w:ascii="Cambria Math" w:hAnsi="Cambria Math" w:cs="Arial"/>
                      <w:i/>
                      <w:sz w:val="24"/>
                      <w:szCs w:val="24"/>
                      <w:lang w:val="sq-AL"/>
                    </w:rPr>
                  </m:ctrlPr>
                </m:sSubPr>
                <m:e>
                  <m:r>
                    <w:rPr>
                      <w:rFonts w:ascii="Cambria Math" w:hAnsi="Cambria Math" w:cs="Arial"/>
                      <w:sz w:val="24"/>
                      <w:szCs w:val="24"/>
                      <w:lang w:val="sq-AL"/>
                    </w:rPr>
                    <m:t>E</m:t>
                  </m:r>
                </m:e>
                <m:sub>
                  <m:r>
                    <w:rPr>
                      <w:rFonts w:ascii="Cambria Math" w:hAnsi="Cambria Math" w:cs="Arial"/>
                      <w:sz w:val="24"/>
                      <w:szCs w:val="24"/>
                      <w:lang w:val="sq-AL"/>
                    </w:rPr>
                    <m:t>1</m:t>
                  </m:r>
                </m:sub>
              </m:sSub>
            </m:e>
          </m:nary>
        </m:oMath>
      </m:oMathPara>
    </w:p>
    <w:p w:rsidR="009A5F63" w:rsidRPr="00C47D9B" w:rsidRDefault="009A5F63" w:rsidP="009A5F63">
      <w:pPr>
        <w:widowControl w:val="0"/>
        <w:spacing w:after="0" w:line="240" w:lineRule="auto"/>
        <w:rPr>
          <w:rStyle w:val="ParagrafiCharChar"/>
          <w:rFonts w:ascii="Garamond" w:hAnsi="Garamond"/>
          <w:spacing w:val="-4"/>
          <w:sz w:val="24"/>
          <w:szCs w:val="24"/>
          <w:lang w:val="sq-AL"/>
        </w:rPr>
      </w:pPr>
      <w:r w:rsidRPr="00C47D9B">
        <w:rPr>
          <w:rStyle w:val="ParagrafiCharChar"/>
          <w:rFonts w:ascii="Garamond" w:hAnsi="Garamond"/>
          <w:spacing w:val="-4"/>
          <w:sz w:val="24"/>
          <w:szCs w:val="24"/>
          <w:lang w:val="sq-AL"/>
        </w:rPr>
        <w:t>Ku: E</w:t>
      </w:r>
      <w:r w:rsidRPr="00C47D9B">
        <w:rPr>
          <w:rStyle w:val="ParagrafiCharChar"/>
          <w:rFonts w:ascii="Garamond" w:hAnsi="Garamond"/>
          <w:spacing w:val="-4"/>
          <w:sz w:val="24"/>
          <w:szCs w:val="24"/>
          <w:vertAlign w:val="subscript"/>
          <w:lang w:val="sq-AL"/>
        </w:rPr>
        <w:t>i</w:t>
      </w:r>
      <w:r w:rsidRPr="00C47D9B">
        <w:rPr>
          <w:rStyle w:val="ParagrafiCharChar"/>
          <w:rFonts w:ascii="Garamond" w:hAnsi="Garamond"/>
          <w:spacing w:val="-4"/>
          <w:sz w:val="24"/>
          <w:szCs w:val="24"/>
          <w:lang w:val="sq-AL"/>
        </w:rPr>
        <w:t xml:space="preserve"> = është energjia e pafurnizuar për çdo rast </w:t>
      </w:r>
    </w:p>
    <w:p w:rsidR="009A5F63" w:rsidRPr="00C47D9B" w:rsidRDefault="009A5F63" w:rsidP="006D7C2D">
      <w:pPr>
        <w:pStyle w:val="Paragrafi"/>
        <w:rPr>
          <w:rStyle w:val="ParagrafiCharChar"/>
          <w:rFonts w:ascii="Garamond" w:hAnsi="Garamond"/>
          <w:spacing w:val="-4"/>
          <w:sz w:val="24"/>
          <w:szCs w:val="24"/>
          <w:lang w:val="sq-AL"/>
        </w:rPr>
      </w:pPr>
      <w:r w:rsidRPr="00C47D9B">
        <w:rPr>
          <w:rStyle w:val="ParagrafiCharChar"/>
          <w:rFonts w:ascii="Garamond" w:hAnsi="Garamond"/>
          <w:spacing w:val="-4"/>
          <w:sz w:val="24"/>
          <w:szCs w:val="24"/>
          <w:lang w:val="sq-AL"/>
        </w:rPr>
        <w:t>“Cilësia e frekuencës (FQ)” nënkupton një tregues të matjes së devijimit të frekuencës së sistemit mbi ose nën vlerën nominale prej 50 Hz, duke pasur në konsideratë se:</w:t>
      </w:r>
    </w:p>
    <w:p w:rsidR="009A5F63" w:rsidRPr="00C47D9B" w:rsidRDefault="009A5F63" w:rsidP="009A5F63">
      <w:pPr>
        <w:pStyle w:val="Paragrafi"/>
        <w:rPr>
          <w:rStyle w:val="ParagrafiCharChar"/>
          <w:rFonts w:ascii="Garamond" w:hAnsi="Garamond"/>
          <w:spacing w:val="-4"/>
          <w:sz w:val="24"/>
          <w:szCs w:val="24"/>
          <w:lang w:val="sq-AL"/>
        </w:rPr>
      </w:pPr>
      <w:r w:rsidRPr="00C47D9B">
        <w:rPr>
          <w:rStyle w:val="ParagrafiCharChar"/>
          <w:rFonts w:ascii="Garamond" w:hAnsi="Garamond"/>
          <w:spacing w:val="-4"/>
          <w:sz w:val="24"/>
          <w:szCs w:val="24"/>
          <w:lang w:val="sq-AL"/>
        </w:rPr>
        <w:t>1. Frekuenca nominale në sistemin elektroenergjetik të vendit, i cili operon në mënyrë sinkrone me rrjetin evropian të transmetimit ENTSO-E është 50 Hz.</w:t>
      </w:r>
    </w:p>
    <w:p w:rsidR="009A5F63" w:rsidRPr="00C47D9B" w:rsidRDefault="009A5F63" w:rsidP="009A5F63">
      <w:pPr>
        <w:pStyle w:val="Paragrafi"/>
        <w:rPr>
          <w:rStyle w:val="ParagrafiCharChar"/>
          <w:rFonts w:ascii="Garamond" w:hAnsi="Garamond"/>
          <w:spacing w:val="-4"/>
          <w:sz w:val="24"/>
          <w:szCs w:val="24"/>
          <w:lang w:val="sq-AL"/>
        </w:rPr>
      </w:pPr>
      <w:r w:rsidRPr="00C47D9B">
        <w:rPr>
          <w:rStyle w:val="ParagrafiCharChar"/>
          <w:rFonts w:ascii="Garamond" w:hAnsi="Garamond"/>
          <w:spacing w:val="-4"/>
          <w:sz w:val="24"/>
          <w:szCs w:val="24"/>
          <w:lang w:val="sq-AL"/>
        </w:rPr>
        <w:t xml:space="preserve"> 2. OST-ja do të sigurojë që nivelet e lejuara të frekuencës në sistemin elektroenergjetik do të jenë në përputhje me kërkesat për cilësinë e frekuencës, sipas përcaktimeve të Kodit të Rrjetit të Transmetimit dhe standardeve të ENTSO-E. </w:t>
      </w:r>
    </w:p>
    <w:p w:rsidR="009A5F63" w:rsidRPr="00C47D9B" w:rsidRDefault="009A5F63" w:rsidP="009A5F63">
      <w:pPr>
        <w:pStyle w:val="Paragrafi"/>
        <w:rPr>
          <w:rStyle w:val="ParagrafiCharChar"/>
          <w:rFonts w:ascii="Garamond" w:hAnsi="Garamond"/>
          <w:spacing w:val="-4"/>
          <w:sz w:val="24"/>
          <w:szCs w:val="24"/>
          <w:lang w:val="sq-AL"/>
        </w:rPr>
      </w:pPr>
      <w:r w:rsidRPr="00C47D9B">
        <w:rPr>
          <w:rStyle w:val="ParagrafiCharChar"/>
          <w:rFonts w:ascii="Garamond" w:hAnsi="Garamond"/>
          <w:spacing w:val="-4"/>
          <w:sz w:val="24"/>
          <w:szCs w:val="24"/>
          <w:lang w:val="sq-AL"/>
        </w:rPr>
        <w:t>3. OST-ja do të sigurojë rezerva rregullimi për mbajtjen e frekuencës së sistemit, në përputhje me gjendjen e sistemit, duke administruar dhe monitoruar frekuencën në përputhje me procedurat e menaxhimit të frekuencës dhe në çdo rast, duke zbatuar planin e mbrojtjes dhe rivendosjes së sistemit elektroenergjetik, siç është përshkruar në Kodin e Rrjetit të Transmetimit.</w:t>
      </w:r>
    </w:p>
    <w:p w:rsidR="009A5F63" w:rsidRPr="00C47D9B" w:rsidRDefault="009A5F63" w:rsidP="009A5F63">
      <w:pPr>
        <w:pStyle w:val="Paragrafi"/>
        <w:rPr>
          <w:rStyle w:val="ParagrafiCharChar"/>
          <w:rFonts w:ascii="Garamond" w:hAnsi="Garamond"/>
          <w:spacing w:val="-4"/>
          <w:sz w:val="24"/>
          <w:szCs w:val="24"/>
          <w:lang w:val="sq-AL"/>
        </w:rPr>
      </w:pPr>
      <w:r w:rsidRPr="00C47D9B">
        <w:rPr>
          <w:rStyle w:val="ParagrafiCharChar"/>
          <w:rFonts w:ascii="Garamond" w:hAnsi="Garamond"/>
          <w:spacing w:val="-4"/>
          <w:sz w:val="24"/>
          <w:szCs w:val="24"/>
          <w:lang w:val="sq-AL"/>
        </w:rPr>
        <w:t xml:space="preserve">“Periudha e njoftimit për ndërprerje të planifikuara në sistemin e transmetimit” nënkupton numrin e orëve dhe ditëve në avancë të dhënies së njoftimit për konsumatorët e lidhur direkt në sistemin e transmetimit dhe operatorët e sistemit të shpërndarjes (OSHEE), lidhur me ndërprerjet e planifikuara. </w:t>
      </w:r>
    </w:p>
    <w:p w:rsidR="009A5F63" w:rsidRPr="00C47D9B" w:rsidRDefault="009A5F63" w:rsidP="009A5F63">
      <w:pPr>
        <w:pStyle w:val="Paragrafi"/>
        <w:rPr>
          <w:rStyle w:val="ParagrafiCharChar"/>
          <w:rFonts w:ascii="Garamond" w:hAnsi="Garamond"/>
          <w:spacing w:val="-4"/>
          <w:sz w:val="24"/>
          <w:szCs w:val="24"/>
          <w:lang w:val="sq-AL"/>
        </w:rPr>
      </w:pPr>
      <w:r w:rsidRPr="00C47D9B">
        <w:rPr>
          <w:rStyle w:val="ParagrafiCharChar"/>
          <w:rFonts w:ascii="Garamond" w:hAnsi="Garamond"/>
          <w:spacing w:val="-4"/>
          <w:sz w:val="24"/>
          <w:szCs w:val="24"/>
          <w:lang w:val="sq-AL"/>
        </w:rPr>
        <w:t>“Zgjidhja e ankesave për cilësinë e tensionit” nënkupton përqindjen e ankesave për devijimet e tensionit jashtë kufijve të specifikuar në Kodin e Rrjetit që janë zgjidhur brenda afatit kohor të përcaktuar në “Rregulloren për trajtimin e ankesave të paraqitura nga klientët dhe për zgjidhjen e mosmarrëveshjeve midis të licencuarve, në sektorin e energjisë elektrike dhe të gazit natyror”. Ky tregues llogaritet në mënyrë të veçantë për zonat urbane dhe ato rurale.</w:t>
      </w:r>
    </w:p>
    <w:p w:rsidR="009A5F63" w:rsidRPr="00C47D9B" w:rsidRDefault="009A5F63" w:rsidP="009A5F63">
      <w:pPr>
        <w:pStyle w:val="Paragrafi"/>
        <w:rPr>
          <w:rStyle w:val="ParagrafiCharChar"/>
          <w:rFonts w:ascii="Garamond" w:hAnsi="Garamond"/>
          <w:spacing w:val="-4"/>
          <w:sz w:val="24"/>
          <w:szCs w:val="24"/>
          <w:lang w:val="sq-AL"/>
        </w:rPr>
      </w:pPr>
      <w:r w:rsidRPr="00C47D9B">
        <w:rPr>
          <w:rStyle w:val="ParagrafiCharChar"/>
          <w:rFonts w:ascii="Garamond" w:hAnsi="Garamond"/>
          <w:spacing w:val="-4"/>
          <w:sz w:val="24"/>
          <w:szCs w:val="24"/>
          <w:lang w:val="sq-AL"/>
        </w:rPr>
        <w:t xml:space="preserve">“Koha e nevojshme për kërkesat për lidhjet e reja” nënkupton kohën që i nevojitet OST-së për të dhënë </w:t>
      </w:r>
      <w:r w:rsidRPr="00C47D9B">
        <w:rPr>
          <w:rStyle w:val="ParagrafiCharChar"/>
          <w:rFonts w:ascii="Garamond" w:hAnsi="Garamond"/>
          <w:spacing w:val="-4"/>
          <w:sz w:val="24"/>
          <w:szCs w:val="24"/>
          <w:lang w:val="sq-AL"/>
        </w:rPr>
        <w:lastRenderedPageBreak/>
        <w:t>një përgjigje me shkrim për kërkesën për lidhje të re. Kjo kohë mund të llogaritet në mënyrë të veçantë sipas niveleve e ndryshme të tensionit të pikës së lidhjes. Llogaritja e kohës do të marrë në konsideratë afatet përkatëse për trajtimin e kërkesave për lidhje, bazuar në “Rregulloren e procedurave për lidhjet e reja dhe modifikimin e lidhjeve ekzistuese me rrjetin e transmetimit”.</w:t>
      </w:r>
    </w:p>
    <w:p w:rsidR="009A5F63" w:rsidRPr="00C47D9B" w:rsidRDefault="009A5F63" w:rsidP="009A5F63">
      <w:pPr>
        <w:pStyle w:val="Paragrafi"/>
        <w:rPr>
          <w:rStyle w:val="ParagrafiCharChar"/>
          <w:rFonts w:ascii="Garamond" w:hAnsi="Garamond"/>
          <w:spacing w:val="-4"/>
          <w:sz w:val="24"/>
          <w:szCs w:val="24"/>
          <w:lang w:val="sq-AL"/>
        </w:rPr>
      </w:pPr>
      <w:r w:rsidRPr="00C47D9B">
        <w:rPr>
          <w:rStyle w:val="ParagrafiCharChar"/>
          <w:rFonts w:ascii="Garamond" w:hAnsi="Garamond"/>
          <w:spacing w:val="-4"/>
          <w:sz w:val="24"/>
          <w:szCs w:val="24"/>
          <w:lang w:val="sq-AL"/>
        </w:rPr>
        <w:t>“Indeksi i kohëzgjatjes mesatare të ndërprerjeve (SAIDI)”, zakonisht i referohet kohëzgjatjes mesatare të ndërprerjeve për klientët, të cilët kanë ndërprerje gjatë një periudhe kohore (vit, tremujor, gjashtëmujor). Ai llogaritet si raport i shumës të të gjitha kohëzgjatjeve të ndërprerjeve të konsumatorëve të ndërprerë me numrin total të konsumatorëve, sipas formulës së mëposhtme:</w:t>
      </w:r>
    </w:p>
    <w:p w:rsidR="009A5F63" w:rsidRPr="00C47D9B" w:rsidRDefault="009A5F63" w:rsidP="009A5F63">
      <w:pPr>
        <w:widowControl w:val="0"/>
        <w:tabs>
          <w:tab w:val="left" w:pos="426"/>
        </w:tabs>
        <w:spacing w:before="100" w:beforeAutospacing="1" w:after="100" w:afterAutospacing="1"/>
        <w:contextualSpacing/>
        <w:jc w:val="center"/>
        <w:rPr>
          <w:rFonts w:ascii="Garamond" w:hAnsi="Garamond"/>
          <w:spacing w:val="-4"/>
          <w:sz w:val="24"/>
          <w:szCs w:val="24"/>
          <w:lang w:val="sq-AL"/>
        </w:rPr>
      </w:pPr>
      <m:oMathPara>
        <m:oMath>
          <m:r>
            <w:rPr>
              <w:rFonts w:ascii="Cambria Math" w:hAnsi="Cambria Math" w:cs="Arial"/>
              <w:sz w:val="24"/>
              <w:szCs w:val="24"/>
              <w:lang w:val="sq-AL"/>
            </w:rPr>
            <m:t xml:space="preserve">SAIDI= </m:t>
          </m:r>
          <m:f>
            <m:fPr>
              <m:ctrlPr>
                <w:rPr>
                  <w:rFonts w:ascii="Cambria Math" w:hAnsi="Cambria Math" w:cs="Arial"/>
                  <w:i/>
                  <w:sz w:val="24"/>
                  <w:szCs w:val="24"/>
                  <w:lang w:val="sq-AL"/>
                </w:rPr>
              </m:ctrlPr>
            </m:fPr>
            <m:num>
              <m:nary>
                <m:naryPr>
                  <m:chr m:val="∑"/>
                  <m:limLoc m:val="undOvr"/>
                  <m:ctrlPr>
                    <w:rPr>
                      <w:rFonts w:ascii="Cambria Math" w:hAnsi="Cambria Math" w:cs="Arial"/>
                      <w:i/>
                      <w:sz w:val="24"/>
                      <w:szCs w:val="24"/>
                      <w:lang w:val="sq-AL"/>
                    </w:rPr>
                  </m:ctrlPr>
                </m:naryPr>
                <m:sub>
                  <m:r>
                    <w:rPr>
                      <w:rFonts w:ascii="Cambria Math" w:hAnsi="Cambria Math" w:cs="Arial"/>
                      <w:sz w:val="24"/>
                      <w:szCs w:val="24"/>
                      <w:lang w:val="sq-AL"/>
                    </w:rPr>
                    <m:t>i=1</m:t>
                  </m:r>
                </m:sub>
                <m:sup>
                  <m:r>
                    <w:rPr>
                      <w:rFonts w:ascii="Cambria Math" w:hAnsi="Cambria Math" w:cs="Arial"/>
                      <w:sz w:val="24"/>
                      <w:szCs w:val="24"/>
                      <w:lang w:val="sq-AL"/>
                    </w:rPr>
                    <m:t>K</m:t>
                  </m:r>
                </m:sup>
                <m:e>
                  <m:sSub>
                    <m:sSubPr>
                      <m:ctrlPr>
                        <w:rPr>
                          <w:rFonts w:ascii="Cambria Math" w:hAnsi="Cambria Math" w:cs="Arial"/>
                          <w:i/>
                          <w:sz w:val="24"/>
                          <w:szCs w:val="24"/>
                          <w:lang w:val="sq-AL"/>
                        </w:rPr>
                      </m:ctrlPr>
                    </m:sSubPr>
                    <m:e>
                      <m:r>
                        <w:rPr>
                          <w:rFonts w:ascii="Cambria Math" w:hAnsi="Cambria Math" w:cs="Arial"/>
                          <w:sz w:val="24"/>
                          <w:szCs w:val="24"/>
                          <w:lang w:val="sq-AL"/>
                        </w:rPr>
                        <m:t>D</m:t>
                      </m:r>
                    </m:e>
                    <m:sub>
                      <m:r>
                        <w:rPr>
                          <w:rFonts w:ascii="Cambria Math" w:hAnsi="Cambria Math" w:cs="Arial"/>
                          <w:sz w:val="24"/>
                          <w:szCs w:val="24"/>
                          <w:lang w:val="sq-AL"/>
                        </w:rPr>
                        <m:t xml:space="preserve">i </m:t>
                      </m:r>
                    </m:sub>
                  </m:sSub>
                  <m:r>
                    <w:rPr>
                      <w:rFonts w:ascii="Cambria Math" w:hAnsi="Cambria Math" w:cs="Arial"/>
                      <w:sz w:val="24"/>
                      <w:szCs w:val="24"/>
                      <w:lang w:val="sq-AL"/>
                    </w:rPr>
                    <m:t xml:space="preserve">× </m:t>
                  </m:r>
                  <m:sSub>
                    <m:sSubPr>
                      <m:ctrlPr>
                        <w:rPr>
                          <w:rFonts w:ascii="Cambria Math" w:hAnsi="Cambria Math" w:cs="Arial"/>
                          <w:i/>
                          <w:sz w:val="24"/>
                          <w:szCs w:val="24"/>
                          <w:lang w:val="sq-AL"/>
                        </w:rPr>
                      </m:ctrlPr>
                    </m:sSubPr>
                    <m:e>
                      <m:r>
                        <w:rPr>
                          <w:rFonts w:ascii="Cambria Math" w:hAnsi="Cambria Math" w:cs="Arial"/>
                          <w:sz w:val="24"/>
                          <w:szCs w:val="24"/>
                          <w:lang w:val="sq-AL"/>
                        </w:rPr>
                        <m:t>N</m:t>
                      </m:r>
                    </m:e>
                    <m:sub>
                      <m:r>
                        <w:rPr>
                          <w:rFonts w:ascii="Cambria Math" w:hAnsi="Cambria Math" w:cs="Arial"/>
                          <w:sz w:val="24"/>
                          <w:szCs w:val="24"/>
                          <w:lang w:val="sq-AL"/>
                        </w:rPr>
                        <m:t>i</m:t>
                      </m:r>
                    </m:sub>
                  </m:sSub>
                </m:e>
              </m:nary>
            </m:num>
            <m:den>
              <m:sSub>
                <m:sSubPr>
                  <m:ctrlPr>
                    <w:rPr>
                      <w:rFonts w:ascii="Cambria Math" w:hAnsi="Cambria Math" w:cs="Arial"/>
                      <w:i/>
                      <w:sz w:val="24"/>
                      <w:szCs w:val="24"/>
                      <w:lang w:val="sq-AL"/>
                    </w:rPr>
                  </m:ctrlPr>
                </m:sSubPr>
                <m:e>
                  <m:r>
                    <w:rPr>
                      <w:rFonts w:ascii="Cambria Math" w:hAnsi="Cambria Math" w:cs="Arial"/>
                      <w:sz w:val="24"/>
                      <w:szCs w:val="24"/>
                      <w:lang w:val="sq-AL"/>
                    </w:rPr>
                    <m:t>N</m:t>
                  </m:r>
                </m:e>
                <m:sub>
                  <m:r>
                    <w:rPr>
                      <w:rFonts w:ascii="Cambria Math" w:hAnsi="Cambria Math" w:cs="Arial"/>
                      <w:sz w:val="24"/>
                      <w:szCs w:val="24"/>
                      <w:lang w:val="sq-AL"/>
                    </w:rPr>
                    <m:t>T</m:t>
                  </m:r>
                </m:sub>
              </m:sSub>
            </m:den>
          </m:f>
        </m:oMath>
      </m:oMathPara>
    </w:p>
    <w:p w:rsidR="009A5F63" w:rsidRPr="00C47D9B" w:rsidRDefault="009A5F63" w:rsidP="009A5F63">
      <w:pPr>
        <w:pStyle w:val="Paragrafi"/>
        <w:rPr>
          <w:spacing w:val="-4"/>
          <w:szCs w:val="24"/>
          <w:lang w:val="sq-AL"/>
        </w:rPr>
      </w:pPr>
      <w:r w:rsidRPr="00C47D9B">
        <w:rPr>
          <w:spacing w:val="-4"/>
          <w:szCs w:val="24"/>
          <w:lang w:val="sq-AL"/>
        </w:rPr>
        <w:t>Ku: N</w:t>
      </w:r>
      <w:r w:rsidRPr="00C47D9B">
        <w:rPr>
          <w:spacing w:val="-4"/>
          <w:szCs w:val="24"/>
          <w:vertAlign w:val="subscript"/>
          <w:lang w:val="sq-AL"/>
        </w:rPr>
        <w:t>i</w:t>
      </w:r>
      <w:r w:rsidRPr="00C47D9B">
        <w:rPr>
          <w:spacing w:val="-4"/>
          <w:szCs w:val="24"/>
          <w:lang w:val="sq-AL"/>
        </w:rPr>
        <w:t xml:space="preserve"> = numri i konsumatorëve të përfshirë në ndërprerjen “i”</w:t>
      </w:r>
    </w:p>
    <w:p w:rsidR="009A5F63" w:rsidRPr="00C47D9B" w:rsidRDefault="009A5F63" w:rsidP="009A5F63">
      <w:pPr>
        <w:pStyle w:val="Paragrafi"/>
        <w:rPr>
          <w:spacing w:val="-4"/>
          <w:szCs w:val="24"/>
          <w:lang w:val="sq-AL"/>
        </w:rPr>
      </w:pPr>
      <w:r w:rsidRPr="00C47D9B">
        <w:rPr>
          <w:spacing w:val="-4"/>
          <w:szCs w:val="24"/>
          <w:lang w:val="sq-AL"/>
        </w:rPr>
        <w:t>N</w:t>
      </w:r>
      <w:r w:rsidRPr="00C47D9B">
        <w:rPr>
          <w:spacing w:val="-4"/>
          <w:szCs w:val="24"/>
          <w:vertAlign w:val="subscript"/>
          <w:lang w:val="sq-AL"/>
        </w:rPr>
        <w:t xml:space="preserve">T </w:t>
      </w:r>
      <w:r w:rsidRPr="00C47D9B">
        <w:rPr>
          <w:spacing w:val="-4"/>
          <w:szCs w:val="24"/>
          <w:lang w:val="sq-AL"/>
        </w:rPr>
        <w:t>= është numri total i konsumatorëve të furnizuar gjatë atij viti</w:t>
      </w:r>
    </w:p>
    <w:p w:rsidR="009A5F63" w:rsidRPr="00C47D9B" w:rsidRDefault="009A5F63" w:rsidP="009A5F63">
      <w:pPr>
        <w:pStyle w:val="Paragrafi"/>
        <w:rPr>
          <w:spacing w:val="-4"/>
          <w:szCs w:val="24"/>
          <w:lang w:val="sq-AL"/>
        </w:rPr>
      </w:pPr>
      <w:r w:rsidRPr="00C47D9B">
        <w:rPr>
          <w:spacing w:val="-4"/>
          <w:szCs w:val="24"/>
          <w:lang w:val="sq-AL"/>
        </w:rPr>
        <w:tab/>
      </w:r>
      <w:r w:rsidRPr="00C47D9B">
        <w:rPr>
          <w:spacing w:val="-4"/>
          <w:szCs w:val="24"/>
          <w:lang w:val="sq-AL"/>
        </w:rPr>
        <w:tab/>
        <w:t>Di = kohëzgjatja e ndërprerjes “I”</w:t>
      </w:r>
    </w:p>
    <w:p w:rsidR="009A5F63" w:rsidRPr="00C47D9B" w:rsidRDefault="009A5F63" w:rsidP="009A5F63">
      <w:pPr>
        <w:pStyle w:val="Paragrafi"/>
        <w:rPr>
          <w:spacing w:val="-4"/>
          <w:szCs w:val="24"/>
          <w:lang w:val="sq-AL"/>
        </w:rPr>
      </w:pPr>
      <w:r w:rsidRPr="00C47D9B">
        <w:rPr>
          <w:spacing w:val="-4"/>
          <w:szCs w:val="24"/>
          <w:lang w:val="sq-AL"/>
        </w:rPr>
        <w:tab/>
      </w:r>
      <w:r w:rsidRPr="00C47D9B">
        <w:rPr>
          <w:spacing w:val="-4"/>
          <w:szCs w:val="24"/>
          <w:lang w:val="sq-AL"/>
        </w:rPr>
        <w:tab/>
        <w:t xml:space="preserve">K = numri total i ndërprerjeve </w:t>
      </w:r>
    </w:p>
    <w:p w:rsidR="009A5F63" w:rsidRPr="00C47D9B" w:rsidRDefault="009A5F63" w:rsidP="009A5F63">
      <w:pPr>
        <w:pStyle w:val="Paragrafi"/>
        <w:rPr>
          <w:spacing w:val="-4"/>
          <w:szCs w:val="24"/>
          <w:lang w:val="sq-AL"/>
        </w:rPr>
      </w:pPr>
      <w:r w:rsidRPr="00C47D9B">
        <w:rPr>
          <w:spacing w:val="-4"/>
          <w:szCs w:val="24"/>
          <w:lang w:val="sq-AL"/>
        </w:rPr>
        <w:t xml:space="preserve">“Cilësia e tensionit (VQ)” nënkupton vlerësim i devijimit të tensionit mbi ose nën vlerën nominale të pritshme për tensionin e rrjetit, sipas përcaktimeve të Kodit të Rrjetit të Transmetimit. Ajo llogaritet në mënyrë të veçantë për çdo tension nominal për zonat urbane dhe ato rurale. </w:t>
      </w:r>
    </w:p>
    <w:p w:rsidR="009A5F63" w:rsidRPr="00C47D9B" w:rsidRDefault="009A5F63" w:rsidP="009A5F63">
      <w:pPr>
        <w:pStyle w:val="Paragrafi"/>
        <w:rPr>
          <w:spacing w:val="-4"/>
          <w:szCs w:val="24"/>
          <w:lang w:val="sq-AL"/>
        </w:rPr>
      </w:pPr>
      <w:r w:rsidRPr="00C47D9B">
        <w:rPr>
          <w:spacing w:val="-4"/>
          <w:szCs w:val="24"/>
          <w:lang w:val="sq-AL"/>
        </w:rPr>
        <w:t>Çdo përkufizim ose term tjetër i përdorur në këtë rregullore, ka të njëjtin kuptim me atë të përdorur në ligjin nr. 43/2015, “Për sektorin e energjisë elektrike”.</w:t>
      </w:r>
    </w:p>
    <w:p w:rsidR="009A5F63" w:rsidRPr="00C47D9B" w:rsidRDefault="009A5F63" w:rsidP="009A5F63">
      <w:pPr>
        <w:pStyle w:val="Hapesira7"/>
        <w:rPr>
          <w:spacing w:val="-4"/>
          <w:sz w:val="24"/>
          <w:lang w:val="sq-AL"/>
        </w:rPr>
      </w:pPr>
    </w:p>
    <w:p w:rsidR="009A5F63" w:rsidRPr="00C47D9B" w:rsidRDefault="009A5F63" w:rsidP="009A5F63">
      <w:pPr>
        <w:pStyle w:val="Paragrafi"/>
        <w:ind w:firstLine="0"/>
        <w:jc w:val="center"/>
        <w:rPr>
          <w:spacing w:val="-4"/>
          <w:szCs w:val="24"/>
          <w:lang w:val="sq-AL"/>
        </w:rPr>
      </w:pPr>
      <w:r w:rsidRPr="00C47D9B">
        <w:rPr>
          <w:spacing w:val="-4"/>
          <w:szCs w:val="24"/>
          <w:lang w:val="sq-AL"/>
        </w:rPr>
        <w:t>PJESA II</w:t>
      </w:r>
    </w:p>
    <w:p w:rsidR="009A5F63" w:rsidRPr="00C47D9B" w:rsidRDefault="009A5F63" w:rsidP="009A5F63">
      <w:pPr>
        <w:pStyle w:val="Paragrafi"/>
        <w:ind w:firstLine="0"/>
        <w:jc w:val="center"/>
        <w:rPr>
          <w:spacing w:val="-4"/>
          <w:szCs w:val="24"/>
          <w:lang w:val="sq-AL"/>
        </w:rPr>
      </w:pPr>
      <w:r w:rsidRPr="00C47D9B">
        <w:rPr>
          <w:spacing w:val="-4"/>
          <w:szCs w:val="24"/>
          <w:lang w:val="sq-AL"/>
        </w:rPr>
        <w:t>TREGUESIT E CILËSISË DHE PERFORMANCËS</w:t>
      </w:r>
    </w:p>
    <w:p w:rsidR="009A5F63" w:rsidRPr="00C47D9B" w:rsidRDefault="009A5F63" w:rsidP="009A5F63">
      <w:pPr>
        <w:pStyle w:val="Hapesira7"/>
        <w:rPr>
          <w:spacing w:val="-4"/>
          <w:sz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t>Neni 5</w:t>
      </w:r>
    </w:p>
    <w:p w:rsidR="009A5F63" w:rsidRPr="00C47D9B" w:rsidRDefault="009A5F63" w:rsidP="009A5F63">
      <w:pPr>
        <w:pStyle w:val="NeniNr"/>
        <w:keepNext w:val="0"/>
        <w:rPr>
          <w:b/>
          <w:spacing w:val="-4"/>
          <w:szCs w:val="24"/>
          <w:lang w:val="sq-AL"/>
        </w:rPr>
      </w:pPr>
      <w:r w:rsidRPr="00C47D9B">
        <w:rPr>
          <w:b/>
          <w:spacing w:val="-4"/>
          <w:szCs w:val="24"/>
          <w:lang w:val="sq-AL"/>
        </w:rPr>
        <w:t xml:space="preserve"> Treguesit e matjes për cilësinë e furnizimit dhe performancës së sigurisë së rrjetit nga Operatori i Sistemit të Transmetimit </w:t>
      </w:r>
    </w:p>
    <w:p w:rsidR="009A5F63" w:rsidRPr="00C47D9B" w:rsidRDefault="009A5F63" w:rsidP="009A5F63">
      <w:pPr>
        <w:pStyle w:val="Paragrafi"/>
        <w:rPr>
          <w:b/>
          <w:spacing w:val="-4"/>
          <w:szCs w:val="24"/>
          <w:lang w:val="sq-AL"/>
        </w:rPr>
      </w:pPr>
    </w:p>
    <w:p w:rsidR="009A5F63" w:rsidRPr="00C47D9B" w:rsidRDefault="009A5F63" w:rsidP="009A5F63">
      <w:pPr>
        <w:pStyle w:val="Paragrafi"/>
        <w:rPr>
          <w:spacing w:val="-4"/>
          <w:szCs w:val="24"/>
          <w:lang w:val="sq-AL"/>
        </w:rPr>
      </w:pPr>
      <w:r w:rsidRPr="00C47D9B">
        <w:rPr>
          <w:spacing w:val="-4"/>
          <w:szCs w:val="24"/>
          <w:lang w:val="sq-AL"/>
        </w:rPr>
        <w:t>1. Më poshtë jepen treguesit e matjes për cilësinë e furnizimit, të cilët duhet të llogariten nga OST-ja dhe të raportohen në ERE:</w:t>
      </w:r>
    </w:p>
    <w:p w:rsidR="009A5F63" w:rsidRPr="00C47D9B" w:rsidRDefault="009A5F63" w:rsidP="009A5F63">
      <w:pPr>
        <w:pStyle w:val="Paragrafi"/>
        <w:rPr>
          <w:spacing w:val="-4"/>
          <w:szCs w:val="24"/>
          <w:lang w:val="sq-AL"/>
        </w:rPr>
      </w:pPr>
      <w:r w:rsidRPr="00C47D9B">
        <w:rPr>
          <w:spacing w:val="-4"/>
          <w:szCs w:val="24"/>
          <w:lang w:val="sq-AL"/>
        </w:rPr>
        <w:t>a) Koha mesatare e ndërprerjes (AIT);</w:t>
      </w:r>
    </w:p>
    <w:p w:rsidR="009A5F63" w:rsidRPr="00C47D9B" w:rsidRDefault="009A5F63" w:rsidP="009A5F63">
      <w:pPr>
        <w:pStyle w:val="Paragrafi"/>
        <w:rPr>
          <w:spacing w:val="-4"/>
          <w:szCs w:val="24"/>
          <w:lang w:val="sq-AL"/>
        </w:rPr>
      </w:pPr>
      <w:r w:rsidRPr="00C47D9B">
        <w:rPr>
          <w:spacing w:val="-4"/>
          <w:szCs w:val="24"/>
          <w:lang w:val="sq-AL"/>
        </w:rPr>
        <w:t>b) Energji e pafurnizuar (ENS);</w:t>
      </w:r>
    </w:p>
    <w:p w:rsidR="009A5F63" w:rsidRPr="00C47D9B" w:rsidRDefault="009A5F63" w:rsidP="009A5F63">
      <w:pPr>
        <w:pStyle w:val="Paragrafi"/>
        <w:rPr>
          <w:spacing w:val="-4"/>
          <w:szCs w:val="24"/>
          <w:lang w:val="sq-AL"/>
        </w:rPr>
      </w:pPr>
      <w:r w:rsidRPr="00C47D9B">
        <w:rPr>
          <w:spacing w:val="-4"/>
          <w:szCs w:val="24"/>
          <w:lang w:val="sq-AL"/>
        </w:rPr>
        <w:t>c) Cilësia e frekuencës (FQ);</w:t>
      </w:r>
    </w:p>
    <w:p w:rsidR="009A5F63" w:rsidRPr="00C47D9B" w:rsidRDefault="009A5F63" w:rsidP="009A5F63">
      <w:pPr>
        <w:pStyle w:val="Paragrafi"/>
        <w:rPr>
          <w:spacing w:val="-4"/>
          <w:szCs w:val="24"/>
          <w:lang w:val="sq-AL"/>
        </w:rPr>
      </w:pPr>
      <w:r w:rsidRPr="00C47D9B">
        <w:rPr>
          <w:spacing w:val="-4"/>
          <w:szCs w:val="24"/>
          <w:lang w:val="sq-AL"/>
        </w:rPr>
        <w:t>d) Periudha e njoftimit të ndërprerjeve të planifikuara në sistemin e transmetimit;</w:t>
      </w:r>
    </w:p>
    <w:p w:rsidR="009A5F63" w:rsidRPr="00C47D9B" w:rsidRDefault="009A5F63" w:rsidP="009A5F63">
      <w:pPr>
        <w:pStyle w:val="Paragrafi"/>
        <w:rPr>
          <w:spacing w:val="-4"/>
          <w:szCs w:val="24"/>
          <w:lang w:val="sq-AL"/>
        </w:rPr>
      </w:pPr>
      <w:r w:rsidRPr="00C47D9B">
        <w:rPr>
          <w:spacing w:val="-4"/>
          <w:szCs w:val="24"/>
          <w:lang w:val="sq-AL"/>
        </w:rPr>
        <w:t>e) Koha e nevojshme për t’iu përgjigjur kërkesave për lidhje të reja;</w:t>
      </w:r>
    </w:p>
    <w:p w:rsidR="009A5F63" w:rsidRPr="00C47D9B" w:rsidRDefault="009A5F63" w:rsidP="009A5F63">
      <w:pPr>
        <w:pStyle w:val="Paragrafi"/>
        <w:rPr>
          <w:spacing w:val="-4"/>
          <w:szCs w:val="24"/>
          <w:lang w:val="sq-AL"/>
        </w:rPr>
      </w:pPr>
      <w:r w:rsidRPr="00C47D9B">
        <w:rPr>
          <w:spacing w:val="-4"/>
          <w:szCs w:val="24"/>
          <w:lang w:val="sq-AL"/>
        </w:rPr>
        <w:t>f) Indeksi i kohëzgjatjes mesatare të ndërprerjeve (SAIDI);</w:t>
      </w:r>
    </w:p>
    <w:p w:rsidR="009A5F63" w:rsidRPr="00C47D9B" w:rsidRDefault="009A5F63" w:rsidP="009A5F63">
      <w:pPr>
        <w:pStyle w:val="Paragrafi"/>
        <w:rPr>
          <w:spacing w:val="-4"/>
          <w:szCs w:val="24"/>
          <w:lang w:val="sq-AL"/>
        </w:rPr>
      </w:pPr>
      <w:r w:rsidRPr="00C47D9B">
        <w:rPr>
          <w:spacing w:val="-4"/>
          <w:szCs w:val="24"/>
          <w:lang w:val="sq-AL"/>
        </w:rPr>
        <w:t>g) Cilësia e tensionit (VQ);</w:t>
      </w:r>
    </w:p>
    <w:p w:rsidR="009A5F63" w:rsidRPr="00C47D9B" w:rsidRDefault="009A5F63" w:rsidP="009A5F63">
      <w:pPr>
        <w:pStyle w:val="Paragrafi"/>
        <w:rPr>
          <w:spacing w:val="-4"/>
          <w:szCs w:val="24"/>
          <w:lang w:val="sq-AL"/>
        </w:rPr>
      </w:pPr>
      <w:r w:rsidRPr="00C47D9B">
        <w:rPr>
          <w:spacing w:val="-4"/>
          <w:szCs w:val="24"/>
          <w:lang w:val="sq-AL"/>
        </w:rPr>
        <w:t>h) Përqindja e ankesave për cilësinë e tensionit.</w:t>
      </w:r>
    </w:p>
    <w:p w:rsidR="009A5F63" w:rsidRPr="00C47D9B" w:rsidRDefault="009A5F63" w:rsidP="006D7C2D">
      <w:pPr>
        <w:pStyle w:val="NeniNr"/>
        <w:keepNext w:val="0"/>
        <w:jc w:val="both"/>
        <w:rPr>
          <w:spacing w:val="-4"/>
          <w:szCs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t>Neni 6</w:t>
      </w:r>
    </w:p>
    <w:p w:rsidR="009A5F63" w:rsidRPr="00C47D9B" w:rsidRDefault="009A5F63" w:rsidP="009A5F63">
      <w:pPr>
        <w:pStyle w:val="NeniNr"/>
        <w:keepNext w:val="0"/>
        <w:rPr>
          <w:b/>
          <w:spacing w:val="-4"/>
          <w:szCs w:val="24"/>
          <w:lang w:val="sq-AL"/>
        </w:rPr>
      </w:pPr>
      <w:r w:rsidRPr="00C47D9B">
        <w:rPr>
          <w:b/>
          <w:spacing w:val="-4"/>
          <w:szCs w:val="24"/>
          <w:lang w:val="sq-AL"/>
        </w:rPr>
        <w:t xml:space="preserve">Raportimi i treguesve të matjes së cilësisë së furnizimit dhe performancës së sigurisë së rrjetit nga Operatori i Sistemit të Transmetimit </w:t>
      </w:r>
    </w:p>
    <w:p w:rsidR="009A5F63" w:rsidRPr="00C47D9B" w:rsidRDefault="009A5F63" w:rsidP="009A5F63">
      <w:pPr>
        <w:pStyle w:val="Hapesira7"/>
        <w:rPr>
          <w:spacing w:val="-4"/>
          <w:sz w:val="24"/>
          <w:lang w:val="sq-AL"/>
        </w:rPr>
      </w:pPr>
    </w:p>
    <w:p w:rsidR="009A5F63" w:rsidRPr="00C47D9B" w:rsidRDefault="009A5F63" w:rsidP="009A5F63">
      <w:pPr>
        <w:pStyle w:val="Paragrafi"/>
        <w:rPr>
          <w:spacing w:val="-4"/>
          <w:szCs w:val="24"/>
          <w:lang w:val="sq-AL"/>
        </w:rPr>
      </w:pPr>
      <w:r w:rsidRPr="00C47D9B">
        <w:rPr>
          <w:spacing w:val="-4"/>
          <w:szCs w:val="24"/>
          <w:lang w:val="sq-AL"/>
        </w:rPr>
        <w:t xml:space="preserve">1. OST-ja ka përgjegjësinë të grumbullojë të gjitha të dhënat e nevojshme për të llogaritur treguesit e matjes për cilësinë e furnizimit të përcaktuar në nenin 5 të kësaj rregulloreje dhe të mbajë informacionin për rishikim periodik nga ERE. Të dhënat duhet të llogariten mbi baza tremujore dhe në mënyrë progresive </w:t>
      </w:r>
      <w:r w:rsidRPr="00C47D9B">
        <w:rPr>
          <w:spacing w:val="-4"/>
          <w:szCs w:val="24"/>
          <w:lang w:val="sq-AL"/>
        </w:rPr>
        <w:lastRenderedPageBreak/>
        <w:t>përgjatë vitit kalendarik dhe treguesit e matjes së cilësisë së shërbimit duhet t’i raportohen ERE-s, jo më vonë se 30 ditë pas përfundimit të tremujorit. Për shembull, brenda datës 30 janar të çdo viti duhet të raportohen të dhënat vjetore në progresiv për vitin paraardhës</w:t>
      </w:r>
      <w:r w:rsidRPr="00C47D9B" w:rsidDel="001933A7">
        <w:rPr>
          <w:spacing w:val="-4"/>
          <w:szCs w:val="24"/>
          <w:lang w:val="sq-AL"/>
        </w:rPr>
        <w:t xml:space="preserve"> </w:t>
      </w:r>
      <w:r w:rsidRPr="00C47D9B">
        <w:rPr>
          <w:spacing w:val="-4"/>
          <w:szCs w:val="24"/>
          <w:lang w:val="sq-AL"/>
        </w:rPr>
        <w:t xml:space="preserve">(nga muaji janar në dhjetor). </w:t>
      </w:r>
    </w:p>
    <w:p w:rsidR="009A5F63" w:rsidRPr="00C47D9B" w:rsidRDefault="009A5F63" w:rsidP="009A5F63">
      <w:pPr>
        <w:pStyle w:val="Paragrafi"/>
        <w:rPr>
          <w:spacing w:val="-4"/>
          <w:szCs w:val="24"/>
          <w:lang w:val="sq-AL"/>
        </w:rPr>
      </w:pPr>
      <w:r w:rsidRPr="00C47D9B">
        <w:rPr>
          <w:spacing w:val="-4"/>
          <w:szCs w:val="24"/>
          <w:lang w:val="sq-AL"/>
        </w:rPr>
        <w:t xml:space="preserve">2. Në funksion të krijimit të një baze të dhënash për vlerësimin e treguesve të matjes së cilësisë së furnizimit, OST-ja duhet të ofrojë të dhëna për treguesit e matjes së cilësisë së furnizimit dhe performancës së sigurisë së rrjetit të transmetimit sipas nenit 5 të kësaj rregulloreje, për vitet kalendarike 2014 e në vijim, brenda 90 ditësh kalendarike nga hyrja në fuqi e rregullores. Në rast se të dhënat për një ose më shumë tregues të matjes së cilësisë së furnizimit dhe performancës së sigurisë së rrjetit të transmetimit, të përcaktuar në nenin 5 të kësaj rregulloreje, nuk janë të mundura të vihen në dispozicion, OST-ja duhet të informojë ERE-n për këtë fakt. </w:t>
      </w:r>
    </w:p>
    <w:p w:rsidR="009A5F63" w:rsidRPr="00C47D9B" w:rsidRDefault="009A5F63" w:rsidP="009A5F63">
      <w:pPr>
        <w:pStyle w:val="Paragrafi"/>
        <w:rPr>
          <w:spacing w:val="-4"/>
          <w:szCs w:val="24"/>
          <w:lang w:val="sq-AL"/>
        </w:rPr>
      </w:pPr>
      <w:r w:rsidRPr="00C47D9B">
        <w:rPr>
          <w:spacing w:val="-4"/>
          <w:szCs w:val="24"/>
          <w:lang w:val="sq-AL"/>
        </w:rPr>
        <w:t>3. Raportimi tremujor do të kërkohet për çdo tremujor nga hyrja në fuqi e kësaj rregulloreje.</w:t>
      </w:r>
    </w:p>
    <w:p w:rsidR="009A5F63" w:rsidRPr="00C47D9B" w:rsidRDefault="009A5F63" w:rsidP="009A5F63">
      <w:pPr>
        <w:pStyle w:val="Hapesira7"/>
        <w:rPr>
          <w:spacing w:val="-4"/>
          <w:sz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t>Neni 7</w:t>
      </w:r>
    </w:p>
    <w:p w:rsidR="009A5F63" w:rsidRPr="00C47D9B" w:rsidRDefault="009A5F63" w:rsidP="009A5F63">
      <w:pPr>
        <w:pStyle w:val="NeniNr"/>
        <w:keepNext w:val="0"/>
        <w:rPr>
          <w:b/>
          <w:spacing w:val="-4"/>
          <w:szCs w:val="24"/>
          <w:lang w:val="sq-AL"/>
        </w:rPr>
      </w:pPr>
      <w:r w:rsidRPr="00C47D9B">
        <w:rPr>
          <w:b/>
          <w:spacing w:val="-4"/>
          <w:szCs w:val="24"/>
          <w:lang w:val="sq-AL"/>
        </w:rPr>
        <w:t xml:space="preserve">Kriteret standarde të performancës për Operatorin e Sistemit të Transmetimit </w:t>
      </w:r>
    </w:p>
    <w:p w:rsidR="006D7C2D" w:rsidRPr="00C47D9B" w:rsidRDefault="006D7C2D" w:rsidP="006D7C2D">
      <w:pPr>
        <w:pStyle w:val="Paragrafi"/>
        <w:jc w:val="center"/>
        <w:rPr>
          <w:i/>
          <w:spacing w:val="-4"/>
          <w:szCs w:val="24"/>
          <w:lang w:val="sq-AL"/>
        </w:rPr>
      </w:pPr>
      <w:r w:rsidRPr="00C47D9B">
        <w:rPr>
          <w:i/>
          <w:spacing w:val="-4"/>
          <w:szCs w:val="24"/>
          <w:lang w:val="sq-AL"/>
        </w:rPr>
        <w:t xml:space="preserve">(Ndryshuar </w:t>
      </w:r>
      <w:r w:rsidR="00DD4E9A" w:rsidRPr="00C47D9B">
        <w:rPr>
          <w:i/>
          <w:spacing w:val="-4"/>
          <w:szCs w:val="24"/>
          <w:lang w:val="sq-AL"/>
        </w:rPr>
        <w:t xml:space="preserve">afatet në pikat 1, 2 dhe 3 </w:t>
      </w:r>
      <w:r w:rsidRPr="00C47D9B">
        <w:rPr>
          <w:i/>
          <w:spacing w:val="-4"/>
          <w:szCs w:val="24"/>
          <w:lang w:val="sq-AL"/>
        </w:rPr>
        <w:t>me vendimin nr. 270, datë 21.12.2018)</w:t>
      </w:r>
    </w:p>
    <w:p w:rsidR="009A5F63" w:rsidRPr="00C47D9B" w:rsidRDefault="009A5F63" w:rsidP="009A5F63">
      <w:pPr>
        <w:pStyle w:val="Hapesira7"/>
        <w:rPr>
          <w:spacing w:val="-4"/>
          <w:sz w:val="24"/>
          <w:lang w:val="sq-AL"/>
        </w:rPr>
      </w:pPr>
    </w:p>
    <w:p w:rsidR="009A5F63" w:rsidRPr="00C47D9B" w:rsidRDefault="009A5F63" w:rsidP="006D7C2D">
      <w:pPr>
        <w:pStyle w:val="Paragrafi"/>
        <w:rPr>
          <w:spacing w:val="-4"/>
          <w:szCs w:val="24"/>
          <w:lang w:val="sq-AL"/>
        </w:rPr>
      </w:pPr>
      <w:r w:rsidRPr="00C47D9B">
        <w:rPr>
          <w:spacing w:val="-4"/>
          <w:szCs w:val="24"/>
          <w:lang w:val="sq-AL"/>
        </w:rPr>
        <w:t xml:space="preserve">1. Në tabelën 1 të kësaj rregulloreje ndodhen kriteret standarde të performancës për OST-në që kanë lidhje me treguesit e matjes së cilësisë së furnizimit të përcaktuar në nenin 5 të kësaj rregulloreje. Nivelet e pritshme të performancës do të vihen në zbatim brenda datës </w:t>
      </w:r>
      <w:r w:rsidR="006D7C2D" w:rsidRPr="00C47D9B">
        <w:rPr>
          <w:spacing w:val="-4"/>
          <w:szCs w:val="24"/>
          <w:lang w:val="sq-AL"/>
        </w:rPr>
        <w:t>30 qershor 2019</w:t>
      </w:r>
      <w:r w:rsidRPr="00C47D9B">
        <w:rPr>
          <w:spacing w:val="-4"/>
          <w:szCs w:val="24"/>
          <w:lang w:val="sq-AL"/>
        </w:rPr>
        <w:t>, duke u rivlerësuar në funksion të performancës së ushtruar gjatë kësaj periudhe tranzitore dhe gjendjes së sektorit të energjisë elektrike.</w:t>
      </w:r>
    </w:p>
    <w:p w:rsidR="009A5F63" w:rsidRPr="00C47D9B" w:rsidRDefault="009A5F63" w:rsidP="009A5F63">
      <w:pPr>
        <w:pStyle w:val="Paragrafi"/>
        <w:rPr>
          <w:spacing w:val="-4"/>
          <w:szCs w:val="24"/>
          <w:lang w:val="sq-AL"/>
        </w:rPr>
      </w:pPr>
      <w:r w:rsidRPr="00C47D9B">
        <w:rPr>
          <w:spacing w:val="-4"/>
          <w:szCs w:val="24"/>
          <w:lang w:val="sq-AL"/>
        </w:rPr>
        <w:t xml:space="preserve">2. OST-ja nuk do të jetë subjekt i kërkesës për kompensim nga ana e klientëve fundorë të lidhur në rrjetin e transmetimit, lidhur me mospërmbushjen e treguesve të matjes së cilësisë së furnizimit dhe performancës së sigurisë së rrjetit në sistemin e transmetimit, përpara datës </w:t>
      </w:r>
      <w:r w:rsidR="00FB7BCC" w:rsidRPr="00C47D9B">
        <w:rPr>
          <w:spacing w:val="-4"/>
          <w:lang w:val="sq-AL"/>
        </w:rPr>
        <w:t>30 qershor 2019</w:t>
      </w:r>
      <w:r w:rsidRPr="00C47D9B">
        <w:rPr>
          <w:spacing w:val="-4"/>
          <w:szCs w:val="24"/>
          <w:lang w:val="sq-AL"/>
        </w:rPr>
        <w:t xml:space="preserve">. </w:t>
      </w:r>
    </w:p>
    <w:p w:rsidR="009A5F63" w:rsidRPr="00C47D9B" w:rsidRDefault="009A5F63" w:rsidP="009A5F63">
      <w:pPr>
        <w:pStyle w:val="Paragrafi"/>
        <w:rPr>
          <w:spacing w:val="-4"/>
          <w:szCs w:val="24"/>
          <w:lang w:val="sq-AL"/>
        </w:rPr>
      </w:pPr>
      <w:r w:rsidRPr="00C47D9B">
        <w:rPr>
          <w:spacing w:val="-4"/>
          <w:szCs w:val="24"/>
          <w:lang w:val="sq-AL"/>
        </w:rPr>
        <w:t xml:space="preserve">3. OST-ja do të propozojë në ERE nivelin e lejuar të treguesve të matjes të cilësisë së furnizimit dhe performancës së sigurisë së rrjetit në sistemin e transmetimit, jo më vonë se data </w:t>
      </w:r>
      <w:r w:rsidR="00DD4E9A" w:rsidRPr="00C47D9B">
        <w:rPr>
          <w:spacing w:val="-4"/>
          <w:lang w:val="sq-AL"/>
        </w:rPr>
        <w:t>30 qershor 2019</w:t>
      </w:r>
      <w:r w:rsidRPr="00C47D9B">
        <w:rPr>
          <w:spacing w:val="-4"/>
          <w:szCs w:val="24"/>
          <w:lang w:val="sq-AL"/>
        </w:rPr>
        <w:t>.</w:t>
      </w:r>
    </w:p>
    <w:p w:rsidR="009A5F63" w:rsidRPr="00C47D9B" w:rsidRDefault="009A5F63" w:rsidP="009A5F63">
      <w:pPr>
        <w:pStyle w:val="Paragrafi"/>
        <w:rPr>
          <w:spacing w:val="-4"/>
          <w:szCs w:val="24"/>
          <w:lang w:val="sq-AL"/>
        </w:rPr>
      </w:pPr>
      <w:r w:rsidRPr="00C47D9B">
        <w:rPr>
          <w:spacing w:val="-4"/>
          <w:szCs w:val="24"/>
          <w:lang w:val="sq-AL"/>
        </w:rPr>
        <w:t>4. Në vitin 2019, ERE do të rishqyrtojë performancën e ushtruar gjatë viteve 2017–2018, do të rivlerësojë nivelet e pritshme të performancës dhe do të miratojë nivelin e lejuar të kritereve standarde të cilësisë së furnizimit dhe performancës së sigurisë së rrjetit në sistemin e transmetimit.</w:t>
      </w:r>
    </w:p>
    <w:p w:rsidR="009A5F63" w:rsidRPr="00C47D9B" w:rsidRDefault="009A5F63" w:rsidP="009A5F63">
      <w:pPr>
        <w:pStyle w:val="Hapesira7"/>
        <w:rPr>
          <w:spacing w:val="-4"/>
          <w:sz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t>Neni 8</w:t>
      </w:r>
    </w:p>
    <w:p w:rsidR="009A5F63" w:rsidRPr="00C47D9B" w:rsidRDefault="009A5F63" w:rsidP="009A5F63">
      <w:pPr>
        <w:pStyle w:val="NeniNr"/>
        <w:keepNext w:val="0"/>
        <w:rPr>
          <w:b/>
          <w:spacing w:val="-4"/>
          <w:szCs w:val="24"/>
          <w:lang w:val="sq-AL"/>
        </w:rPr>
      </w:pPr>
      <w:r w:rsidRPr="00C47D9B">
        <w:rPr>
          <w:b/>
          <w:spacing w:val="-4"/>
          <w:szCs w:val="24"/>
          <w:lang w:val="sq-AL"/>
        </w:rPr>
        <w:t xml:space="preserve">Monitorimi dhe mbikëqyrja </w:t>
      </w:r>
    </w:p>
    <w:p w:rsidR="009A5F63" w:rsidRPr="00C47D9B" w:rsidRDefault="009A5F63" w:rsidP="009A5F63">
      <w:pPr>
        <w:pStyle w:val="Hapesira7"/>
        <w:rPr>
          <w:spacing w:val="-4"/>
          <w:sz w:val="24"/>
          <w:lang w:val="sq-AL"/>
        </w:rPr>
      </w:pPr>
    </w:p>
    <w:p w:rsidR="009A5F63" w:rsidRPr="00C47D9B" w:rsidRDefault="009A5F63" w:rsidP="009A5F63">
      <w:pPr>
        <w:pStyle w:val="Paragrafi"/>
        <w:rPr>
          <w:spacing w:val="-4"/>
          <w:szCs w:val="24"/>
          <w:lang w:val="sq-AL"/>
        </w:rPr>
      </w:pPr>
      <w:r w:rsidRPr="00C47D9B">
        <w:rPr>
          <w:spacing w:val="-4"/>
          <w:szCs w:val="24"/>
          <w:lang w:val="sq-AL"/>
        </w:rPr>
        <w:t>1. ERE, duke vepruar sipas kompetencave të saj, do të sigurojë monitorimin dhe mbikëqyrjen për zbatimin e mbikëqyrjen e zbatimit të kësaj rregulloreje.</w:t>
      </w:r>
    </w:p>
    <w:p w:rsidR="009A5F63" w:rsidRPr="00C47D9B" w:rsidRDefault="009A5F63" w:rsidP="009A5F63">
      <w:pPr>
        <w:pStyle w:val="Paragrafi"/>
        <w:rPr>
          <w:spacing w:val="-4"/>
          <w:szCs w:val="24"/>
          <w:lang w:val="sq-AL"/>
        </w:rPr>
      </w:pPr>
      <w:r w:rsidRPr="00C47D9B">
        <w:rPr>
          <w:spacing w:val="-4"/>
          <w:szCs w:val="24"/>
          <w:lang w:val="sq-AL"/>
        </w:rPr>
        <w:t>2. Të licencuarit, klientët dhe të gjithë personat përgjegjës, të cilët me anë të veprimeve apo mosveprimeve të tyre, do të cenojnë kriteret standarde të cilësisë së furnizimit dhe performancës së sigurisë së rrjetit, të miratuara në këtë rregullore, do të jenë përgjegjës sipas përcaktimeve të ligjit për sektorin e energjisë elektrike.</w:t>
      </w:r>
    </w:p>
    <w:p w:rsidR="009A5F63" w:rsidRPr="00C47D9B" w:rsidRDefault="009A5F63" w:rsidP="009A5F63">
      <w:pPr>
        <w:pStyle w:val="Hapesira7"/>
        <w:rPr>
          <w:spacing w:val="-4"/>
          <w:sz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t>Neni 9</w:t>
      </w:r>
    </w:p>
    <w:p w:rsidR="009A5F63" w:rsidRPr="00C47D9B" w:rsidRDefault="009A5F63" w:rsidP="009A5F63">
      <w:pPr>
        <w:pStyle w:val="NeniNr"/>
        <w:keepNext w:val="0"/>
        <w:rPr>
          <w:b/>
          <w:spacing w:val="-4"/>
          <w:szCs w:val="24"/>
          <w:lang w:val="sq-AL"/>
        </w:rPr>
      </w:pPr>
      <w:r w:rsidRPr="00C47D9B">
        <w:rPr>
          <w:b/>
          <w:spacing w:val="-4"/>
          <w:szCs w:val="24"/>
          <w:lang w:val="sq-AL"/>
        </w:rPr>
        <w:t>Kompensimi i klientëve fundorë</w:t>
      </w:r>
    </w:p>
    <w:p w:rsidR="00DD4E9A" w:rsidRPr="00C47D9B" w:rsidRDefault="00DD4E9A" w:rsidP="00DD4E9A">
      <w:pPr>
        <w:pStyle w:val="Paragrafi"/>
        <w:jc w:val="center"/>
        <w:rPr>
          <w:i/>
          <w:spacing w:val="-4"/>
          <w:szCs w:val="24"/>
          <w:lang w:val="sq-AL"/>
        </w:rPr>
      </w:pPr>
      <w:r w:rsidRPr="00C47D9B">
        <w:rPr>
          <w:i/>
          <w:spacing w:val="-4"/>
          <w:szCs w:val="24"/>
          <w:lang w:val="sq-AL"/>
        </w:rPr>
        <w:t>(Ndryshuar afati në pikën 1 me vendimin nr. 270, datë 21.12.2018)</w:t>
      </w:r>
    </w:p>
    <w:p w:rsidR="009A5F63" w:rsidRPr="00C47D9B" w:rsidRDefault="009A5F63" w:rsidP="00DD4E9A">
      <w:pPr>
        <w:pStyle w:val="Hapesira7"/>
        <w:ind w:firstLine="0"/>
        <w:rPr>
          <w:spacing w:val="-4"/>
          <w:sz w:val="24"/>
          <w:lang w:val="sq-AL"/>
        </w:rPr>
      </w:pPr>
    </w:p>
    <w:p w:rsidR="009A5F63" w:rsidRPr="00C47D9B" w:rsidRDefault="009A5F63" w:rsidP="009A5F63">
      <w:pPr>
        <w:pStyle w:val="Paragrafi"/>
        <w:rPr>
          <w:spacing w:val="-4"/>
          <w:szCs w:val="24"/>
          <w:lang w:val="sq-AL"/>
        </w:rPr>
      </w:pPr>
      <w:r w:rsidRPr="00C47D9B">
        <w:rPr>
          <w:spacing w:val="-4"/>
          <w:szCs w:val="24"/>
          <w:lang w:val="sq-AL"/>
        </w:rPr>
        <w:t xml:space="preserve">1. Duke filluar nga data </w:t>
      </w:r>
      <w:r w:rsidR="00DD4E9A" w:rsidRPr="00C47D9B">
        <w:rPr>
          <w:spacing w:val="-4"/>
          <w:lang w:val="sq-AL"/>
        </w:rPr>
        <w:t>1 korrik 2019</w:t>
      </w:r>
      <w:r w:rsidRPr="00C47D9B">
        <w:rPr>
          <w:spacing w:val="-4"/>
          <w:szCs w:val="24"/>
          <w:lang w:val="sq-AL"/>
        </w:rPr>
        <w:t>, kompensimi i klientëve fundorë të lidhur në rrjetin e transmetimit, në rast të mosrespektimit të kritereve standarde të cilësisë së furnizimit dhe performancës së sigurisë së rrjetit, në sistemin e transmetimit të energjisë elektrike, sipas përcaktimeve të kësaj rregulloreje, do të bëhet bazuar në përcaktimet e Kodit të Rrjetit të Transmetimit dhe Marrëveshjes së Shërbimit të Transmetimit.</w:t>
      </w:r>
    </w:p>
    <w:p w:rsidR="009A5F63" w:rsidRPr="00C47D9B" w:rsidRDefault="009A5F63" w:rsidP="009A5F63">
      <w:pPr>
        <w:pStyle w:val="Paragrafi"/>
        <w:rPr>
          <w:spacing w:val="-4"/>
          <w:szCs w:val="24"/>
          <w:lang w:val="sq-AL"/>
        </w:rPr>
      </w:pPr>
      <w:r w:rsidRPr="00C47D9B">
        <w:rPr>
          <w:spacing w:val="-4"/>
          <w:szCs w:val="24"/>
          <w:lang w:val="sq-AL"/>
        </w:rPr>
        <w:lastRenderedPageBreak/>
        <w:t>2. Operatori i Sistemit të Transmetimit përjashtohet nga detyrimi për kompensim të klientëve fundorë, në rastet e rënies së sistemit për shkaqe të cilat nuk vijnë nga OST-ja, siç mund të jenë incidentet e mëdha, të përcaktuara sipas shkallës së klasifikimit të incidentit, në përputhje me udhëzuesin e operimit të ENTSO-E.</w:t>
      </w:r>
    </w:p>
    <w:p w:rsidR="009A5F63" w:rsidRPr="00C47D9B" w:rsidRDefault="009A5F63" w:rsidP="006D7C2D">
      <w:pPr>
        <w:pStyle w:val="NeniNr"/>
        <w:keepNext w:val="0"/>
        <w:jc w:val="both"/>
        <w:rPr>
          <w:spacing w:val="-4"/>
          <w:szCs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t>Neni 10</w:t>
      </w:r>
    </w:p>
    <w:p w:rsidR="009A5F63" w:rsidRPr="00C47D9B" w:rsidRDefault="009A5F63" w:rsidP="009A5F63">
      <w:pPr>
        <w:pStyle w:val="NeniNr"/>
        <w:keepNext w:val="0"/>
        <w:rPr>
          <w:b/>
          <w:spacing w:val="-4"/>
          <w:szCs w:val="24"/>
          <w:lang w:val="sq-AL"/>
        </w:rPr>
      </w:pPr>
      <w:r w:rsidRPr="00C47D9B">
        <w:rPr>
          <w:b/>
          <w:spacing w:val="-4"/>
          <w:szCs w:val="24"/>
          <w:lang w:val="sq-AL"/>
        </w:rPr>
        <w:t>Mopërmbushja e detyrimeve</w:t>
      </w:r>
    </w:p>
    <w:p w:rsidR="009A5F63" w:rsidRPr="00C47D9B" w:rsidRDefault="009A5F63" w:rsidP="009A5F63">
      <w:pPr>
        <w:pStyle w:val="Hapesira7"/>
        <w:rPr>
          <w:spacing w:val="-4"/>
          <w:sz w:val="24"/>
          <w:lang w:val="sq-AL"/>
        </w:rPr>
      </w:pPr>
    </w:p>
    <w:p w:rsidR="009A5F63" w:rsidRPr="00C47D9B" w:rsidRDefault="009A5F63" w:rsidP="009A5F63">
      <w:pPr>
        <w:pStyle w:val="Paragrafi"/>
        <w:rPr>
          <w:spacing w:val="-4"/>
          <w:szCs w:val="24"/>
          <w:lang w:val="sq-AL"/>
        </w:rPr>
      </w:pPr>
      <w:r w:rsidRPr="00C47D9B">
        <w:rPr>
          <w:spacing w:val="-4"/>
          <w:szCs w:val="24"/>
          <w:lang w:val="sq-AL"/>
        </w:rPr>
        <w:t xml:space="preserve">1. Kur një palë është e paaftë për të përmbushur detyrimet sipas këtyre rregullave dhe parametrave, për shkak të një ngjarjeje të shkaktuar nga forca madhore, duhet të njoftojë ERE-n dhe të gjitha palët e ndikuara, ku detajon arsyet për paaftësinë e përmbushjes së detyrimeve dhe kohëzgjatjen e pritshme. </w:t>
      </w:r>
    </w:p>
    <w:p w:rsidR="009A5F63" w:rsidRPr="00C47D9B" w:rsidRDefault="009A5F63" w:rsidP="009A5F63">
      <w:pPr>
        <w:pStyle w:val="Paragrafi"/>
        <w:rPr>
          <w:spacing w:val="-4"/>
          <w:szCs w:val="24"/>
          <w:lang w:val="sq-AL"/>
        </w:rPr>
      </w:pPr>
      <w:r w:rsidRPr="00C47D9B">
        <w:rPr>
          <w:spacing w:val="-4"/>
          <w:szCs w:val="24"/>
          <w:lang w:val="sq-AL"/>
        </w:rPr>
        <w:t xml:space="preserve">2. Gjatë periudhës së forcës madhore detyrimet e palëve do të pezullohen. </w:t>
      </w:r>
    </w:p>
    <w:p w:rsidR="009A5F63" w:rsidRPr="00C47D9B" w:rsidRDefault="009A5F63" w:rsidP="009A5F63">
      <w:pPr>
        <w:pStyle w:val="Paragrafi"/>
        <w:rPr>
          <w:spacing w:val="-4"/>
          <w:szCs w:val="24"/>
          <w:lang w:val="sq-AL"/>
        </w:rPr>
      </w:pPr>
      <w:r w:rsidRPr="00C47D9B">
        <w:rPr>
          <w:spacing w:val="-4"/>
          <w:szCs w:val="24"/>
          <w:lang w:val="sq-AL"/>
        </w:rPr>
        <w:t xml:space="preserve">3. Nëse ndonjë palë vlerëson se deklarimi i forcës madhore është i paarsyeshëm, mund ta referojë çështjen në ERE për rishikim dhe vendimi i ERE-s do të jetë final. </w:t>
      </w:r>
    </w:p>
    <w:p w:rsidR="009A5F63" w:rsidRPr="00C47D9B" w:rsidRDefault="009A5F63" w:rsidP="009A5F63">
      <w:pPr>
        <w:pStyle w:val="Paragrafi"/>
        <w:rPr>
          <w:spacing w:val="-4"/>
          <w:szCs w:val="24"/>
          <w:lang w:val="sq-AL"/>
        </w:rPr>
      </w:pPr>
      <w:r w:rsidRPr="00C47D9B">
        <w:rPr>
          <w:spacing w:val="-4"/>
          <w:szCs w:val="24"/>
          <w:lang w:val="sq-AL"/>
        </w:rPr>
        <w:t>4. Në rast se ERE përcakton se arsyet për mospërmbushje të detyrimeve të përcaktuara në këtë rregullore, nuk ishin për shkak të forcës madhore, atëherë detyrimet e palës pretenduese nuk do të konsiderohen si të pezulluara.</w:t>
      </w:r>
    </w:p>
    <w:p w:rsidR="009A5F63" w:rsidRPr="00C47D9B" w:rsidRDefault="009A5F63" w:rsidP="009A5F63">
      <w:pPr>
        <w:pStyle w:val="Paragrafi"/>
        <w:rPr>
          <w:b/>
          <w:spacing w:val="-4"/>
          <w:szCs w:val="24"/>
          <w:lang w:val="sq-AL"/>
        </w:rPr>
      </w:pPr>
    </w:p>
    <w:p w:rsidR="009A5F63" w:rsidRPr="00C47D9B" w:rsidRDefault="009A5F63" w:rsidP="009A5F63">
      <w:pPr>
        <w:pStyle w:val="Paragrafi"/>
        <w:ind w:firstLine="0"/>
        <w:jc w:val="center"/>
        <w:rPr>
          <w:spacing w:val="-4"/>
          <w:szCs w:val="24"/>
          <w:lang w:val="sq-AL"/>
        </w:rPr>
      </w:pPr>
      <w:r w:rsidRPr="00C47D9B">
        <w:rPr>
          <w:spacing w:val="-4"/>
          <w:szCs w:val="24"/>
          <w:lang w:val="sq-AL"/>
        </w:rPr>
        <w:t>PJESA III</w:t>
      </w:r>
    </w:p>
    <w:p w:rsidR="009A5F63" w:rsidRPr="00C47D9B" w:rsidRDefault="009A5F63" w:rsidP="009A5F63">
      <w:pPr>
        <w:pStyle w:val="Paragrafi"/>
        <w:ind w:firstLine="0"/>
        <w:jc w:val="center"/>
        <w:rPr>
          <w:spacing w:val="-4"/>
          <w:szCs w:val="24"/>
          <w:lang w:val="sq-AL"/>
        </w:rPr>
      </w:pPr>
      <w:r w:rsidRPr="00C47D9B">
        <w:rPr>
          <w:spacing w:val="-4"/>
          <w:szCs w:val="24"/>
          <w:lang w:val="sq-AL"/>
        </w:rPr>
        <w:t>DISPOZITA PËRFUNDIMTARE</w:t>
      </w:r>
    </w:p>
    <w:p w:rsidR="009A5F63" w:rsidRPr="00C47D9B" w:rsidRDefault="009A5F63" w:rsidP="009A5F63">
      <w:pPr>
        <w:pStyle w:val="Paragrafi"/>
        <w:jc w:val="center"/>
        <w:rPr>
          <w:b/>
          <w:spacing w:val="-4"/>
          <w:szCs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t>Neni 11</w:t>
      </w:r>
    </w:p>
    <w:p w:rsidR="009A5F63" w:rsidRPr="00C47D9B" w:rsidRDefault="009A5F63" w:rsidP="009A5F63">
      <w:pPr>
        <w:pStyle w:val="NeniNr"/>
        <w:keepNext w:val="0"/>
        <w:rPr>
          <w:b/>
          <w:spacing w:val="-4"/>
          <w:szCs w:val="24"/>
          <w:lang w:val="sq-AL"/>
        </w:rPr>
      </w:pPr>
      <w:r w:rsidRPr="00C47D9B">
        <w:rPr>
          <w:b/>
          <w:spacing w:val="-4"/>
          <w:szCs w:val="24"/>
          <w:lang w:val="sq-AL"/>
        </w:rPr>
        <w:t>Zgjidhja e mosmarrëveshjeve</w:t>
      </w:r>
    </w:p>
    <w:p w:rsidR="009A5F63" w:rsidRPr="00C47D9B" w:rsidRDefault="009A5F63" w:rsidP="009A5F63">
      <w:pPr>
        <w:pStyle w:val="Paragrafi"/>
        <w:rPr>
          <w:b/>
          <w:spacing w:val="-4"/>
          <w:szCs w:val="24"/>
          <w:lang w:val="sq-AL"/>
        </w:rPr>
      </w:pPr>
    </w:p>
    <w:p w:rsidR="009A5F63" w:rsidRPr="00C47D9B" w:rsidRDefault="009A5F63" w:rsidP="009A5F63">
      <w:pPr>
        <w:pStyle w:val="Paragrafi"/>
        <w:rPr>
          <w:spacing w:val="-4"/>
          <w:szCs w:val="24"/>
          <w:lang w:val="sq-AL"/>
        </w:rPr>
      </w:pPr>
      <w:r w:rsidRPr="00C47D9B">
        <w:rPr>
          <w:spacing w:val="-4"/>
          <w:szCs w:val="24"/>
          <w:lang w:val="sq-AL"/>
        </w:rPr>
        <w:t>Mosmarrëveshjet që do të lindin si rezultat i moszbatimit të këtyre rregullave dhe parametrave, do të trajtohen nga ERE në përputhje me “Rregulloren për trajtimin e ankesave të paraqitura nga klientët dhe për zgjidhjen e mosmarrëveshjeve midis të licencuarve, në sektorin e energjisë elektrike dhe të gazit natyror”.</w:t>
      </w:r>
    </w:p>
    <w:p w:rsidR="009A5F63" w:rsidRPr="00C47D9B" w:rsidRDefault="009A5F63" w:rsidP="009A5F63">
      <w:pPr>
        <w:pStyle w:val="Hapesira7"/>
        <w:rPr>
          <w:spacing w:val="-4"/>
          <w:sz w:val="24"/>
          <w:lang w:val="sq-AL"/>
        </w:rPr>
      </w:pPr>
    </w:p>
    <w:p w:rsidR="009A5F63" w:rsidRPr="00C47D9B" w:rsidRDefault="009A5F63" w:rsidP="009A5F63">
      <w:pPr>
        <w:pStyle w:val="NeniNr"/>
        <w:keepNext w:val="0"/>
        <w:rPr>
          <w:spacing w:val="-4"/>
          <w:szCs w:val="24"/>
          <w:lang w:val="sq-AL"/>
        </w:rPr>
      </w:pPr>
      <w:r w:rsidRPr="00C47D9B">
        <w:rPr>
          <w:spacing w:val="-4"/>
          <w:szCs w:val="24"/>
          <w:lang w:val="sq-AL"/>
        </w:rPr>
        <w:t>Neni 12</w:t>
      </w:r>
    </w:p>
    <w:p w:rsidR="009A5F63" w:rsidRPr="00C47D9B" w:rsidRDefault="009A5F63" w:rsidP="009A5F63">
      <w:pPr>
        <w:pStyle w:val="NeniNr"/>
        <w:keepNext w:val="0"/>
        <w:rPr>
          <w:b/>
          <w:spacing w:val="-4"/>
          <w:szCs w:val="24"/>
          <w:lang w:val="sq-AL"/>
        </w:rPr>
      </w:pPr>
      <w:r w:rsidRPr="00C47D9B">
        <w:rPr>
          <w:b/>
          <w:spacing w:val="-4"/>
          <w:szCs w:val="24"/>
          <w:lang w:val="sq-AL"/>
        </w:rPr>
        <w:t>Rishikimi dhe ndryshimi i rregullave</w:t>
      </w:r>
    </w:p>
    <w:p w:rsidR="009A5F63" w:rsidRPr="00C47D9B" w:rsidRDefault="009A5F63" w:rsidP="009A5F63">
      <w:pPr>
        <w:pStyle w:val="NeniNr"/>
        <w:keepNext w:val="0"/>
        <w:rPr>
          <w:spacing w:val="-4"/>
          <w:szCs w:val="24"/>
          <w:lang w:val="sq-AL"/>
        </w:rPr>
      </w:pPr>
    </w:p>
    <w:p w:rsidR="009A5F63" w:rsidRPr="00C47D9B" w:rsidRDefault="009A5F63" w:rsidP="009A5F63">
      <w:pPr>
        <w:pStyle w:val="Paragrafi"/>
        <w:rPr>
          <w:spacing w:val="-4"/>
          <w:szCs w:val="24"/>
          <w:lang w:val="sq-AL"/>
        </w:rPr>
      </w:pPr>
      <w:r w:rsidRPr="00C47D9B">
        <w:rPr>
          <w:spacing w:val="-4"/>
          <w:szCs w:val="24"/>
          <w:lang w:val="sq-AL"/>
        </w:rPr>
        <w:t>Kjo rregullore është objekt rishikimi ose ndryshimi me vendim të bordit të ERE-s.</w:t>
      </w:r>
    </w:p>
    <w:p w:rsidR="009A5F63" w:rsidRPr="00C47D9B" w:rsidRDefault="009A5F63" w:rsidP="009A5F63">
      <w:pPr>
        <w:pStyle w:val="Paragrafi"/>
        <w:rPr>
          <w:spacing w:val="-4"/>
          <w:szCs w:val="24"/>
          <w:lang w:val="sq-AL"/>
        </w:rPr>
      </w:pPr>
    </w:p>
    <w:p w:rsidR="009A5F63" w:rsidRPr="00C47D9B" w:rsidRDefault="009A5F63" w:rsidP="009A5F63">
      <w:pPr>
        <w:pStyle w:val="NeniNr"/>
        <w:keepNext w:val="0"/>
        <w:rPr>
          <w:b/>
          <w:spacing w:val="-4"/>
          <w:szCs w:val="24"/>
          <w:lang w:val="sq-AL"/>
        </w:rPr>
      </w:pPr>
      <w:r w:rsidRPr="00C47D9B">
        <w:rPr>
          <w:b/>
          <w:spacing w:val="-4"/>
          <w:szCs w:val="24"/>
          <w:lang w:val="sq-AL"/>
        </w:rPr>
        <w:t>Neni 13</w:t>
      </w:r>
    </w:p>
    <w:p w:rsidR="009A5F63" w:rsidRPr="00C47D9B" w:rsidRDefault="009A5F63" w:rsidP="009A5F63">
      <w:pPr>
        <w:pStyle w:val="NeniNr"/>
        <w:keepNext w:val="0"/>
        <w:rPr>
          <w:b/>
          <w:spacing w:val="-4"/>
          <w:szCs w:val="24"/>
          <w:lang w:val="sq-AL"/>
        </w:rPr>
      </w:pPr>
      <w:r w:rsidRPr="00C47D9B">
        <w:rPr>
          <w:b/>
          <w:spacing w:val="-4"/>
          <w:szCs w:val="24"/>
          <w:lang w:val="sq-AL"/>
        </w:rPr>
        <w:t>Hyrja në fuqi</w:t>
      </w:r>
    </w:p>
    <w:p w:rsidR="009A5F63" w:rsidRPr="00C47D9B" w:rsidRDefault="009A5F63" w:rsidP="009A5F63">
      <w:pPr>
        <w:pStyle w:val="Paragrafi"/>
        <w:ind w:firstLine="0"/>
        <w:rPr>
          <w:rFonts w:eastAsia="Calibri"/>
          <w:spacing w:val="-4"/>
          <w:szCs w:val="24"/>
          <w:lang w:val="sq-AL"/>
        </w:rPr>
      </w:pPr>
    </w:p>
    <w:p w:rsidR="009A5F63" w:rsidRPr="00C47D9B" w:rsidRDefault="009A5F63" w:rsidP="009A5F63">
      <w:pPr>
        <w:pStyle w:val="Paragrafi"/>
        <w:ind w:firstLine="288"/>
        <w:rPr>
          <w:spacing w:val="-4"/>
          <w:szCs w:val="24"/>
          <w:lang w:val="sq-AL"/>
        </w:rPr>
      </w:pPr>
      <w:r w:rsidRPr="00C47D9B">
        <w:rPr>
          <w:spacing w:val="-4"/>
          <w:szCs w:val="24"/>
          <w:lang w:val="sq-AL"/>
        </w:rPr>
        <w:t>Kjo rregullore hyn në fuqi menjëherë pas botimit në Fletoren Zyrtare.</w:t>
      </w:r>
    </w:p>
    <w:p w:rsidR="009A5F63" w:rsidRPr="00C47D9B" w:rsidRDefault="009A5F63" w:rsidP="009A5F63">
      <w:pPr>
        <w:pStyle w:val="Paragrafi"/>
        <w:rPr>
          <w:b/>
          <w:spacing w:val="-4"/>
          <w:szCs w:val="24"/>
          <w:lang w:val="sq-AL"/>
        </w:rPr>
      </w:pPr>
    </w:p>
    <w:p w:rsidR="009A5F63" w:rsidRPr="00C47D9B" w:rsidRDefault="009A5F63" w:rsidP="009A5F63">
      <w:pPr>
        <w:pStyle w:val="Paragrafi"/>
        <w:jc w:val="center"/>
        <w:rPr>
          <w:spacing w:val="-4"/>
          <w:szCs w:val="24"/>
          <w:lang w:val="sq-AL"/>
        </w:rPr>
      </w:pPr>
    </w:p>
    <w:p w:rsidR="009A5F63" w:rsidRPr="00C47D9B" w:rsidRDefault="009A5F63" w:rsidP="009A5F63">
      <w:pPr>
        <w:pStyle w:val="Paragrafi"/>
        <w:jc w:val="center"/>
        <w:rPr>
          <w:spacing w:val="-4"/>
          <w:szCs w:val="24"/>
          <w:lang w:val="sq-AL"/>
        </w:rPr>
      </w:pPr>
    </w:p>
    <w:p w:rsidR="009A5F63" w:rsidRPr="00C47D9B" w:rsidRDefault="009A5F63" w:rsidP="009A5F63">
      <w:pPr>
        <w:pStyle w:val="Paragrafi"/>
        <w:jc w:val="center"/>
        <w:rPr>
          <w:spacing w:val="-4"/>
          <w:szCs w:val="24"/>
          <w:lang w:val="sq-AL"/>
        </w:rPr>
      </w:pPr>
    </w:p>
    <w:p w:rsidR="009A5F63" w:rsidRPr="00C47D9B" w:rsidRDefault="009A5F63" w:rsidP="009A5F63">
      <w:pPr>
        <w:pStyle w:val="Paragrafi"/>
        <w:jc w:val="center"/>
        <w:rPr>
          <w:spacing w:val="-4"/>
          <w:szCs w:val="24"/>
          <w:lang w:val="sq-AL"/>
        </w:rPr>
      </w:pPr>
    </w:p>
    <w:p w:rsidR="009A5F63" w:rsidRPr="00C47D9B" w:rsidRDefault="009A5F63" w:rsidP="009A5F63">
      <w:pPr>
        <w:pStyle w:val="Paragrafi"/>
        <w:jc w:val="center"/>
        <w:rPr>
          <w:spacing w:val="-4"/>
          <w:szCs w:val="24"/>
          <w:lang w:val="sq-AL"/>
        </w:rPr>
      </w:pPr>
    </w:p>
    <w:p w:rsidR="009A5F63" w:rsidRPr="00C47D9B" w:rsidRDefault="009A5F63" w:rsidP="009A5F63">
      <w:pPr>
        <w:pStyle w:val="Paragrafi"/>
        <w:jc w:val="center"/>
        <w:rPr>
          <w:spacing w:val="-4"/>
          <w:szCs w:val="24"/>
          <w:lang w:val="sq-AL"/>
        </w:rPr>
      </w:pPr>
    </w:p>
    <w:p w:rsidR="009A5F63" w:rsidRPr="00C47D9B" w:rsidRDefault="009A5F63" w:rsidP="009A5F63">
      <w:pPr>
        <w:pStyle w:val="Paragrafi"/>
        <w:jc w:val="center"/>
        <w:rPr>
          <w:spacing w:val="-4"/>
          <w:szCs w:val="24"/>
          <w:lang w:val="sq-AL"/>
        </w:rPr>
      </w:pPr>
    </w:p>
    <w:p w:rsidR="009A5F63" w:rsidRPr="00C47D9B" w:rsidRDefault="009A5F63" w:rsidP="009A5F63">
      <w:pPr>
        <w:pStyle w:val="Paragrafi"/>
        <w:jc w:val="center"/>
        <w:rPr>
          <w:spacing w:val="-4"/>
          <w:szCs w:val="24"/>
          <w:lang w:val="sq-AL"/>
        </w:rPr>
      </w:pPr>
      <w:r w:rsidRPr="00C47D9B">
        <w:rPr>
          <w:spacing w:val="-4"/>
          <w:szCs w:val="24"/>
          <w:lang w:val="sq-AL"/>
        </w:rPr>
        <w:t>TABELA 1</w:t>
      </w:r>
    </w:p>
    <w:p w:rsidR="009A5F63" w:rsidRPr="00C47D9B" w:rsidRDefault="009A5F63" w:rsidP="009A5F63">
      <w:pPr>
        <w:pStyle w:val="Paragrafi"/>
        <w:jc w:val="center"/>
        <w:rPr>
          <w:spacing w:val="-4"/>
          <w:szCs w:val="24"/>
          <w:lang w:val="sq-AL"/>
        </w:rPr>
      </w:pPr>
      <w:r w:rsidRPr="00C47D9B">
        <w:rPr>
          <w:spacing w:val="-4"/>
          <w:szCs w:val="24"/>
          <w:lang w:val="sq-AL"/>
        </w:rPr>
        <w:t xml:space="preserve">TREGUESIT E KRITEREVE STANDARDE </w:t>
      </w:r>
    </w:p>
    <w:p w:rsidR="009A5F63" w:rsidRPr="00C47D9B" w:rsidRDefault="009A5F63" w:rsidP="009A5F63">
      <w:pPr>
        <w:pStyle w:val="Paragrafi"/>
        <w:jc w:val="center"/>
        <w:rPr>
          <w:spacing w:val="-4"/>
          <w:szCs w:val="24"/>
          <w:lang w:val="sq-AL"/>
        </w:rPr>
      </w:pPr>
      <w:r w:rsidRPr="00C47D9B">
        <w:rPr>
          <w:spacing w:val="-4"/>
          <w:szCs w:val="24"/>
          <w:lang w:val="sq-AL"/>
        </w:rPr>
        <w:lastRenderedPageBreak/>
        <w:t xml:space="preserve">TË PERFORMANCËS PËR </w:t>
      </w:r>
    </w:p>
    <w:p w:rsidR="009A5F63" w:rsidRPr="00C47D9B" w:rsidRDefault="009A5F63" w:rsidP="009A5F63">
      <w:pPr>
        <w:pStyle w:val="Paragrafi"/>
        <w:jc w:val="center"/>
        <w:rPr>
          <w:spacing w:val="-4"/>
          <w:szCs w:val="24"/>
          <w:lang w:val="sq-AL"/>
        </w:rPr>
      </w:pPr>
      <w:r w:rsidRPr="00C47D9B">
        <w:rPr>
          <w:spacing w:val="-4"/>
          <w:szCs w:val="24"/>
          <w:lang w:val="sq-AL"/>
        </w:rPr>
        <w:t>OPERATORIN E SISTEMIT TË TRANSMETIMIT</w:t>
      </w:r>
    </w:p>
    <w:p w:rsidR="009A5F63" w:rsidRPr="00C47D9B" w:rsidRDefault="009A5F63" w:rsidP="009A5F63">
      <w:pPr>
        <w:pStyle w:val="Paragrafi"/>
        <w:rPr>
          <w:b/>
          <w:spacing w:val="-4"/>
          <w:szCs w:val="24"/>
          <w:u w:val="single"/>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3"/>
        <w:gridCol w:w="3647"/>
      </w:tblGrid>
      <w:tr w:rsidR="00C47D9B" w:rsidRPr="00C47D9B" w:rsidTr="00274E16">
        <w:trPr>
          <w:cantSplit/>
          <w:trHeight w:val="206"/>
        </w:trPr>
        <w:tc>
          <w:tcPr>
            <w:tcW w:w="3050" w:type="pct"/>
            <w:vAlign w:val="center"/>
          </w:tcPr>
          <w:p w:rsidR="009A5F63" w:rsidRPr="00C47D9B" w:rsidRDefault="009A5F63" w:rsidP="00274E16">
            <w:pPr>
              <w:pStyle w:val="ListParagraph1"/>
              <w:widowControl w:val="0"/>
              <w:tabs>
                <w:tab w:val="left" w:pos="426"/>
              </w:tabs>
              <w:spacing w:after="0" w:line="240" w:lineRule="auto"/>
              <w:ind w:left="0"/>
              <w:contextualSpacing w:val="0"/>
              <w:jc w:val="center"/>
              <w:rPr>
                <w:rFonts w:ascii="Garamond" w:hAnsi="Garamond"/>
                <w:b/>
                <w:spacing w:val="-4"/>
                <w:sz w:val="24"/>
                <w:szCs w:val="24"/>
                <w:lang w:val="sq-AL"/>
              </w:rPr>
            </w:pPr>
            <w:r w:rsidRPr="00C47D9B">
              <w:rPr>
                <w:rFonts w:ascii="Garamond" w:hAnsi="Garamond"/>
                <w:b/>
                <w:spacing w:val="-4"/>
                <w:sz w:val="24"/>
                <w:szCs w:val="24"/>
                <w:lang w:val="sq-AL"/>
              </w:rPr>
              <w:t>Treguesi</w:t>
            </w:r>
          </w:p>
        </w:tc>
        <w:tc>
          <w:tcPr>
            <w:tcW w:w="1950" w:type="pct"/>
            <w:vAlign w:val="center"/>
          </w:tcPr>
          <w:p w:rsidR="009A5F63" w:rsidRPr="00C47D9B" w:rsidRDefault="009A5F63" w:rsidP="00274E16">
            <w:pPr>
              <w:pStyle w:val="ListParagraph1"/>
              <w:widowControl w:val="0"/>
              <w:tabs>
                <w:tab w:val="left" w:pos="426"/>
              </w:tabs>
              <w:spacing w:after="0" w:line="240" w:lineRule="auto"/>
              <w:ind w:left="0"/>
              <w:contextualSpacing w:val="0"/>
              <w:jc w:val="center"/>
              <w:rPr>
                <w:rFonts w:ascii="Garamond" w:hAnsi="Garamond"/>
                <w:b/>
                <w:spacing w:val="-4"/>
                <w:sz w:val="24"/>
                <w:szCs w:val="24"/>
                <w:lang w:val="sq-AL"/>
              </w:rPr>
            </w:pPr>
            <w:r w:rsidRPr="00C47D9B">
              <w:rPr>
                <w:rFonts w:ascii="Garamond" w:hAnsi="Garamond"/>
                <w:b/>
                <w:spacing w:val="-4"/>
                <w:sz w:val="24"/>
                <w:szCs w:val="24"/>
                <w:lang w:val="sq-AL"/>
              </w:rPr>
              <w:t>Niveli i pritshëm i performancës</w:t>
            </w:r>
          </w:p>
        </w:tc>
      </w:tr>
      <w:tr w:rsidR="00C47D9B" w:rsidRPr="00C47D9B" w:rsidTr="00274E16">
        <w:trPr>
          <w:trHeight w:val="224"/>
        </w:trPr>
        <w:tc>
          <w:tcPr>
            <w:tcW w:w="30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r w:rsidRPr="00C47D9B">
              <w:rPr>
                <w:rFonts w:ascii="Garamond" w:hAnsi="Garamond"/>
                <w:spacing w:val="-4"/>
                <w:sz w:val="24"/>
                <w:szCs w:val="24"/>
                <w:lang w:val="sq-AL"/>
              </w:rPr>
              <w:t>a) Koha mesatare e ndërprerjes (AIT)</w:t>
            </w:r>
          </w:p>
        </w:tc>
        <w:tc>
          <w:tcPr>
            <w:tcW w:w="19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p>
        </w:tc>
      </w:tr>
      <w:tr w:rsidR="00C47D9B" w:rsidRPr="00C47D9B" w:rsidTr="00274E16">
        <w:trPr>
          <w:trHeight w:val="161"/>
        </w:trPr>
        <w:tc>
          <w:tcPr>
            <w:tcW w:w="30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r w:rsidRPr="00C47D9B">
              <w:rPr>
                <w:rFonts w:ascii="Garamond" w:hAnsi="Garamond"/>
                <w:spacing w:val="-4"/>
                <w:sz w:val="24"/>
                <w:szCs w:val="24"/>
                <w:lang w:val="sq-AL"/>
              </w:rPr>
              <w:t xml:space="preserve">b) Energjia e </w:t>
            </w:r>
            <w:proofErr w:type="spellStart"/>
            <w:r w:rsidRPr="00C47D9B">
              <w:rPr>
                <w:rFonts w:ascii="Garamond" w:hAnsi="Garamond"/>
                <w:spacing w:val="-4"/>
                <w:sz w:val="24"/>
                <w:szCs w:val="24"/>
                <w:lang w:val="sq-AL"/>
              </w:rPr>
              <w:t>pafurnizuar</w:t>
            </w:r>
            <w:proofErr w:type="spellEnd"/>
            <w:r w:rsidRPr="00C47D9B">
              <w:rPr>
                <w:rFonts w:ascii="Garamond" w:hAnsi="Garamond"/>
                <w:spacing w:val="-4"/>
                <w:sz w:val="24"/>
                <w:szCs w:val="24"/>
                <w:lang w:val="sq-AL"/>
              </w:rPr>
              <w:t xml:space="preserve"> (ENS)</w:t>
            </w:r>
          </w:p>
        </w:tc>
        <w:tc>
          <w:tcPr>
            <w:tcW w:w="19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p>
        </w:tc>
      </w:tr>
      <w:tr w:rsidR="00C47D9B" w:rsidRPr="00C47D9B" w:rsidTr="00274E16">
        <w:trPr>
          <w:trHeight w:val="179"/>
        </w:trPr>
        <w:tc>
          <w:tcPr>
            <w:tcW w:w="30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r w:rsidRPr="00C47D9B">
              <w:rPr>
                <w:rFonts w:ascii="Garamond" w:hAnsi="Garamond"/>
                <w:spacing w:val="-4"/>
                <w:sz w:val="24"/>
                <w:szCs w:val="24"/>
                <w:lang w:val="sq-AL"/>
              </w:rPr>
              <w:t>c) Cilësia e frekuencës (FQ)</w:t>
            </w:r>
          </w:p>
        </w:tc>
        <w:tc>
          <w:tcPr>
            <w:tcW w:w="1950" w:type="pct"/>
          </w:tcPr>
          <w:p w:rsidR="009A5F63" w:rsidRPr="00C47D9B" w:rsidRDefault="009A5F63" w:rsidP="00274E16">
            <w:pPr>
              <w:pStyle w:val="ListParagraph1"/>
              <w:widowControl w:val="0"/>
              <w:tabs>
                <w:tab w:val="left" w:pos="426"/>
              </w:tabs>
              <w:spacing w:after="0" w:line="240" w:lineRule="auto"/>
              <w:ind w:left="0"/>
              <w:jc w:val="left"/>
              <w:rPr>
                <w:rFonts w:ascii="Garamond" w:hAnsi="Garamond"/>
                <w:spacing w:val="-4"/>
                <w:sz w:val="24"/>
                <w:szCs w:val="24"/>
                <w:lang w:val="sq-AL"/>
              </w:rPr>
            </w:pPr>
          </w:p>
        </w:tc>
      </w:tr>
      <w:tr w:rsidR="00C47D9B" w:rsidRPr="00C47D9B" w:rsidTr="00274E16">
        <w:trPr>
          <w:trHeight w:val="233"/>
        </w:trPr>
        <w:tc>
          <w:tcPr>
            <w:tcW w:w="30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r w:rsidRPr="00C47D9B">
              <w:rPr>
                <w:rFonts w:ascii="Garamond" w:hAnsi="Garamond"/>
                <w:spacing w:val="-4"/>
                <w:sz w:val="24"/>
                <w:szCs w:val="24"/>
                <w:lang w:val="sq-AL"/>
              </w:rPr>
              <w:t xml:space="preserve">d) Periudha e njoftimit të ndërprerjeve të planifikuara në sistemin e transmetimit </w:t>
            </w:r>
          </w:p>
        </w:tc>
        <w:tc>
          <w:tcPr>
            <w:tcW w:w="19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p>
        </w:tc>
      </w:tr>
      <w:tr w:rsidR="00C47D9B" w:rsidRPr="00C47D9B" w:rsidTr="00274E16">
        <w:trPr>
          <w:trHeight w:val="260"/>
        </w:trPr>
        <w:tc>
          <w:tcPr>
            <w:tcW w:w="30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r w:rsidRPr="00C47D9B">
              <w:rPr>
                <w:rFonts w:ascii="Garamond" w:hAnsi="Garamond"/>
                <w:spacing w:val="-4"/>
                <w:sz w:val="24"/>
                <w:szCs w:val="24"/>
                <w:lang w:val="sq-AL"/>
              </w:rPr>
              <w:t xml:space="preserve">e) Koha e nevojshme për t’iu përgjigjur kërkesave për lidhjet e reja </w:t>
            </w:r>
          </w:p>
        </w:tc>
        <w:tc>
          <w:tcPr>
            <w:tcW w:w="19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p>
        </w:tc>
      </w:tr>
      <w:tr w:rsidR="00C47D9B" w:rsidRPr="00C47D9B" w:rsidTr="00274E16">
        <w:trPr>
          <w:trHeight w:val="260"/>
        </w:trPr>
        <w:tc>
          <w:tcPr>
            <w:tcW w:w="30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r w:rsidRPr="00C47D9B">
              <w:rPr>
                <w:rFonts w:ascii="Garamond" w:hAnsi="Garamond"/>
                <w:spacing w:val="-4"/>
                <w:sz w:val="24"/>
                <w:szCs w:val="24"/>
                <w:lang w:val="sq-AL"/>
              </w:rPr>
              <w:t>f) Indeksi i kohëzgjatjes së ndërprerjeve mesatare (SAIDI)</w:t>
            </w:r>
          </w:p>
        </w:tc>
        <w:tc>
          <w:tcPr>
            <w:tcW w:w="19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p>
        </w:tc>
      </w:tr>
      <w:tr w:rsidR="00C47D9B" w:rsidRPr="00C47D9B" w:rsidTr="00274E16">
        <w:trPr>
          <w:trHeight w:val="270"/>
        </w:trPr>
        <w:tc>
          <w:tcPr>
            <w:tcW w:w="30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r w:rsidRPr="00C47D9B">
              <w:rPr>
                <w:rFonts w:ascii="Garamond" w:hAnsi="Garamond"/>
                <w:spacing w:val="-4"/>
                <w:sz w:val="24"/>
                <w:szCs w:val="24"/>
                <w:lang w:val="sq-AL"/>
              </w:rPr>
              <w:t>g) Cilësia e tensionit (VQ)</w:t>
            </w:r>
          </w:p>
        </w:tc>
        <w:tc>
          <w:tcPr>
            <w:tcW w:w="19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p>
        </w:tc>
      </w:tr>
      <w:tr w:rsidR="009A5F63" w:rsidRPr="00C47D9B" w:rsidTr="00274E16">
        <w:trPr>
          <w:trHeight w:val="224"/>
        </w:trPr>
        <w:tc>
          <w:tcPr>
            <w:tcW w:w="30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r w:rsidRPr="00C47D9B">
              <w:rPr>
                <w:rFonts w:ascii="Garamond" w:hAnsi="Garamond"/>
                <w:spacing w:val="-4"/>
                <w:sz w:val="24"/>
                <w:szCs w:val="24"/>
                <w:lang w:val="sq-AL"/>
              </w:rPr>
              <w:t>h) Përqindja e ankesave për cilësinë e tensionit</w:t>
            </w:r>
          </w:p>
        </w:tc>
        <w:tc>
          <w:tcPr>
            <w:tcW w:w="1950" w:type="pct"/>
          </w:tcPr>
          <w:p w:rsidR="009A5F63" w:rsidRPr="00C47D9B" w:rsidRDefault="009A5F63" w:rsidP="00274E16">
            <w:pPr>
              <w:pStyle w:val="ListParagraph1"/>
              <w:widowControl w:val="0"/>
              <w:tabs>
                <w:tab w:val="left" w:pos="426"/>
              </w:tabs>
              <w:spacing w:after="0" w:line="240" w:lineRule="auto"/>
              <w:ind w:left="0"/>
              <w:contextualSpacing w:val="0"/>
              <w:jc w:val="left"/>
              <w:rPr>
                <w:rFonts w:ascii="Garamond" w:hAnsi="Garamond"/>
                <w:spacing w:val="-4"/>
                <w:sz w:val="24"/>
                <w:szCs w:val="24"/>
                <w:lang w:val="sq-AL"/>
              </w:rPr>
            </w:pPr>
          </w:p>
        </w:tc>
      </w:tr>
    </w:tbl>
    <w:p w:rsidR="009A5F63" w:rsidRPr="00C47D9B" w:rsidRDefault="009A5F63" w:rsidP="009A5F63">
      <w:pPr>
        <w:pStyle w:val="NeniTitull"/>
        <w:keepNext w:val="0"/>
        <w:rPr>
          <w:spacing w:val="-4"/>
          <w:szCs w:val="24"/>
          <w:lang w:val="sq-AL"/>
        </w:rPr>
      </w:pPr>
    </w:p>
    <w:bookmarkEnd w:id="0"/>
    <w:p w:rsidR="00A12B93" w:rsidRPr="00C47D9B" w:rsidRDefault="00A12B93">
      <w:pPr>
        <w:rPr>
          <w:rFonts w:ascii="Garamond" w:hAnsi="Garamond"/>
          <w:sz w:val="24"/>
          <w:szCs w:val="24"/>
        </w:rPr>
      </w:pPr>
    </w:p>
    <w:sectPr w:rsidR="00A12B93" w:rsidRPr="00C47D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F63"/>
    <w:rsid w:val="006D7C2D"/>
    <w:rsid w:val="009076E6"/>
    <w:rsid w:val="009A5F63"/>
    <w:rsid w:val="00A12B93"/>
    <w:rsid w:val="00B300CA"/>
    <w:rsid w:val="00C47D9B"/>
    <w:rsid w:val="00CF4DA5"/>
    <w:rsid w:val="00DD4E9A"/>
    <w:rsid w:val="00FB7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9FF197-BF80-4546-96AC-1B4D05F75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5F63"/>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A5F63"/>
    <w:pPr>
      <w:widowControl w:val="0"/>
      <w:spacing w:after="0" w:line="240" w:lineRule="auto"/>
      <w:ind w:firstLine="284"/>
      <w:jc w:val="both"/>
    </w:pPr>
    <w:rPr>
      <w:rFonts w:ascii="Garamond" w:eastAsia="MS Mincho" w:hAnsi="Garamond" w:cs="Times New Roman"/>
      <w:sz w:val="24"/>
      <w:szCs w:val="20"/>
    </w:rPr>
  </w:style>
  <w:style w:type="character" w:customStyle="1" w:styleId="ParagrafiChar">
    <w:name w:val="Paragrafi Char"/>
    <w:link w:val="Paragrafi"/>
    <w:locked/>
    <w:rsid w:val="009A5F63"/>
    <w:rPr>
      <w:rFonts w:ascii="Garamond" w:eastAsia="MS Mincho" w:hAnsi="Garamond" w:cs="Times New Roman"/>
      <w:sz w:val="24"/>
      <w:szCs w:val="20"/>
    </w:rPr>
  </w:style>
  <w:style w:type="paragraph" w:customStyle="1" w:styleId="NeniNr">
    <w:name w:val="Neni_Nr"/>
    <w:next w:val="Normal"/>
    <w:link w:val="NeniNrChar"/>
    <w:rsid w:val="009A5F63"/>
    <w:pPr>
      <w:keepNext/>
      <w:widowControl w:val="0"/>
      <w:spacing w:after="0" w:line="240" w:lineRule="auto"/>
      <w:jc w:val="center"/>
    </w:pPr>
    <w:rPr>
      <w:rFonts w:ascii="Garamond" w:eastAsia="MS Mincho" w:hAnsi="Garamond" w:cs="Times New Roman"/>
      <w:sz w:val="24"/>
      <w:szCs w:val="20"/>
      <w:lang w:val="en-GB"/>
    </w:rPr>
  </w:style>
  <w:style w:type="paragraph" w:customStyle="1" w:styleId="NeniTitull">
    <w:name w:val="Neni_Titull"/>
    <w:next w:val="Normal"/>
    <w:rsid w:val="009A5F6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link w:val="NeniNr"/>
    <w:rsid w:val="009A5F63"/>
    <w:rPr>
      <w:rFonts w:ascii="Garamond" w:eastAsia="MS Mincho" w:hAnsi="Garamond" w:cs="Times New Roman"/>
      <w:sz w:val="24"/>
      <w:szCs w:val="20"/>
      <w:lang w:val="en-GB"/>
    </w:rPr>
  </w:style>
  <w:style w:type="paragraph" w:customStyle="1" w:styleId="Autoriteti">
    <w:name w:val="Autoriteti"/>
    <w:next w:val="Normal"/>
    <w:link w:val="AutoritetiChar"/>
    <w:rsid w:val="009A5F63"/>
    <w:pPr>
      <w:keepNext/>
      <w:widowControl w:val="0"/>
      <w:spacing w:after="0" w:line="240" w:lineRule="auto"/>
      <w:jc w:val="right"/>
    </w:pPr>
    <w:rPr>
      <w:rFonts w:ascii="Garamond" w:eastAsia="MS Mincho" w:hAnsi="Garamond" w:cs="Times New Roman"/>
      <w:caps/>
      <w:sz w:val="24"/>
      <w:szCs w:val="20"/>
      <w:lang w:val="en-GB"/>
    </w:rPr>
  </w:style>
  <w:style w:type="paragraph" w:customStyle="1" w:styleId="AutoritetiEmer">
    <w:name w:val="Autoriteti_Emer"/>
    <w:next w:val="Normal"/>
    <w:link w:val="AutoritetiEmerChar"/>
    <w:rsid w:val="009A5F63"/>
    <w:pPr>
      <w:widowControl w:val="0"/>
      <w:spacing w:after="0" w:line="240" w:lineRule="auto"/>
      <w:jc w:val="right"/>
    </w:pPr>
    <w:rPr>
      <w:rFonts w:ascii="Garamond" w:eastAsia="MS Mincho" w:hAnsi="Garamond" w:cs="Times New Roman"/>
      <w:b/>
      <w:bCs/>
      <w:sz w:val="24"/>
      <w:szCs w:val="20"/>
      <w:lang w:val="en-GB"/>
    </w:rPr>
  </w:style>
  <w:style w:type="character" w:customStyle="1" w:styleId="AutoritetiChar">
    <w:name w:val="Autoriteti Char"/>
    <w:link w:val="Autoriteti"/>
    <w:locked/>
    <w:rsid w:val="009A5F63"/>
    <w:rPr>
      <w:rFonts w:ascii="Garamond" w:eastAsia="MS Mincho" w:hAnsi="Garamond" w:cs="Times New Roman"/>
      <w:caps/>
      <w:sz w:val="24"/>
      <w:szCs w:val="20"/>
      <w:lang w:val="en-GB"/>
    </w:rPr>
  </w:style>
  <w:style w:type="character" w:customStyle="1" w:styleId="AutoritetiEmerChar">
    <w:name w:val="Autoriteti_Emer Char"/>
    <w:link w:val="AutoritetiEmer"/>
    <w:locked/>
    <w:rsid w:val="009A5F63"/>
    <w:rPr>
      <w:rFonts w:ascii="Garamond" w:eastAsia="MS Mincho" w:hAnsi="Garamond" w:cs="Times New Roman"/>
      <w:b/>
      <w:bCs/>
      <w:sz w:val="24"/>
      <w:szCs w:val="20"/>
      <w:lang w:val="en-GB"/>
    </w:rPr>
  </w:style>
  <w:style w:type="paragraph" w:customStyle="1" w:styleId="Hapesira7">
    <w:name w:val="Hapesira 7"/>
    <w:basedOn w:val="Paragrafi"/>
    <w:qFormat/>
    <w:rsid w:val="009A5F63"/>
    <w:rPr>
      <w:sz w:val="14"/>
      <w:szCs w:val="24"/>
    </w:rPr>
  </w:style>
  <w:style w:type="character" w:customStyle="1" w:styleId="ParagrafiCharChar">
    <w:name w:val="Paragrafi Char Char"/>
    <w:rsid w:val="009A5F63"/>
    <w:rPr>
      <w:rFonts w:ascii="CG Times" w:hAnsi="CG Times"/>
      <w:sz w:val="22"/>
      <w:lang w:val="en-US" w:eastAsia="en-US" w:bidi="ar-SA"/>
    </w:rPr>
  </w:style>
  <w:style w:type="paragraph" w:customStyle="1" w:styleId="ListParagraph1">
    <w:name w:val="List Paragraph1"/>
    <w:basedOn w:val="Normal"/>
    <w:uiPriority w:val="34"/>
    <w:qFormat/>
    <w:rsid w:val="009A5F63"/>
    <w:pPr>
      <w:ind w:left="720" w:firstLine="0"/>
      <w:contextualSpacing/>
    </w:pPr>
  </w:style>
  <w:style w:type="paragraph" w:styleId="BalloonText">
    <w:name w:val="Balloon Text"/>
    <w:basedOn w:val="Normal"/>
    <w:link w:val="BalloonTextChar"/>
    <w:uiPriority w:val="99"/>
    <w:semiHidden/>
    <w:unhideWhenUsed/>
    <w:rsid w:val="009A5F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5F63"/>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7</Pages>
  <Words>2621</Words>
  <Characters>14944</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Marsela Xhepa</cp:lastModifiedBy>
  <cp:revision>8</cp:revision>
  <dcterms:created xsi:type="dcterms:W3CDTF">2025-12-09T11:28:00Z</dcterms:created>
  <dcterms:modified xsi:type="dcterms:W3CDTF">2025-12-10T14:55:00Z</dcterms:modified>
</cp:coreProperties>
</file>