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A44" w:rsidRPr="003545FC" w:rsidRDefault="00F91A44" w:rsidP="00F91A4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0" w:name="_Toc504992458"/>
      <w:bookmarkStart w:id="1" w:name="_Toc504992613"/>
      <w:bookmarkStart w:id="2" w:name="_Toc505001077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  <w:bookmarkEnd w:id="0"/>
      <w:bookmarkEnd w:id="1"/>
      <w:bookmarkEnd w:id="2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F91A44" w:rsidRPr="003545FC" w:rsidRDefault="00F91A44" w:rsidP="00F91A4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3" w:name="_Toc504992459"/>
      <w:bookmarkStart w:id="4" w:name="_Toc504992614"/>
      <w:bookmarkStart w:id="5" w:name="_Toc505001078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12, datë 10.1.2018</w:t>
      </w:r>
      <w:bookmarkEnd w:id="3"/>
      <w:bookmarkEnd w:id="4"/>
      <w:bookmarkEnd w:id="5"/>
    </w:p>
    <w:p w:rsidR="00F91A44" w:rsidRPr="003545FC" w:rsidRDefault="00F91A44" w:rsidP="00F91A44">
      <w:pPr>
        <w:pStyle w:val="Hapesira7"/>
        <w:rPr>
          <w:lang w:val="sq-AL" w:eastAsia="en-GB"/>
        </w:rPr>
      </w:pPr>
    </w:p>
    <w:p w:rsidR="00F91A44" w:rsidRPr="003545FC" w:rsidRDefault="00F91A44" w:rsidP="00F91A4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6" w:name="_Toc504992460"/>
      <w:bookmarkStart w:id="7" w:name="_Toc504992615"/>
      <w:bookmarkStart w:id="8" w:name="_Toc505001079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MBI FILLIMIN E PROCEDURËS</w:t>
      </w:r>
      <w:bookmarkEnd w:id="6"/>
      <w:bookmarkEnd w:id="7"/>
      <w:bookmarkEnd w:id="8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F91A44" w:rsidRPr="003545FC" w:rsidRDefault="00F91A44" w:rsidP="00F91A4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9" w:name="_Toc504992461"/>
      <w:bookmarkStart w:id="10" w:name="_Toc504992616"/>
      <w:bookmarkStart w:id="11" w:name="_Toc505001080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SHQYRTIMIN E KËRKESËS</w:t>
      </w:r>
      <w:bookmarkEnd w:id="9"/>
      <w:bookmarkEnd w:id="10"/>
      <w:bookmarkEnd w:id="11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F91A44" w:rsidRPr="003545FC" w:rsidRDefault="00F91A44" w:rsidP="00F91A4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12" w:name="_Toc504992462"/>
      <w:bookmarkStart w:id="13" w:name="_Toc504992617"/>
      <w:bookmarkStart w:id="14" w:name="_Toc505001081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SË SHOQËRISË M.T.C. ENERGY SHPK, PËR LËNIEN PENG TË ASETEVE</w:t>
      </w:r>
      <w:bookmarkEnd w:id="12"/>
      <w:bookmarkEnd w:id="13"/>
      <w:bookmarkEnd w:id="14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F91A44" w:rsidRPr="003545FC" w:rsidRDefault="00F91A44" w:rsidP="00F91A4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15" w:name="_Toc504992463"/>
      <w:bookmarkStart w:id="16" w:name="_Toc504992618"/>
      <w:bookmarkStart w:id="17" w:name="_Toc505001082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TË LUAJTSHME DHE VENDOSJES</w:t>
      </w:r>
      <w:bookmarkEnd w:id="15"/>
      <w:bookmarkEnd w:id="16"/>
      <w:bookmarkEnd w:id="17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F91A44" w:rsidRPr="003545FC" w:rsidRDefault="00F91A44" w:rsidP="00F91A4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18" w:name="_Toc504992464"/>
      <w:bookmarkStart w:id="19" w:name="_Toc504992619"/>
      <w:bookmarkStart w:id="20" w:name="_Toc505001083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SË HIPOTEKËS, PËR ASETET E PALUAJTSHME TË ARDHSHME APO</w:t>
      </w:r>
      <w:bookmarkEnd w:id="18"/>
      <w:bookmarkEnd w:id="19"/>
      <w:bookmarkEnd w:id="20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F91A44" w:rsidRPr="003545FC" w:rsidRDefault="00F91A44" w:rsidP="00F91A4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21" w:name="_Toc504992465"/>
      <w:bookmarkStart w:id="22" w:name="_Toc504992620"/>
      <w:bookmarkStart w:id="23" w:name="_Toc505001084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TË TASHME, NË FAVOR TË RAFFEISEN BANK SHA, PËR EFEKT TË RISTRUKTURIMIT TË KREDISË</w:t>
      </w:r>
      <w:bookmarkEnd w:id="21"/>
      <w:bookmarkEnd w:id="22"/>
      <w:bookmarkEnd w:id="23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F91A44" w:rsidRPr="003545FC" w:rsidRDefault="00F91A44" w:rsidP="00F91A4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24" w:name="_Toc504992466"/>
      <w:bookmarkStart w:id="25" w:name="_Toc504992621"/>
      <w:bookmarkStart w:id="26" w:name="_Toc505001085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SË DHËNË</w:t>
      </w:r>
      <w:bookmarkEnd w:id="24"/>
      <w:bookmarkEnd w:id="25"/>
      <w:bookmarkEnd w:id="26"/>
    </w:p>
    <w:p w:rsidR="00F91A44" w:rsidRPr="003545FC" w:rsidRDefault="00F91A44" w:rsidP="00F91A44">
      <w:pPr>
        <w:pStyle w:val="Hapesira7"/>
        <w:rPr>
          <w:lang w:val="sq-AL"/>
        </w:rPr>
      </w:pPr>
    </w:p>
    <w:p w:rsidR="00F91A44" w:rsidRPr="003545FC" w:rsidRDefault="00F91A44" w:rsidP="00F91A4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Në mbështetje të nenit 16; nenit 44, pika 1, të ligjit nr. 43/2015, “Për sektorin e energjisë elektrike”, si dhe në zbatim të nenit 6; nenit 7 dhe nenit 8 të “Rregullores për procedurat e transferimit të aseteve nga të licencuarit”, të miratuar me vendimin e bordit të ERE-s, nr. 119, datë 21.7.2016; pikës 1.3, të “Licencës për prodhimin e energjisë elektrike”, gjithashtu dhe nenit 19, pika 1, germa “a” të “Rregullores për organizimin, funksionimin dhe procedurat e ERE-s”, miratuar me vendimin nr. 96, datë 17.6.2016, Bordi i Entit Rregullator të Energjisë (ERE), në mbledhjen e tij të datës 10.1.2018, mbasi shqyrtoi relacionin e përgatitur nga drejtoria e licencimit, në lidhje me kërkesën e shoqërisë M.T.C. Energy sh.p.k., për lënien peng të aseteve të luajtshme dhe vendosje të hipotekës mbi asetet e paluajtshme të ardhshme apo të tashme, në favor të Raffeisen Bank sh.a., për efekt të ristrukturimit të kredisë së dhënë,</w:t>
      </w:r>
    </w:p>
    <w:p w:rsidR="00F91A44" w:rsidRPr="003545FC" w:rsidRDefault="00F91A44" w:rsidP="00F91A4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konstatoi se: </w:t>
      </w:r>
    </w:p>
    <w:p w:rsidR="00F91A44" w:rsidRPr="003545FC" w:rsidRDefault="00F91A44" w:rsidP="00F91A4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- Me shkresën e datës 22.12.2017, protokolluar në ERE, me nr. 817/2 prot., datë 28.12.2017, shoqëria M.T.C. Energy sh.p.k., ka kërkuar miratimin e ERE-s në lidhje me kërkesën e saj për lënien peng të aseteve të luajtshme dhe vendosjes së hipotekës për asetet e paluajtshme të ardhshme apo të tashme, për garantimin e detyrimeve të kredisë.</w:t>
      </w:r>
    </w:p>
    <w:p w:rsidR="00F91A44" w:rsidRPr="003545FC" w:rsidRDefault="00F91A44" w:rsidP="00F91A4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- Shoqëria M.T.C. Energy sh.p.k. ka marrë dy kredi pranë Raiffeisen Bank sh.a., marrëveshje e nënshkruar në vitin 2012 dhe së fundmi me kontratë, kredi bankare nr. 4087 rep., nr. 2475 kol., datë 7.11.2016, me qëllim për të financuar investimin për ndërtimin e Hidrocentralit Radovë. </w:t>
      </w:r>
    </w:p>
    <w:p w:rsidR="00F91A44" w:rsidRPr="003545FC" w:rsidRDefault="00F91A44" w:rsidP="00F91A4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- Për garantimin e detyrimeve të kredisë, shoqëria ka vendosur si garanci në favor të Raiffeisen Bank sh.a., asetet e luajtshme dhe të paluajtshme të shoqërisë sipas kontratave dhe i drejtohet ERE-s me kërkesën për miratimin e lënies peng të aseteve të luajtshme dhe vendosjes së hipotekës për asetet e paluajtshme të ardhshme apo të tashme, për garantimin e detyrimeve të kredisë. </w:t>
      </w:r>
    </w:p>
    <w:p w:rsidR="00F91A44" w:rsidRPr="003545FC" w:rsidRDefault="00F91A44" w:rsidP="00F91A4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Aplikimi plotëson pjesërisht kërkesat e parashikuara nga ERE në “Rregulloren për procedurat e transferimit të aseteve nga të licencuarit”, si më poshtë: </w:t>
      </w:r>
    </w:p>
    <w:p w:rsidR="00F91A44" w:rsidRPr="003545FC" w:rsidRDefault="00F91A44" w:rsidP="00F91A4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- Neni 7, pika 1, germat “a”, “b”, “c”, “d”, “e”, “f”, “g”, “h”, “i”, është plotësuar në mënyrë korrekte.</w:t>
      </w:r>
    </w:p>
    <w:p w:rsidR="00F91A44" w:rsidRPr="003545FC" w:rsidRDefault="00F91A44" w:rsidP="00F91A4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Për mungesën e dokumentacionit që ka të bëjë me:</w:t>
      </w:r>
    </w:p>
    <w:p w:rsidR="00F91A44" w:rsidRPr="003545FC" w:rsidRDefault="00F91A44" w:rsidP="00F91A44">
      <w:pPr>
        <w:widowControl w:val="0"/>
        <w:spacing w:after="0" w:line="240" w:lineRule="auto"/>
        <w:rPr>
          <w:rFonts w:ascii="Garamond" w:eastAsia="MS Mincho" w:hAnsi="Garamond" w:cs="CG Times"/>
          <w:spacing w:val="-6"/>
          <w:sz w:val="24"/>
          <w:lang w:val="sq-AL"/>
        </w:rPr>
      </w:pPr>
      <w:r w:rsidRPr="003545FC">
        <w:rPr>
          <w:rFonts w:ascii="Garamond" w:eastAsia="MS Mincho" w:hAnsi="Garamond" w:cs="CG Times"/>
          <w:spacing w:val="-6"/>
          <w:sz w:val="24"/>
          <w:lang w:val="sq-AL"/>
        </w:rPr>
        <w:t>- Neni 7, pika 1, germa “j” (nëse ka pasur, listën e transferimeve të kryera me herët nga i njëjti subjekt).</w:t>
      </w:r>
    </w:p>
    <w:p w:rsidR="00F91A44" w:rsidRPr="003545FC" w:rsidRDefault="00F91A44" w:rsidP="00F91A44">
      <w:pPr>
        <w:widowControl w:val="0"/>
        <w:spacing w:after="0" w:line="240" w:lineRule="auto"/>
        <w:rPr>
          <w:rFonts w:ascii="Garamond" w:eastAsia="MS Mincho" w:hAnsi="Garamond" w:cs="CG Times"/>
          <w:spacing w:val="-6"/>
          <w:sz w:val="24"/>
          <w:lang w:val="sq-AL"/>
        </w:rPr>
      </w:pPr>
      <w:r w:rsidRPr="003545FC">
        <w:rPr>
          <w:rFonts w:ascii="Garamond" w:eastAsia="MS Mincho" w:hAnsi="Garamond" w:cs="CG Times"/>
          <w:spacing w:val="-6"/>
          <w:sz w:val="24"/>
          <w:lang w:val="sq-AL"/>
        </w:rPr>
        <w:t xml:space="preserve">- Nenin 7, pika 3 (subjektet koncencionare të licencuara, të cilat aplikojnë për miratimin e transferimit të aseteve në ERE, duhet të shprehin në formë të shkruar në marrëveshjen e transferimit të aseteve, detyrimet me të cilat ngarkohen, për shkak të marrëveshjes së koncesionit e pjesët që transferojnë te përfituesi), do të njoftohet subjekti, që në bazë të nenit 10, pika 2 të “Rregullores për procedurat e transferimit të aseteve nga të licencuarit”, t’i paraqesë këto në ERE, brenda afateve. </w:t>
      </w:r>
    </w:p>
    <w:p w:rsidR="00F91A44" w:rsidRPr="003545FC" w:rsidRDefault="00F91A44" w:rsidP="00F91A4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Për gjithë sa më sipër, bordi i ERE-s</w:t>
      </w:r>
    </w:p>
    <w:p w:rsidR="00F91A44" w:rsidRPr="003545FC" w:rsidRDefault="00F91A44" w:rsidP="00F91A44">
      <w:pPr>
        <w:pStyle w:val="Hapesira7"/>
        <w:rPr>
          <w:lang w:val="sq-AL"/>
        </w:rPr>
      </w:pPr>
    </w:p>
    <w:p w:rsidR="00F91A44" w:rsidRPr="003545FC" w:rsidRDefault="00F91A44" w:rsidP="00F91A44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F91A44" w:rsidRPr="003545FC" w:rsidRDefault="00F91A44" w:rsidP="00F91A44">
      <w:pPr>
        <w:pStyle w:val="Hapesira7"/>
        <w:rPr>
          <w:lang w:val="sq-AL"/>
        </w:rPr>
      </w:pPr>
    </w:p>
    <w:p w:rsidR="00F91A44" w:rsidRPr="003545FC" w:rsidRDefault="00F91A44" w:rsidP="00F91A4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1. Të fillojë procedurën për shqyrtimin e kërkesës së shoqërisë M.T.C. Energy sh.p.k., për lënien peng të aseteve të luajtshme dhe të vendosjes së hipotekës për asetet e paluajtshme të ardhshme apo të tashme, </w:t>
      </w:r>
      <w:r w:rsidRPr="003545FC">
        <w:rPr>
          <w:rFonts w:ascii="Garamond" w:eastAsia="MS Mincho" w:hAnsi="Garamond" w:cs="CG Times"/>
          <w:spacing w:val="-4"/>
          <w:sz w:val="24"/>
          <w:lang w:val="sq-AL"/>
        </w:rPr>
        <w:lastRenderedPageBreak/>
        <w:t>të shoqërisë në favor të Raffeisen Bank sh.a., për efekt të ristrukturimit të kredisë së dhënë.</w:t>
      </w:r>
    </w:p>
    <w:p w:rsidR="00F91A44" w:rsidRPr="003545FC" w:rsidRDefault="00F91A44" w:rsidP="00F91A4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2. Drejtoria e Licencimit dhe e Monitorimit të Tregut do të njoftojë aplikuesin për vendimin e bordit të ERE-s. </w:t>
      </w:r>
    </w:p>
    <w:p w:rsidR="00F91A44" w:rsidRPr="003545FC" w:rsidRDefault="00F91A44" w:rsidP="00F91A4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F91A44" w:rsidRPr="003545FC" w:rsidRDefault="00F91A44" w:rsidP="00F91A4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F91A44" w:rsidRPr="003545FC" w:rsidRDefault="00F91A44" w:rsidP="00F91A4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Ky vendim mund të ankimohet në Gjykatën Administrative Tiranë, brenda 30 ditëve kalendarike nga botimi në Fletoren Zyrtare.</w:t>
      </w:r>
    </w:p>
    <w:p w:rsidR="00F91A44" w:rsidRPr="003545FC" w:rsidRDefault="00F91A44" w:rsidP="00F91A44">
      <w:pPr>
        <w:pStyle w:val="Hapesira7"/>
        <w:rPr>
          <w:lang w:val="sq-AL"/>
        </w:rPr>
      </w:pPr>
    </w:p>
    <w:p w:rsidR="00F91A44" w:rsidRPr="003545FC" w:rsidRDefault="00F91A44" w:rsidP="00F91A44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F91A44" w:rsidRPr="003545FC" w:rsidRDefault="00F91A44" w:rsidP="00F91A44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b/>
          <w:spacing w:val="-4"/>
          <w:sz w:val="24"/>
          <w:lang w:val="sq-AL"/>
        </w:rPr>
        <w:t xml:space="preserve"> Petrit Ahmeti</w:t>
      </w:r>
    </w:p>
    <w:p w:rsidR="00313A60" w:rsidRDefault="00313A60">
      <w:bookmarkStart w:id="27" w:name="_GoBack"/>
      <w:bookmarkEnd w:id="27"/>
    </w:p>
    <w:sectPr w:rsidR="00313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A44"/>
    <w:rsid w:val="00313A60"/>
    <w:rsid w:val="00F9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A4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F91A44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A4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F91A44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2018-01-30T15:21:00Z</dcterms:created>
  <dcterms:modified xsi:type="dcterms:W3CDTF">2018-01-30T15:22:00Z</dcterms:modified>
</cp:coreProperties>
</file>