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AA6" w:rsidRPr="003545FC" w:rsidRDefault="004C3AA6" w:rsidP="004C3AA6">
      <w:pPr>
        <w:keepNext/>
        <w:widowControl w:val="0"/>
        <w:spacing w:after="0" w:line="240" w:lineRule="auto"/>
        <w:ind w:firstLine="0"/>
        <w:jc w:val="center"/>
        <w:outlineLvl w:val="2"/>
        <w:rPr>
          <w:rFonts w:ascii="Garamond" w:eastAsia="MS Mincho" w:hAnsi="Garamond" w:cs="CG Times"/>
          <w:b/>
          <w:bCs/>
          <w:spacing w:val="-4"/>
          <w:sz w:val="24"/>
          <w:lang w:val="sq-AL"/>
        </w:rPr>
      </w:pPr>
      <w:bookmarkStart w:id="0" w:name="_Toc504992473"/>
      <w:bookmarkStart w:id="1" w:name="_Toc504992628"/>
      <w:bookmarkStart w:id="2" w:name="_Toc505001092"/>
      <w:r w:rsidRPr="003545FC">
        <w:rPr>
          <w:rFonts w:ascii="Garamond" w:eastAsia="MS Mincho" w:hAnsi="Garamond" w:cs="CG Times"/>
          <w:b/>
          <w:bCs/>
          <w:spacing w:val="-4"/>
          <w:sz w:val="24"/>
          <w:lang w:val="sq-AL"/>
        </w:rPr>
        <w:t>VENDIM</w:t>
      </w:r>
      <w:bookmarkEnd w:id="0"/>
      <w:bookmarkEnd w:id="1"/>
      <w:bookmarkEnd w:id="2"/>
      <w:r w:rsidRPr="003545FC">
        <w:rPr>
          <w:rFonts w:ascii="Garamond" w:eastAsia="MS Mincho" w:hAnsi="Garamond" w:cs="CG Times"/>
          <w:b/>
          <w:bCs/>
          <w:spacing w:val="-4"/>
          <w:sz w:val="24"/>
          <w:lang w:val="sq-AL"/>
        </w:rPr>
        <w:t xml:space="preserve"> </w:t>
      </w:r>
    </w:p>
    <w:p w:rsidR="004C3AA6" w:rsidRPr="003545FC" w:rsidRDefault="004C3AA6" w:rsidP="004C3AA6">
      <w:pPr>
        <w:keepNext/>
        <w:widowControl w:val="0"/>
        <w:spacing w:after="0" w:line="240" w:lineRule="auto"/>
        <w:ind w:firstLine="0"/>
        <w:jc w:val="center"/>
        <w:outlineLvl w:val="2"/>
        <w:rPr>
          <w:rFonts w:ascii="Garamond" w:eastAsia="MS Mincho" w:hAnsi="Garamond" w:cs="CG Times"/>
          <w:b/>
          <w:bCs/>
          <w:spacing w:val="-4"/>
          <w:sz w:val="24"/>
          <w:lang w:val="sq-AL"/>
        </w:rPr>
      </w:pPr>
      <w:bookmarkStart w:id="3" w:name="_Toc504992474"/>
      <w:bookmarkStart w:id="4" w:name="_Toc504992629"/>
      <w:bookmarkStart w:id="5" w:name="_Toc505001093"/>
      <w:r w:rsidRPr="003545FC">
        <w:rPr>
          <w:rFonts w:ascii="Garamond" w:eastAsia="MS Mincho" w:hAnsi="Garamond" w:cs="CG Times"/>
          <w:b/>
          <w:bCs/>
          <w:spacing w:val="-4"/>
          <w:sz w:val="24"/>
          <w:lang w:val="sq-AL"/>
        </w:rPr>
        <w:t>Nr. 14, datë 10.1.2018</w:t>
      </w:r>
      <w:bookmarkEnd w:id="3"/>
      <w:bookmarkEnd w:id="4"/>
      <w:bookmarkEnd w:id="5"/>
    </w:p>
    <w:p w:rsidR="004C3AA6" w:rsidRPr="003545FC" w:rsidRDefault="004C3AA6" w:rsidP="004C3AA6">
      <w:pPr>
        <w:pStyle w:val="Hapesira7"/>
        <w:rPr>
          <w:lang w:val="sq-AL" w:eastAsia="en-GB"/>
        </w:rPr>
      </w:pPr>
    </w:p>
    <w:p w:rsidR="004C3AA6" w:rsidRPr="003545FC" w:rsidRDefault="004C3AA6" w:rsidP="004C3AA6">
      <w:pPr>
        <w:keepNext/>
        <w:widowControl w:val="0"/>
        <w:spacing w:after="0" w:line="240" w:lineRule="auto"/>
        <w:ind w:firstLine="0"/>
        <w:jc w:val="center"/>
        <w:outlineLvl w:val="2"/>
        <w:rPr>
          <w:rFonts w:ascii="Garamond" w:eastAsia="MS Mincho" w:hAnsi="Garamond" w:cs="CG Times"/>
          <w:b/>
          <w:bCs/>
          <w:spacing w:val="-4"/>
          <w:sz w:val="24"/>
          <w:lang w:val="sq-AL"/>
        </w:rPr>
      </w:pPr>
      <w:bookmarkStart w:id="6" w:name="_Toc504992475"/>
      <w:bookmarkStart w:id="7" w:name="_Toc504992630"/>
      <w:bookmarkStart w:id="8" w:name="_Toc505001094"/>
      <w:r w:rsidRPr="003545FC">
        <w:rPr>
          <w:rFonts w:ascii="Garamond" w:eastAsia="MS Mincho" w:hAnsi="Garamond" w:cs="CG Times"/>
          <w:b/>
          <w:bCs/>
          <w:spacing w:val="-4"/>
          <w:sz w:val="24"/>
          <w:lang w:val="sq-AL"/>
        </w:rPr>
        <w:t>MBI SHTYRJEN E AFATIT TË TARIFËS SË PËRKOHSHME TË TRANSMETIMIT TË GAZIT NATYROR NGA SHOQËRIA ALBGAZ SHA, MIRATUAR ME VENDIMIN E BORDIT TË ERE-s NR. 90, DATË 7.6.2017, SI DHE KONTRATËS SË TRANSMETIMIT TË GAZIT NATYROR TË LIDHUR MES ALBPETROL SHA DHE ALBGAZ SHA</w:t>
      </w:r>
      <w:bookmarkEnd w:id="6"/>
      <w:bookmarkEnd w:id="7"/>
      <w:bookmarkEnd w:id="8"/>
    </w:p>
    <w:p w:rsidR="004C3AA6" w:rsidRPr="003545FC" w:rsidRDefault="004C3AA6" w:rsidP="004C3AA6">
      <w:pPr>
        <w:pStyle w:val="Hapesira7"/>
        <w:rPr>
          <w:lang w:val="sq-AL"/>
        </w:rPr>
      </w:pPr>
    </w:p>
    <w:p w:rsidR="004C3AA6" w:rsidRPr="003545FC" w:rsidRDefault="004C3AA6" w:rsidP="004C3AA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Në mbështetje të nenit 16, të ligjit nr. 43/2015, “Për sektorin e energjisë elektrike”; si dhe të nenit 16 dhe 17, germa “ç”; 35; 36 dhe 80, pika 8, të ligjit nr. 102/2015, “Për sektorin gazit natyror”; pika 8 e vendimit të Këshillit të Ministrave nr. 848, datë 7.12 2016, “Për krijimin e shoqërisë Albgaz sh.a. dhe për caktimin e autoritetit publik që përfaqëson shtetin si pronar të aksioneve të shoqërisë Albpetrol sh.a. dhe Albgaz sh.a.”; të nenit 15, të “Rregullores për organizimin, funksionimin dhe procedurat e ERE-s”, miratuar me vendimin e bordit nr. 96, datë 17.6.2016, Bordi i Entit Rregullator të Energjisë (ERE), në mbledhjen e tij të datës 10.1.2018, mbasi shqyrtoi relacionin e përgatitur nga drejtoritë teknike, për shtyrjen e afatit të tarifës së përkohshme të transmetimit, si dhe kontratës së transmetimit të gazit natyror të lidhur mes Albpetrol sh.a. dhe Albgaz sh.a.,</w:t>
      </w:r>
    </w:p>
    <w:p w:rsidR="004C3AA6" w:rsidRPr="003545FC" w:rsidRDefault="004C3AA6" w:rsidP="004C3AA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konstatoi se: </w:t>
      </w:r>
    </w:p>
    <w:p w:rsidR="004C3AA6" w:rsidRPr="003545FC" w:rsidRDefault="004C3AA6" w:rsidP="004C3AA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Shoqëria Albgaz sh.a. ka paraqitur në ERE një kërkesë për shtyrjen e afatit të kontratës së transmetimit të gazit natyror, mes shoqërisë Albgaz sh.a. dhe shoqërisë Albpetrol sh.a. me nr. 55/1 prot. i Albgaz sh.a., datë 5.7.2017 dhe nr. 4608 prot. të Albpetrol sh.a., datë 6.7.2017. Kërkesa vjen si rrjedhojë e shterimit të fuqisë juridike të kontratës së nënshkruar dhe të miratuar me vendimin e Bordit të ERE-s nr. 199, datë 24.11.2017.</w:t>
      </w:r>
    </w:p>
    <w:p w:rsidR="004C3AA6" w:rsidRPr="003545FC" w:rsidRDefault="004C3AA6" w:rsidP="004C3AA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Bordi i ERE-s, me vendimin nr. 178, datë 8.11.2017, ka miratuar metodologjinë e llogaritjes së tarifave të rrjetit të transmetimit dhe të shpërndarjes së gazit natyror, në zbatim të së cilës do të miratohet tarifa përfundimtare e transmetimit të gazit natyror.</w:t>
      </w:r>
    </w:p>
    <w:p w:rsidR="004C3AA6" w:rsidRPr="003545FC" w:rsidRDefault="004C3AA6" w:rsidP="004C3AA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Shoqëria Albgaz sh.a., me shkresën nr. 85/1, datë 3.1.2018, ka depozituar në ERE aplikimin për përcaktimin e tarifës së shërbimit të transmetimit të gazit natyror.</w:t>
      </w:r>
    </w:p>
    <w:p w:rsidR="004C3AA6" w:rsidRPr="003545FC" w:rsidRDefault="004C3AA6" w:rsidP="004C3AA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Deri në miratimin e tarifës përfundimtare të shërbimit të transmetimit, procesi kalon përmes konsultimeve apo seancave dëgjimore me palët e interesit  e do të kërkojë kohë.</w:t>
      </w:r>
    </w:p>
    <w:p w:rsidR="004C3AA6" w:rsidRPr="003545FC" w:rsidRDefault="004C3AA6" w:rsidP="004C3AA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Në datë 31.12.2017 ka përfunduar fuqia juridike e vendimit nr. 155, datë 28.9.2017, të Bordit të ERE-s, me të cilin është vendosur mbi lënien në fuqi të vendimit të bordit të ERE-s nr. 90, datë 7.6.2017, “Mbi miratimin e tarifës së përkohshme të transmetimit të gazit natyror nga shoqëria Albgaz sh.a., për periudhën 5.1.2017–20.9.2017 deri më 31.12.2017.</w:t>
      </w:r>
    </w:p>
    <w:p w:rsidR="004C3AA6" w:rsidRPr="003545FC" w:rsidRDefault="004C3AA6" w:rsidP="004C3AA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Në datën 5.1.2018 ka përfunduar afati i kontratës së transmetimit të gazit natyror mes shoqërisë Albgaz sh.a. dhe shoqërisë Albpetrol sh.a., me nr. 55/1 prot. të Albgaz sh.a., datë 5.7.2017 dhe nr. 4608 prot. të Albpetrol sh.a., datë 6.7.2017.</w:t>
      </w:r>
    </w:p>
    <w:p w:rsidR="004C3AA6" w:rsidRPr="003545FC" w:rsidRDefault="004C3AA6" w:rsidP="004C3AA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Shoqëria Albgaz sh.a. nuk mund të ushtrojë aktivitetin e saj pa një tarifë për shërbimin e transmetimit dhe pa një kontratë të ligjshme.</w:t>
      </w:r>
    </w:p>
    <w:p w:rsidR="004C3AA6" w:rsidRPr="003545FC" w:rsidRDefault="004C3AA6" w:rsidP="004C3AA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 Me përcaktimin e një tarife përfundimtare për aktivitetin e transmetimit të gazit natyror, shoqëria Albgaz sh.a., duhet të hartojë një kontratë të re për shërbimin e transmetimit të gazit natyror, e cila të reflektojë parashikimet e legjislacionit në fuqi, si dhe tarifën përfundimtare, siç do të miratohet me vendimin e bordit të ERE-s. </w:t>
      </w:r>
    </w:p>
    <w:p w:rsidR="004C3AA6" w:rsidRPr="003545FC" w:rsidRDefault="004C3AA6" w:rsidP="004C3AA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Për gjithë sa më sipër, bordi i ERE-s</w:t>
      </w:r>
    </w:p>
    <w:p w:rsidR="004C3AA6" w:rsidRPr="003545FC" w:rsidRDefault="004C3AA6" w:rsidP="004C3AA6">
      <w:pPr>
        <w:pStyle w:val="Hapesira7"/>
        <w:rPr>
          <w:lang w:val="sq-AL"/>
        </w:rPr>
      </w:pPr>
    </w:p>
    <w:p w:rsidR="004C3AA6" w:rsidRPr="003545FC" w:rsidRDefault="004C3AA6" w:rsidP="004C3AA6">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VENDOSI:</w:t>
      </w:r>
    </w:p>
    <w:p w:rsidR="004C3AA6" w:rsidRPr="003545FC" w:rsidRDefault="004C3AA6" w:rsidP="004C3AA6">
      <w:pPr>
        <w:pStyle w:val="Hapesira7"/>
        <w:rPr>
          <w:lang w:val="sq-AL"/>
        </w:rPr>
      </w:pPr>
    </w:p>
    <w:p w:rsidR="004C3AA6" w:rsidRPr="003545FC" w:rsidRDefault="004C3AA6" w:rsidP="004C3AA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 Lënien në fuqi të vendimit të bordit të ERE-s nr. 90, datë 7.6.2017, “Mbi miratimin e tarifës së përkohshme të transmetimit të gazit natyror nga shoqëria Albgaz sh.a. deri në datën 31.3.2018.</w:t>
      </w:r>
    </w:p>
    <w:p w:rsidR="004C3AA6" w:rsidRPr="003545FC" w:rsidRDefault="004C3AA6" w:rsidP="004C3AA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lastRenderedPageBreak/>
        <w:t>2. Miratimin e kërkesës së shoqërisë Albgaz sh.a. për ndryshimin e nenit 4 të kontratës së shërbimit të transmetimit të gazit natyror ndërmjet shoqërisë Albgaz sh.a. dhe Albpetrol sh.a., me nr. 55/1 prot. të Albgaz sh.a., datë 5.7.2017 dhe nr. 4608 prot. të Albpetrol sh.a., datë 6.7.2017, miratuar me vendimin e bordit të ERE-s nr. 199, datë 24.11.2017, si më poshtë:</w:t>
      </w:r>
    </w:p>
    <w:p w:rsidR="004C3AA6" w:rsidRPr="003545FC" w:rsidRDefault="004C3AA6" w:rsidP="004C3AA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Afati i kësaj kontratë shteron më 31.3.2018. Kjo kontratë mund të zgjidhet përpara afatit me një njoftim paraprak me shkrim nga secila palë (2) muaj përpara datës së zgjidhjes, si dhe në çdo rast tjetër që parashikohet në këtë kontratë.</w:t>
      </w:r>
    </w:p>
    <w:p w:rsidR="004C3AA6" w:rsidRPr="003545FC" w:rsidRDefault="004C3AA6" w:rsidP="004C3AA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3. Shoqëria Albgaz sh.a. të depozitojë në ERE, draftin e kontratës së shërbimit të transmetimit të gazit natyror për vitin 2018, jo më vonë se 30 ditë nga marrja e këtij vendimi. </w:t>
      </w:r>
    </w:p>
    <w:p w:rsidR="004C3AA6" w:rsidRPr="003545FC" w:rsidRDefault="004C3AA6" w:rsidP="004C3AA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4. Drejtoria juridike të njoftojë palët e interesuara për vendimin e bordit të ERE-s. </w:t>
      </w:r>
    </w:p>
    <w:p w:rsidR="004C3AA6" w:rsidRPr="003545FC" w:rsidRDefault="004C3AA6" w:rsidP="004C3AA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Ky vendim hyn në fuqi menjëherë. </w:t>
      </w:r>
    </w:p>
    <w:p w:rsidR="004C3AA6" w:rsidRPr="003545FC" w:rsidRDefault="004C3AA6" w:rsidP="004C3AA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Ky vendim botohet në Fletoren Zyrtare. </w:t>
      </w:r>
    </w:p>
    <w:p w:rsidR="004C3AA6" w:rsidRPr="003545FC" w:rsidRDefault="004C3AA6" w:rsidP="004C3AA6">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Ky vendim mund të ankimohet në Gjykatën Administrative Tiranë, brenda 45 ditëve kalendarike nga botimi në Fletoren Zyrtare. </w:t>
      </w:r>
    </w:p>
    <w:p w:rsidR="004C3AA6" w:rsidRPr="003545FC" w:rsidRDefault="004C3AA6" w:rsidP="004C3AA6">
      <w:pPr>
        <w:pStyle w:val="Hapesira7"/>
        <w:rPr>
          <w:lang w:val="sq-AL" w:eastAsia="en-GB"/>
        </w:rPr>
      </w:pPr>
    </w:p>
    <w:p w:rsidR="004C3AA6" w:rsidRPr="003545FC" w:rsidRDefault="004C3AA6" w:rsidP="004C3AA6">
      <w:pPr>
        <w:widowControl w:val="0"/>
        <w:spacing w:after="0" w:line="240" w:lineRule="auto"/>
        <w:jc w:val="right"/>
        <w:rPr>
          <w:rFonts w:ascii="Garamond" w:eastAsia="MS Mincho" w:hAnsi="Garamond" w:cs="CG Times"/>
          <w:spacing w:val="-4"/>
          <w:sz w:val="24"/>
          <w:lang w:val="sq-AL"/>
        </w:rPr>
      </w:pPr>
      <w:r w:rsidRPr="003545FC">
        <w:rPr>
          <w:rFonts w:ascii="Garamond" w:eastAsia="MS Mincho" w:hAnsi="Garamond" w:cs="CG Times"/>
          <w:spacing w:val="-4"/>
          <w:sz w:val="24"/>
          <w:lang w:val="sq-AL"/>
        </w:rPr>
        <w:t>KRYETARI</w:t>
      </w:r>
    </w:p>
    <w:p w:rsidR="004C3AA6" w:rsidRPr="003545FC" w:rsidRDefault="004C3AA6" w:rsidP="004C3AA6">
      <w:pPr>
        <w:widowControl w:val="0"/>
        <w:spacing w:after="0" w:line="240" w:lineRule="auto"/>
        <w:jc w:val="right"/>
        <w:rPr>
          <w:rFonts w:ascii="Garamond" w:eastAsia="MS Mincho" w:hAnsi="Garamond" w:cs="CG Times"/>
          <w:b/>
          <w:spacing w:val="-4"/>
          <w:sz w:val="24"/>
          <w:lang w:val="sq-AL"/>
        </w:rPr>
      </w:pPr>
      <w:r w:rsidRPr="003545FC">
        <w:rPr>
          <w:rFonts w:ascii="Garamond" w:eastAsia="MS Mincho" w:hAnsi="Garamond" w:cs="CG Times"/>
          <w:b/>
          <w:spacing w:val="-4"/>
          <w:sz w:val="24"/>
          <w:lang w:val="sq-AL"/>
        </w:rPr>
        <w:t xml:space="preserve"> Petrit Ahmeti</w:t>
      </w:r>
    </w:p>
    <w:p w:rsidR="00313A60" w:rsidRDefault="00313A60">
      <w:bookmarkStart w:id="9" w:name="_GoBack"/>
      <w:bookmarkEnd w:id="9"/>
    </w:p>
    <w:sectPr w:rsidR="00313A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AA6"/>
    <w:rsid w:val="00313A60"/>
    <w:rsid w:val="004C3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AA6"/>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4C3AA6"/>
    <w:pPr>
      <w:widowControl w:val="0"/>
      <w:spacing w:after="0" w:line="240" w:lineRule="auto"/>
    </w:pPr>
    <w:rPr>
      <w:rFonts w:ascii="Garamond" w:eastAsia="MS Mincho" w:hAnsi="Garamond" w:cs="CG Times"/>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AA6"/>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4C3AA6"/>
    <w:pPr>
      <w:widowControl w:val="0"/>
      <w:spacing w:after="0" w:line="240" w:lineRule="auto"/>
    </w:pPr>
    <w:rPr>
      <w:rFonts w:ascii="Garamond" w:eastAsia="MS Mincho" w:hAnsi="Garamond" w:cs="CG Times"/>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697</Words>
  <Characters>3974</Characters>
  <Application>Microsoft Office Word</Application>
  <DocSecurity>0</DocSecurity>
  <Lines>33</Lines>
  <Paragraphs>9</Paragraphs>
  <ScaleCrop>false</ScaleCrop>
  <Company/>
  <LinksUpToDate>false</LinksUpToDate>
  <CharactersWithSpaces>4662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2018-01-30T15:22:00Z</dcterms:created>
  <dcterms:modified xsi:type="dcterms:W3CDTF">2018-01-30T15:23:00Z</dcterms:modified>
</cp:coreProperties>
</file>