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>Nr. 102, datë 30.4.2018</w:t>
      </w:r>
    </w:p>
    <w:p w:rsidR="006C413F" w:rsidRDefault="006C413F" w:rsidP="006C413F">
      <w:pPr>
        <w:pStyle w:val="Hapesira7"/>
        <w:rPr>
          <w:lang w:val="sq-AL"/>
        </w:rPr>
      </w:pP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 xml:space="preserve">MBI FILLIMIN E PROCEDURËS 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 xml:space="preserve">PËR MIRATIMIN E “KONTRATËS 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 xml:space="preserve">PËR SIGURIMIN E SHËRBIMEVE TË BALANCIMIT (KAPACITETIT REZERVË DHE ENERGJISË BALANCUESE) 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 xml:space="preserve">TË SISTEMIT ELEKTROENERGJETIK 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 xml:space="preserve">PËR PERIUDHËN KOHORE 1.1.2018–31.12.2018” MIDIS OST SHA </w:t>
      </w:r>
    </w:p>
    <w:p w:rsidR="006C413F" w:rsidRDefault="006C413F" w:rsidP="006C413F">
      <w:pPr>
        <w:pStyle w:val="NeniTitull"/>
        <w:rPr>
          <w:lang w:val="sq-AL"/>
        </w:rPr>
      </w:pPr>
      <w:r>
        <w:rPr>
          <w:lang w:val="sq-AL"/>
        </w:rPr>
        <w:t>DHE KESH SHA</w:t>
      </w:r>
    </w:p>
    <w:p w:rsidR="006C413F" w:rsidRDefault="006C413F" w:rsidP="006C413F">
      <w:pPr>
        <w:pStyle w:val="Hapesira7"/>
        <w:rPr>
          <w:lang w:val="sq-AL"/>
        </w:rPr>
      </w:pP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16, 20, germa “h” dhe nenit 62, pika 3, të ligjit nr. 43/2015, “Për sektorin e energjisë elektrike”, i ndryshuar;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i ndryshuar; “Rregullave të përkohshme për mekanizmin balancues të energjisë elektrike”, miratuar me vendimin e bordit të ERE-s nr. 193, datë 24.11.2017, si dhe nenit 19 të “Rregullave të organizimit, funksionimit dhe procedurave të ERE-s”, miratuar me vendimin e bordit të ERE-s nr. 96, datë 23.6.2016, bordi i ERE-s në mbledhjen e tij të datës 30.4.2018, mbasi shqyrtoi relacionin e drejtorive teknike në lidhje me kontratën nr. 1740/1 prot., datë 29.3.2018 i KESH sh.a. dhe nr. 2358 prot., datë 29.3.2018, i OST sh.a., “Për sigurimin e shërbimeve të balancimit (kapacitetit rezervë dhe energjisë balancuese) të sistemit elektroenergjetik për periudhën kohore 1.1.2018–31.12.2018, midis OST sh.a. dhe KESH sh.a.”,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konstatoi se: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1740/2 prot., datë 30.3.2018, shoqëria KESH sh.a. ka dërguar në ERE kërkesën për miratimin e kontratës me nr. 1740/1, datë 29.3.2018 për shoqërinë KESH sh.a. dhe nr. 2358 prot., për shoqërinë OST sh.a. “Për sigurimin e shërbimeve të balancimit (kapacitetit rezervë dhe energjisë balancuese) të sistemit elektroenergjetik”, për periudhën 1.1.2018–31.12.2018, të nënshkruar nga shoqëritë OST sh.a. dhe KESH sh.a.”.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në zbatim të neneve 20, germa “h”, të ligjit nr. 43/2015, “Për sektorin e energjisë elektrike”, ka autoritetin për të miratuar kushtet e përgjithshme të kontratave për shërbimet e rregulluara, të ofruara nga pjesëmarrësit e tregut, të ngarkuar me detyrimin e shërbimit publik.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vendimin nr. 194, datë 30.12.2016, ka vendosur “Miratimin e kërkesës së shoqërisë OST sh.a. lidhur me mbulimin e humbjeve në rrjetin e transmetimit, shërbimet ndihmëse dhe disbalancat” për periudhën 1.1.2018–31.12.2018”.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OST sh.a. në korrespondencë zyrtare ka bërë me dije se shërbimet ndihmëse dhe të balancimit mund të sigurohen vetëm nga njësitë gjeneruese në kaskadën e lumit Drin, Fierzë dhe Vau i Dejës. Subjektet e tjera, të cilët kanë ndërtuar njësi gjenerimi të energjisë elektrike nuk kanë të instaluara pajisjet e nevojshme për të realizuar këtë proces. OST sh.a. bën me dije se KESH sh.a. është siguruesi më eficient dhe konstant i energjisë elektrike për qëllimet sa më sipër shpjeguar, e që nuk rëndon në rritjen e kostove të OST sh.a.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Ministria e Infrastrukturës dhe Energjisë, me shkresën nr. 3752/1 prot., datë 26.12.2017 ka sugjeruar duke iu përmbajtur parashikimeve të ligjit nr. 43/2015 “Për sektorin e energjisë elektrike”, i ndryshuar, që çmimi i vendosur sipas rregullave të tregut për sa i përket kontratës dypalëshe për sigurimin e shërbimit të balancimit dhe shërbimeve ndihmëse ndërmjet KESH sh.a. dhe OST sh.a., duhet të bazohet në çmimin mesatar vjetor të ditës në avancë (DAM) të Bursës Hungareze HUPX në momentin e nënshkrimit së kontratës dypalëshe.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Kontrata e dërguar nga shoqëria KESH sh.a. dhe e nënshkruar nga përfaqësuesit e të dyja palëve, në tërësinë e saj është në përputhje me ligjin nr. 43/2015 “Për sektorin e energjisë elektrike”; me VKM-në nr. 244, datë 30.3.2015 “Kushtet për vendosjen e detyrimit të shërbimit publik, që do të zbatohen ndaj të </w:t>
      </w:r>
      <w:r>
        <w:rPr>
          <w:spacing w:val="-4"/>
          <w:lang w:val="sq-AL"/>
        </w:rPr>
        <w:lastRenderedPageBreak/>
        <w:t xml:space="preserve">licencuarve në sektorin e energjisë elektrike, të cilët ushtrojnë aktivitetin e prodhimit, transmetimit, shpërndarjes dhe furnizimit me energji elektrike”, i ndryshuar; “Rregullat e përkohshme të tregut të energjisë elektrike”, miratuar me vendimin e bordit të ERE-s nr. 139, datë 25.8.2016; “Rregullat e përkohshme për mekanizmin balancues të energjisë elektrike”, miratuar me vendimin e bordit të ERE-s nr. 193, datë </w:t>
      </w:r>
      <w:r>
        <w:rPr>
          <w:lang w:val="sq-AL"/>
        </w:rPr>
        <w:t xml:space="preserve">24.11.2017; “Kodin e Transmetimit”, miratuar me vendimin e bordit të ERE-s nr. 186 datë 10.11.2017; vendimet nr. 23, datë 25.3.2009 dhe nr. 34, datë 13.05.2014, me të cilat ERE ka vendosur rinovimin përkatësisht të licencave për prodhimin dhe tregtimin të energjisë elektrike, </w:t>
      </w:r>
      <w:r>
        <w:rPr>
          <w:spacing w:val="-4"/>
          <w:lang w:val="sq-AL"/>
        </w:rPr>
        <w:t>për KESH sh.a. (ndryshuar me vendimin nr. 97, datë 17.6.2016, “Mbi miratimin e licencës së tregtimit të energjisë elektrike” dhe vendimin nr. 99, datë 17.6.2016, “Mbi miratimin e licencës së prodhimit të energjisë elektrike”, vendimin e bordit të ERE-s nr. 43, datë 15.3.2017, “Mbi miratimin përfundimtar të certifikimit të Operatorit të Sistemit të Transmetimit të Energjisë Elektrike OST sh.a.”, vendimin e bordit të ERE-s nr. 134, datë 6.9.2017 “Mbi licencimin e shoqërisë Operatori i Sistemit të Transmetimit OST sh.a., në aktivitetin e operimit të sistemit të transmetimit të energjisë elektrike”, si dhe ka dakordësinë e tyre.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Palët e kësaj kontrate janë subjekte juridike të legjitimuara për nënshkrimin e kontratës “Për sigurimin e shërbimeve të balancimit kapacitetit rezervë dhe energjisë balancuese) të sistemit elektroenergjetik për periudhën kohore 1.1.2018–31.12.2018” midis OST sh.a. dhe KESH sh.a.”, duke pasur parasysh që licenca e shoqërisë OST sh.a., në aktivitetin e transmetimit të energjisë elektrike është rinovuar me vendimin e bordit të ERE-s nr. 134, datë 6.9.2017 dhe licenca e shoqërisë KESH sh.a. në aktivitetin e prodhimit të energjisë elektrike është rinovuar me vendimin e bordit të ERE-s, nr. 99, datë 17.6.2016.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Çmimi për sigurimin e kapacitetit të rezervës së restaurimit të frekuencës në drejtim ngritje/ulje është 270 lekë/mw/h. Çmimi për sigurimin e kapacitetit të rezervës zëvendësuese (RR) është 400 lekë/mw/h. Çmimi i ofrimit të energjisë balancuese është ai i miratuar me vendimin e bordit të ERE-s nr. 193, datë 24.11.2017 “Mbi miratimin e rregullave të përkohshme për mekanizmin balancues të energjisë elektrike”.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6C413F" w:rsidRDefault="006C413F" w:rsidP="006C413F">
      <w:pPr>
        <w:pStyle w:val="Hapesira7"/>
        <w:rPr>
          <w:spacing w:val="-4"/>
          <w:lang w:val="sq-AL"/>
        </w:rPr>
      </w:pPr>
    </w:p>
    <w:p w:rsidR="006C413F" w:rsidRDefault="006C413F" w:rsidP="006C413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C413F" w:rsidRDefault="006C413F" w:rsidP="006C413F">
      <w:pPr>
        <w:pStyle w:val="Hapesira7"/>
        <w:rPr>
          <w:spacing w:val="-4"/>
          <w:lang w:val="sq-AL"/>
        </w:rPr>
      </w:pP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miratimin e kontratës “Për sigurimin e shërbimeve të balancimit (kapacitetit rezervë dhe energjisë balancuese) të sistemit elektroenergjetik për periudhën kohore 1.1.2018–31.12.2018” midis OST sh.a. dhe KESH sh.a.”.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Drejtoria Juridike dhe e Mbrojtjes së Konsumatorit të njoftojë shoqëritë KESH sh.a. dhe OST sh.a., Ministrinë e Infrastrukturës dhe Energjisë, Autoritetin e Konkurrencës, për vendimin e bordit të ERE-s. </w:t>
      </w:r>
      <w:bookmarkStart w:id="0" w:name="_GoBack"/>
      <w:bookmarkEnd w:id="0"/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6C413F" w:rsidRDefault="006C413F" w:rsidP="006C41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6C413F" w:rsidRDefault="006C413F" w:rsidP="006C413F">
      <w:pPr>
        <w:pStyle w:val="Paragrafi"/>
        <w:rPr>
          <w:spacing w:val="-4"/>
          <w:sz w:val="12"/>
          <w:lang w:val="sq-AL"/>
        </w:rPr>
      </w:pPr>
    </w:p>
    <w:p w:rsidR="006C413F" w:rsidRDefault="006C413F" w:rsidP="006C413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6C413F" w:rsidRDefault="006C413F" w:rsidP="006C413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663336" w:rsidRDefault="00663336"/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3F"/>
    <w:rsid w:val="00663336"/>
    <w:rsid w:val="006C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927AD-8774-401E-AE8D-61B53B07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C41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C41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C413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C41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41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C413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1020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2018-05-21T13:58:00Z</dcterms:created>
  <dcterms:modified xsi:type="dcterms:W3CDTF">2018-05-21T13:59:00Z</dcterms:modified>
</cp:coreProperties>
</file>