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F1C" w:rsidRDefault="002B6F1C" w:rsidP="002B6F1C">
      <w:pPr>
        <w:pStyle w:val="NeniTitull"/>
        <w:keepNext w:val="0"/>
        <w:rPr>
          <w:i/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2B6F1C" w:rsidRDefault="002B6F1C" w:rsidP="002B6F1C">
      <w:pPr>
        <w:pStyle w:val="NeniTitull"/>
        <w:keepNext w:val="0"/>
        <w:rPr>
          <w:i/>
          <w:spacing w:val="-4"/>
          <w:lang w:val="sq-AL"/>
        </w:rPr>
      </w:pPr>
      <w:r>
        <w:rPr>
          <w:spacing w:val="-4"/>
          <w:lang w:val="sq-AL"/>
        </w:rPr>
        <w:t>Nr. 168, datë 19.7.2018</w:t>
      </w:r>
    </w:p>
    <w:p w:rsidR="002B6F1C" w:rsidRDefault="002B6F1C" w:rsidP="002B6F1C">
      <w:pPr>
        <w:pStyle w:val="NeniTitull"/>
        <w:keepNext w:val="0"/>
        <w:rPr>
          <w:spacing w:val="-4"/>
          <w:sz w:val="14"/>
          <w:lang w:val="sq-AL"/>
        </w:rPr>
      </w:pPr>
    </w:p>
    <w:p w:rsidR="002B6F1C" w:rsidRDefault="002B6F1C" w:rsidP="002B6F1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MBI </w:t>
      </w:r>
      <w:r>
        <w:rPr>
          <w:caps/>
          <w:spacing w:val="-4"/>
          <w:lang w:val="sq-AL"/>
        </w:rPr>
        <w:t>MIRATIMIN E ndryshimeve të propozuara nga TAP AG në metodologjinë e Tarifave të TAP Ag, të miratuar me Vendimin e ERE-</w:t>
      </w:r>
      <w:r>
        <w:rPr>
          <w:spacing w:val="-4"/>
          <w:lang w:val="sq-AL"/>
        </w:rPr>
        <w:t>s</w:t>
      </w:r>
      <w:r>
        <w:rPr>
          <w:caps/>
          <w:spacing w:val="-4"/>
          <w:lang w:val="sq-AL"/>
        </w:rPr>
        <w:t xml:space="preserve"> nr. 127, datë 7.11.2013</w:t>
      </w:r>
    </w:p>
    <w:p w:rsidR="002B6F1C" w:rsidRDefault="002B6F1C" w:rsidP="002B6F1C">
      <w:pPr>
        <w:pStyle w:val="Paragrafi"/>
        <w:rPr>
          <w:spacing w:val="-4"/>
          <w:sz w:val="14"/>
          <w:lang w:val="sq-AL"/>
        </w:rPr>
      </w:pP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</w:t>
      </w:r>
      <w:r>
        <w:rPr>
          <w:i/>
          <w:spacing w:val="-4"/>
          <w:lang w:val="sq-AL"/>
        </w:rPr>
        <w:t xml:space="preserve"> </w:t>
      </w:r>
      <w:r>
        <w:rPr>
          <w:spacing w:val="-4"/>
          <w:lang w:val="sq-AL"/>
        </w:rPr>
        <w:t xml:space="preserve">nenit 16, të ligjit nr. 43/2015, “Për sektorin e energjisë elektrike”, nenit 38, të ligjit nr. 102/2015, “Për sektorin e gazit natyror”, paragrafit 4.2, pika 1 e </w:t>
      </w:r>
      <w:r>
        <w:rPr>
          <w:i/>
          <w:spacing w:val="-4"/>
          <w:lang w:val="sq-AL"/>
        </w:rPr>
        <w:t>Final Joint Opinion</w:t>
      </w:r>
      <w:r>
        <w:rPr>
          <w:spacing w:val="-4"/>
          <w:lang w:val="sq-AL"/>
        </w:rPr>
        <w:t xml:space="preserve">, miratuar me vendimin nr. 64, datë 13.6.2013, si dhe nenit 15 të “Rregullores për organizimin, funksionimin dhe procedurave të ERE-s”, miratuar me vendimin e bordit të ERE-s nr. 96, datë 17.6.2016, bordi i ERE-s në mbledhjen e tij të datës 19.7.2018, mbasi shqyrtoi relacionin e përgatitur nga drejtoritë teknike mbi miratimin e ndryshimeve të propozuara nga TAP AG në Kodin e Tarifave të TAP-it, të miratuar me vendimin e ERE-s nr. 127, datë 7.11.2013, 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Bazuar në autoritetin që i është dhënë dhe në përputhje me përcaktimet e ligjit nr. 102/2015, “Për sektorin e gazit natyror”, ERE rregullon çështjet që lidhen ndër të tjera me përjashtimin e aksesit të palëve të treta.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Rregullimi i çështjeve që lidhen me përjashtimin e aksesit të palëve të treta, bazohet në përcaktimet e: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Direktivës 2009/73/EC të Parlamentit Evropian dhe të Këshillit, të datës 13 korrik 2009 (në tekstin në vijim: direktiva); 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Rregullores 713/2009/CE të Parlamentit Evropian dhe të Këshillit, të datës 13 korrik 2009 (në tekstin e mëtejmë: rregullorja ACER ); 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Rregullores 715/2009/CE të Parlamentit Evropian dhe të Këshillit, të datës 13 korrik 2009; 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Rregullores së Parlamentit Evropian dhe Komisionit, e datës 11 maj 2016 (rregullore EU 2016/792); 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Vendimit nr. 27, datë 1.3.2013, të Bordit të Komisionerëve të ERE-s, “Për miratimin e përjashtimit të kushtëzuar të kompanisë TAP AG prej kërkesave të neneve 9, 32 dhe 41(6), (8) dhe (10) të direktivës 2009/73/EC për projektin Trans Adriatik Pipeline”;</w:t>
      </w:r>
    </w:p>
    <w:p w:rsidR="002B6F1C" w:rsidRDefault="002B6F1C" w:rsidP="002B6F1C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- Vendimit nr. 64, datë 13.6.2013, të Bordit të Komisionerëve të ERE-s “Për amendimin e vendimit të Bordit të Komisionerëve të ERE-s, nr. 27, datë 1.3.2013, “Për miratimin e përjashtimit të kushtëzuar të kompanisë TAP AG, prej kërkesave të neneve 9, 32 dhe 41(6), (8) dhe (10) të direktivës 2009/73/EC për projektin Trans Adriatik Pipeline”, për marrjen në konsideratë të Opinionit të Sekretariatit të Komunitetit të Energjisë (nr. 1/2013) dhe vendimit të Komisionit Evropian C(2013)2949”, nëpërmjet miratimit të dokumentit “Opinion i përfundimtar i përbashkët i rregullatorëve të energjisë mbi aplikimin e TAP AG, për përjashtim. Autoriteti për Energjinë Elektrike dhe Gazin (Itali), Enti Rregullator i Energjisë (Shqipëri) dhe Autoriteti Rregullator i Greqisë (Greqi)”/</w:t>
      </w:r>
      <w:r>
        <w:rPr>
          <w:i/>
          <w:spacing w:val="-6"/>
          <w:lang w:val="sq-AL"/>
        </w:rPr>
        <w:t>Final Joint Opinion of the Energy Regulators on TAP AG's Exemption Application Autorita per l'Energia Elettrica e il Gas (Italy), Enti Rregullator i Energjise (Albania) and Regulatory Authority of Greece (Greece)</w:t>
      </w:r>
      <w:r>
        <w:rPr>
          <w:spacing w:val="-6"/>
          <w:lang w:val="sq-AL"/>
        </w:rPr>
        <w:t>;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Sipas paragrafit 4.2, pika 1 e </w:t>
      </w:r>
      <w:r>
        <w:rPr>
          <w:i/>
          <w:spacing w:val="-4"/>
          <w:lang w:val="sq-AL"/>
        </w:rPr>
        <w:t>Final Joint Opinion</w:t>
      </w:r>
      <w:r>
        <w:rPr>
          <w:spacing w:val="-4"/>
          <w:lang w:val="sq-AL"/>
        </w:rPr>
        <w:t xml:space="preserve">, dhënia e përjashtimit nga tarifat e rregulluara për produktet </w:t>
      </w:r>
      <w:r>
        <w:rPr>
          <w:i/>
          <w:spacing w:val="-4"/>
          <w:lang w:val="sq-AL"/>
        </w:rPr>
        <w:t>forward flow</w:t>
      </w:r>
      <w:r>
        <w:rPr>
          <w:spacing w:val="-4"/>
          <w:lang w:val="sq-AL"/>
        </w:rPr>
        <w:t xml:space="preserve"> sanksionohet edhe me plotësimin e disa kushteve, të tilla si: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Metodologjia e Tarifave që do të aplikohet nga TAP AG do jetë subjekt i aprovimit të përbashkët të autoriteteve;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Tarifat duhet të jetë koherente me parimet e formuluara në vendimin e autoriteteve për përjashtim (</w:t>
      </w:r>
      <w:r>
        <w:rPr>
          <w:i/>
          <w:spacing w:val="-4"/>
          <w:lang w:val="sq-AL"/>
        </w:rPr>
        <w:t>Final Joint Opinion</w:t>
      </w:r>
      <w:r>
        <w:rPr>
          <w:spacing w:val="-4"/>
          <w:lang w:val="sq-AL"/>
        </w:rPr>
        <w:t>), që përfshin ndërmjet të tjerave aplikimin e së njëjtës tarifë për të njëjtin produkt, pavarësisht nëse ai është i ofruar prej kapacitetit të përjashtuar nga aksesi i palëve të treta apo prej kapacitetit jo të përjashtuar;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Metodologjia e tarifave të përbëjë një strukturë tarifore të tipit hyrëse-dalëse/</w:t>
      </w:r>
      <w:r>
        <w:rPr>
          <w:i/>
          <w:spacing w:val="-4"/>
          <w:lang w:val="sq-AL"/>
        </w:rPr>
        <w:t>entry-exit</w:t>
      </w:r>
      <w:r>
        <w:rPr>
          <w:spacing w:val="-4"/>
          <w:lang w:val="sq-AL"/>
        </w:rPr>
        <w:t xml:space="preserve">. Ajo duhet të përmbajë mekanizmat e përcaktimit të çmimeve për llojet e ndryshme të produkteve në drejtimin </w:t>
      </w:r>
      <w:r>
        <w:rPr>
          <w:i/>
          <w:spacing w:val="-4"/>
          <w:lang w:val="sq-AL"/>
        </w:rPr>
        <w:t>forward flow</w:t>
      </w:r>
      <w:r>
        <w:rPr>
          <w:spacing w:val="-4"/>
          <w:lang w:val="sq-AL"/>
        </w:rPr>
        <w:t xml:space="preserve"> që kanë kohëzgjatje të ndryshme, janë të vazhdueshëm ose që mund të ndërpriten dhe në varësi të pikës së hyrjes </w:t>
      </w:r>
      <w:r>
        <w:rPr>
          <w:i/>
          <w:spacing w:val="-4"/>
          <w:lang w:val="sq-AL"/>
        </w:rPr>
        <w:t xml:space="preserve">(entry point) </w:t>
      </w:r>
      <w:r>
        <w:rPr>
          <w:spacing w:val="-4"/>
          <w:lang w:val="sq-AL"/>
        </w:rPr>
        <w:t xml:space="preserve">dhe të daljes </w:t>
      </w:r>
      <w:r>
        <w:rPr>
          <w:i/>
          <w:spacing w:val="-4"/>
          <w:lang w:val="sq-AL"/>
        </w:rPr>
        <w:t>(exit point)</w:t>
      </w:r>
      <w:r>
        <w:rPr>
          <w:spacing w:val="-4"/>
          <w:lang w:val="sq-AL"/>
        </w:rPr>
        <w:t>;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Tarifa duhet të reflektojë kostot efikase, të jetë transparente dhe jodiskriminuese;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e) Tarifat duhet të jenë zbritëse në vijim të rritjes së kapaciteteve transportuese që do të përdoren;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f) Tarifa duhet të konsiderojë nivelin e ndryshëm të riskut të investimit fillestar dhe atë të zgjerimit të mëtejshëm kapacitetit.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Paragrafi 4.2, pika 1, e </w:t>
      </w:r>
      <w:r>
        <w:rPr>
          <w:i/>
          <w:spacing w:val="-4"/>
          <w:lang w:val="sq-AL"/>
        </w:rPr>
        <w:t>Final Joint Opinion</w:t>
      </w:r>
      <w:r>
        <w:rPr>
          <w:spacing w:val="-4"/>
          <w:lang w:val="sq-AL"/>
        </w:rPr>
        <w:t xml:space="preserve">, u atribuon autoriteteve edhe detyrën e monitorimit të vazhdueshëm në mënyrë që tarifa e aplikuar nga TAP AG të jetë në përputhje me metodologjinë e tarifave të miratuara. TAP AG duhet të bashkëpunojë me autoritetet për këtë qëllim. 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TAP AG, me letrën e datës 11 tetor 2013, në kuptim të pikës 4.2, pika 1, të</w:t>
      </w:r>
      <w:r>
        <w:rPr>
          <w:i/>
          <w:spacing w:val="-4"/>
          <w:lang w:val="sq-AL"/>
        </w:rPr>
        <w:t xml:space="preserve"> Final Joint Opinon</w:t>
      </w:r>
      <w:r>
        <w:rPr>
          <w:spacing w:val="-4"/>
          <w:lang w:val="sq-AL"/>
        </w:rPr>
        <w:t xml:space="preserve">, ka paraqitur pranë ERE-s një propozim të dokumentit të metodologjisë së tarifave, </w:t>
      </w:r>
      <w:r>
        <w:rPr>
          <w:i/>
          <w:spacing w:val="-4"/>
          <w:lang w:val="sq-AL"/>
        </w:rPr>
        <w:t>TAP Tariff Code</w:t>
      </w:r>
      <w:r>
        <w:rPr>
          <w:spacing w:val="-4"/>
          <w:lang w:val="sq-AL"/>
        </w:rPr>
        <w:t xml:space="preserve">. E njëjta </w:t>
      </w:r>
      <w:r>
        <w:rPr>
          <w:spacing w:val="-4"/>
          <w:lang w:val="sq-AL"/>
        </w:rPr>
        <w:lastRenderedPageBreak/>
        <w:t>kërkesë në të njëjtën kohë dhe e shoqëruar nga i njëjti dokument i është paraqitur për miratim edhe autoriteteve rregullatore të Italisë (AEEG) dhe Greqisë(RAE).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Në këtë kuadër, Enti Rregullator i Energjisë miratoi Metodologjinë e Tarifave për Gazin, me anë të vendimit nr. 127, datë 7.11.2013, “Mbi miratimin e metodologjisë së tarifave </w:t>
      </w:r>
      <w:r>
        <w:rPr>
          <w:i/>
          <w:spacing w:val="-4"/>
          <w:lang w:val="sq-AL"/>
        </w:rPr>
        <w:t>(TAP Tariff Code)</w:t>
      </w:r>
      <w:r>
        <w:rPr>
          <w:spacing w:val="-4"/>
          <w:lang w:val="sq-AL"/>
        </w:rPr>
        <w:t>, të propozuar nga TAP AG, sipas detyrimeve të përcaktuara në “Opinionin e përbashkët përfundimtar/</w:t>
      </w:r>
      <w:r>
        <w:rPr>
          <w:i/>
          <w:spacing w:val="-4"/>
          <w:lang w:val="sq-AL"/>
        </w:rPr>
        <w:t>Final Joint Opinion</w:t>
      </w:r>
      <w:r>
        <w:rPr>
          <w:spacing w:val="-4"/>
          <w:lang w:val="sq-AL"/>
        </w:rPr>
        <w:t>”.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Në fillim të muajit nëntor 2013, autoritetet miratuan, me vendime të veçanta, Kodin e Tarifave të TAP (TAP </w:t>
      </w:r>
      <w:r>
        <w:rPr>
          <w:i/>
          <w:iCs/>
          <w:spacing w:val="-4"/>
          <w:lang w:val="sq-AL"/>
        </w:rPr>
        <w:t>Tariff Code</w:t>
      </w:r>
      <w:r>
        <w:rPr>
          <w:spacing w:val="-4"/>
          <w:lang w:val="sq-AL"/>
        </w:rPr>
        <w:t xml:space="preserve">), (vendimin e AEEG 495/2013/R/gas, datë 6.11.2013, vendimin e RAE 531/2013, datë 6.11.2013, vendimin e ERE-s nr. 127, datë 7.11.2013). Kodi i miratuar i tarifave të TAP-it përfshin pikën e mëposhtme: “Transportuesi duhet të marrë miratimin e rregullatorit para se të miratojë ndryshimet te Kodi i Tarifave të TAP-it, si kërkohet nga neni 4.2.1 i Opinionit të Përbashkët”. 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datën 22 qershor 2018, TAP AG u dërgoi një letër autoriteteve ku u kërkonte disa ndryshime te Kodi i Tarifave të TAP-it. Në datën 22 qershor 2018, TAP AG u dërgoi një letër autoriteteve ku u kërkonte disa ndryshime te Kodi i Tarifave të TAP-it. 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Te formula që synon përshkallëzimin e të ardhurave (§2.1), indeksi MUICP (Indeksi i Bashkimit Monetar për Çmimet e Konsumatorëve), si përcaktohet në Rregulloren e Këshillit (EC) nr. 2494/95, datë 23 tetor 1995, është zëvendësuar me HICP (Indekset e Harmonizuara të Çmimeve të Konsumatorëve), si përcaktohen në rregulloren (EU) 2016/792 të Parlamentit Evropian dhe të Këshillit, datë 11 maj 2016, mbi indekset e harmonizuara të çmimeve të konsumatorëve dhe indeksin e çmimit të banesave, siç përcaktohet nga EUROSTAT.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E njëjta formulë që synon përshkallëzimin e të ardhurave të pritshme (§2.1) duhet të përshtatet për vitet e brishta dhe në këtë mënyrë të ardhurat e pritshme qëndrojnë konstante midis viteve të brishta dhe viteve jo të brishta. 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Mekanizmi aktual i rishpërndarjes (si përmendet në paragrafin §5.1) parashikon rishpërndarjen e të ardhurave shtesë dy herë në vit. Ndryshimi parashikon shtrirjen e periudhës së rishpërndarjes me fundin e çdo viti për të mundësuar llogaritjen përfundimtare të të ardhurave shtesë krahasuar me të ardhurat e pritshme të vitit. 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TAP AG u konsultua me transportuesit/ tregtarët ekzistues që kanë nënshkruar </w:t>
      </w:r>
      <w:r>
        <w:rPr>
          <w:i/>
          <w:spacing w:val="-4"/>
          <w:lang w:val="sq-AL"/>
        </w:rPr>
        <w:t>Gas Trasnportation Agreements</w:t>
      </w:r>
      <w:r>
        <w:rPr>
          <w:spacing w:val="-4"/>
          <w:lang w:val="sq-AL"/>
        </w:rPr>
        <w:t xml:space="preserve"> dhe paraqiti rezultatin e tyre pozitiv, të dokumentuar për autoritetet nga TAP AG (lidhja/ankesi C).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Duke konsideruar se: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Ndryshimet e propozuara janë në përputhje me parimet e përmendura tek Opinioni Përfundimtar i Përbashkët dhe, veçanërisht,</w:t>
      </w:r>
      <w:r>
        <w:rPr>
          <w:rFonts w:cs="Times New Roman"/>
          <w:color w:val="212121"/>
          <w:spacing w:val="-4"/>
          <w:lang w:val="sq-AL"/>
        </w:rPr>
        <w:t xml:space="preserve"> ARERA</w:t>
      </w:r>
      <w:r>
        <w:rPr>
          <w:spacing w:val="-4"/>
          <w:lang w:val="sq-AL"/>
        </w:rPr>
        <w:t xml:space="preserve"> të përmbledhura në pikat nga “a” te “f”.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veçanti ato kanë për qëllim të përmirësojnë saktësinë dhe transparencën e metodologjisë së tarifave dhe nuk paraqesin pengesa të panevojshme për procesin e parashikuar të rezervimit afatshkurtër të kapacitetit;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Aprovimi i këtyre ndryshimeve në Kodin e Tarifave është konsultuar me rregullatorët e Greqisë dhe Italisë, përkatësisht RAE dhe ARERA.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Metodologjia e Tarifave, e amenduar, do të propozohet nga TAP AG te përdoruesit e saj potencialë në momentin e ofertës së produkteve të kapaciteteve dhe për këtë arsye është e nevojshme të mbahen të rezervuara në anekset B dhe C në këtë vendim.</w:t>
      </w:r>
    </w:p>
    <w:p w:rsidR="002B6F1C" w:rsidRDefault="002B6F1C" w:rsidP="002B6F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2B6F1C" w:rsidRDefault="002B6F1C" w:rsidP="002B6F1C">
      <w:pPr>
        <w:pStyle w:val="Paragrafi"/>
        <w:rPr>
          <w:b/>
          <w:spacing w:val="-4"/>
          <w:sz w:val="14"/>
          <w:lang w:val="sq-AL"/>
        </w:rPr>
      </w:pPr>
    </w:p>
    <w:p w:rsidR="002B6F1C" w:rsidRDefault="002B6F1C" w:rsidP="002B6F1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2B6F1C" w:rsidRDefault="002B6F1C" w:rsidP="002B6F1C">
      <w:pPr>
        <w:pStyle w:val="Paragrafi"/>
        <w:rPr>
          <w:rFonts w:cs="Times New Roman"/>
          <w:spacing w:val="-4"/>
          <w:sz w:val="14"/>
          <w:lang w:val="sq-AL"/>
        </w:rPr>
      </w:pPr>
    </w:p>
    <w:p w:rsidR="002B6F1C" w:rsidRDefault="002B6F1C" w:rsidP="002B6F1C">
      <w:pPr>
        <w:pStyle w:val="Paragrafi"/>
        <w:rPr>
          <w:rFonts w:cs="Times New Roman"/>
          <w:color w:val="212121"/>
          <w:spacing w:val="-4"/>
          <w:lang w:val="sq-AL"/>
        </w:rPr>
      </w:pPr>
      <w:r>
        <w:rPr>
          <w:rFonts w:cs="Times New Roman"/>
          <w:spacing w:val="-4"/>
          <w:lang w:val="sq-AL"/>
        </w:rPr>
        <w:t>1. Të miratojë</w:t>
      </w:r>
      <w:r>
        <w:rPr>
          <w:rFonts w:cs="Times New Roman"/>
          <w:bCs/>
          <w:iCs/>
          <w:spacing w:val="-4"/>
          <w:lang w:val="sq-AL"/>
        </w:rPr>
        <w:t xml:space="preserve"> </w:t>
      </w:r>
      <w:r>
        <w:rPr>
          <w:rFonts w:cs="Times New Roman"/>
          <w:spacing w:val="-4"/>
          <w:lang w:val="sq-AL"/>
        </w:rPr>
        <w:t xml:space="preserve">ndryshimet e propozuara nga TAP AG të Metodologjisë së Tarifave </w:t>
      </w:r>
      <w:r>
        <w:rPr>
          <w:rFonts w:cs="Times New Roman"/>
          <w:i/>
          <w:spacing w:val="-4"/>
          <w:lang w:val="sq-AL"/>
        </w:rPr>
        <w:t>(Tap Tariff Code)</w:t>
      </w:r>
      <w:r>
        <w:rPr>
          <w:rFonts w:cs="Times New Roman"/>
          <w:spacing w:val="-4"/>
          <w:lang w:val="sq-AL"/>
        </w:rPr>
        <w:t xml:space="preserve">, të paraqitur nga shoqëria TAP AG, me letrën e datës 22 qershor 2018 (anekset B dhe C), </w:t>
      </w:r>
      <w:r>
        <w:rPr>
          <w:rFonts w:cs="Times New Roman"/>
          <w:color w:val="212121"/>
          <w:spacing w:val="-4"/>
          <w:lang w:val="sq-AL"/>
        </w:rPr>
        <w:t>të shprehur në vendimin e përbashkët me rregullatorët e Greqisë dhe Italisë, respektivisht RAE dhe (anekset A).</w:t>
      </w:r>
    </w:p>
    <w:p w:rsidR="002B6F1C" w:rsidRDefault="002B6F1C" w:rsidP="002B6F1C">
      <w:pPr>
        <w:pStyle w:val="Paragrafi"/>
        <w:rPr>
          <w:rFonts w:cs="Times New Roman"/>
          <w:color w:val="212121"/>
          <w:spacing w:val="-4"/>
          <w:lang w:val="sq-AL"/>
        </w:rPr>
      </w:pPr>
      <w:r>
        <w:rPr>
          <w:rFonts w:cs="Times New Roman"/>
          <w:spacing w:val="-4"/>
          <w:lang w:val="sq-AL"/>
        </w:rPr>
        <w:t>2. Drejtoria Juridike dhe e Mbrojtjes së Konsumatorit të njoftojë TAP AG, Autoritetet Rregullatore të Energjisë së Italisë (</w:t>
      </w:r>
      <w:r>
        <w:rPr>
          <w:rFonts w:cs="Times New Roman"/>
          <w:color w:val="212121"/>
          <w:spacing w:val="-4"/>
          <w:lang w:val="sq-AL"/>
        </w:rPr>
        <w:t>ARERA</w:t>
      </w:r>
      <w:r>
        <w:rPr>
          <w:rFonts w:cs="Times New Roman"/>
          <w:spacing w:val="-4"/>
          <w:lang w:val="sq-AL"/>
        </w:rPr>
        <w:t xml:space="preserve">), Ministrinë e Infrastrukturës dhe Energjisë, si dhe palët e interesuara, për marrjen e këtij vendimi. </w:t>
      </w:r>
    </w:p>
    <w:p w:rsidR="002B6F1C" w:rsidRDefault="002B6F1C" w:rsidP="002B6F1C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hyn në fuqi menjëherë. </w:t>
      </w:r>
    </w:p>
    <w:p w:rsidR="002B6F1C" w:rsidRDefault="002B6F1C" w:rsidP="002B6F1C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botohet në Fletoren Zyrtare me përjashtim të anekseve B dhe C. </w:t>
      </w:r>
    </w:p>
    <w:p w:rsidR="002B6F1C" w:rsidRDefault="002B6F1C" w:rsidP="002B6F1C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mund të ankimohet në Gjykatën Administrative Tiranë, brenda 45 ditëve kalendarike nga botimi në Fletoren Zyrtare. </w:t>
      </w:r>
    </w:p>
    <w:p w:rsidR="002B6F1C" w:rsidRDefault="002B6F1C" w:rsidP="002B6F1C">
      <w:pPr>
        <w:pStyle w:val="Paragrafi"/>
        <w:rPr>
          <w:bCs/>
          <w:spacing w:val="-4"/>
          <w:sz w:val="14"/>
          <w:lang w:val="sq-AL"/>
        </w:rPr>
      </w:pPr>
    </w:p>
    <w:p w:rsidR="002B6F1C" w:rsidRDefault="002B6F1C" w:rsidP="002B6F1C">
      <w:pPr>
        <w:pStyle w:val="Paragrafi"/>
        <w:jc w:val="right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>KRYETARI</w:t>
      </w:r>
    </w:p>
    <w:p w:rsidR="002B6F1C" w:rsidRDefault="002B6F1C" w:rsidP="002B6F1C">
      <w:pPr>
        <w:pStyle w:val="Paragrafi"/>
        <w:jc w:val="right"/>
        <w:rPr>
          <w:b/>
          <w:bCs/>
          <w:spacing w:val="-4"/>
          <w:lang w:val="sq-AL"/>
        </w:rPr>
      </w:pPr>
      <w:r>
        <w:rPr>
          <w:b/>
          <w:bCs/>
          <w:spacing w:val="-4"/>
          <w:lang w:val="sq-AL"/>
        </w:rPr>
        <w:t xml:space="preserve"> Petrit Ahmeti</w:t>
      </w:r>
    </w:p>
    <w:p w:rsidR="002B6F1C" w:rsidRDefault="002B6F1C" w:rsidP="002B6F1C">
      <w:pPr>
        <w:widowControl w:val="0"/>
        <w:rPr>
          <w:spacing w:val="-4"/>
          <w:lang w:val="sq-AL"/>
        </w:rPr>
        <w:sectPr w:rsidR="002B6F1C" w:rsidSect="002B6F1C">
          <w:pgSz w:w="11907" w:h="16840"/>
          <w:pgMar w:top="720" w:right="1134" w:bottom="720" w:left="1134" w:header="851" w:footer="851" w:gutter="0"/>
          <w:cols w:space="454"/>
        </w:sectPr>
      </w:pPr>
    </w:p>
    <w:p w:rsidR="002B6F1C" w:rsidRDefault="002B6F1C" w:rsidP="002B6F1C">
      <w:pPr>
        <w:widowControl w:val="0"/>
        <w:rPr>
          <w:spacing w:val="-4"/>
          <w:lang w:val="sq-AL"/>
        </w:rPr>
      </w:pPr>
    </w:p>
    <w:p w:rsidR="002B6F1C" w:rsidRDefault="002B6F1C" w:rsidP="002B6F1C">
      <w:pPr>
        <w:spacing w:after="0"/>
        <w:ind w:firstLine="0"/>
        <w:jc w:val="left"/>
        <w:rPr>
          <w:lang w:val="sq-AL"/>
        </w:rPr>
        <w:sectPr w:rsidR="002B6F1C" w:rsidSect="002B6F1C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2B6F1C" w:rsidRDefault="002B6F1C" w:rsidP="002B6F1C">
      <w:pPr>
        <w:widowControl w:val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5391150" cy="3276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80" t="2609" r="11613" b="65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05475" cy="84010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38" t="3159" r="11676" b="7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67400" cy="8277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03" t="3706" r="10837" b="11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27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B6F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F1C"/>
    <w:rsid w:val="002B6F1C"/>
    <w:rsid w:val="0053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F21222-FC15-4BFA-AAA5-3F0543E5B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6F1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B6F1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B6F1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B6F1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B6F1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B6F1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1322</Words>
  <Characters>7542</Characters>
  <Application>Microsoft Office Word</Application>
  <DocSecurity>0</DocSecurity>
  <Lines>62</Lines>
  <Paragraphs>17</Paragraphs>
  <ScaleCrop>false</ScaleCrop>
  <Company/>
  <LinksUpToDate>false</LinksUpToDate>
  <CharactersWithSpaces>8847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2018-09-11T11:55:00Z</dcterms:created>
  <dcterms:modified xsi:type="dcterms:W3CDTF">2018-09-11T11:56:00Z</dcterms:modified>
</cp:coreProperties>
</file>