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2C2" w:rsidRDefault="002F02C2" w:rsidP="002F02C2">
      <w:pPr>
        <w:pStyle w:val="NeniTitull"/>
        <w:rPr>
          <w:lang w:val="sq-AL"/>
        </w:rPr>
      </w:pPr>
      <w:r>
        <w:rPr>
          <w:lang w:val="sq-AL"/>
        </w:rPr>
        <w:t xml:space="preserve">VENDIM </w:t>
      </w:r>
    </w:p>
    <w:p w:rsidR="002F02C2" w:rsidRDefault="002F02C2" w:rsidP="002F02C2">
      <w:pPr>
        <w:pStyle w:val="NeniTitull"/>
        <w:rPr>
          <w:lang w:val="sq-AL"/>
        </w:rPr>
      </w:pPr>
      <w:r>
        <w:rPr>
          <w:lang w:val="sq-AL"/>
        </w:rPr>
        <w:t>Nr. 188, datë 20.8.2018</w:t>
      </w:r>
    </w:p>
    <w:p w:rsidR="002F02C2" w:rsidRDefault="002F02C2" w:rsidP="002F02C2">
      <w:pPr>
        <w:pStyle w:val="Hapesira7"/>
        <w:rPr>
          <w:lang w:val="sq-AL"/>
        </w:rPr>
      </w:pPr>
    </w:p>
    <w:p w:rsidR="002F02C2" w:rsidRDefault="002F02C2" w:rsidP="002F02C2">
      <w:pPr>
        <w:pStyle w:val="NeniTitull"/>
        <w:rPr>
          <w:lang w:val="sq-AL"/>
        </w:rPr>
      </w:pPr>
      <w:r>
        <w:rPr>
          <w:lang w:val="sq-AL"/>
        </w:rPr>
        <w:t xml:space="preserve">MBI MIRATIMIN E “PROPOZIMIT TË TË GJITHË OST-ve PËR NJË METODOLOGJI TË MODELIT TË PËRBASHKËT TË RRJETIT, NË PËRPUTHJE ME NENIN 18 TË RREGULLORES SË KOMISIONIT (BE) 2016/1719, TË DATËS 26 SHTATOR 2016, PËR KRIJIMIN E NJË UDHËZUESI MBI ALOKIMIN E KAPACITETEVE </w:t>
      </w:r>
    </w:p>
    <w:p w:rsidR="002F02C2" w:rsidRDefault="002F02C2" w:rsidP="002F02C2">
      <w:pPr>
        <w:pStyle w:val="NeniTitull"/>
        <w:rPr>
          <w:lang w:val="sq-AL"/>
        </w:rPr>
      </w:pPr>
      <w:r>
        <w:rPr>
          <w:lang w:val="sq-AL"/>
        </w:rPr>
        <w:t>NË AVANCË”</w:t>
      </w:r>
    </w:p>
    <w:p w:rsidR="002F02C2" w:rsidRDefault="002F02C2" w:rsidP="002F02C2">
      <w:pPr>
        <w:pStyle w:val="Hapesira7"/>
        <w:rPr>
          <w:lang w:val="sq-AL"/>
        </w:rPr>
      </w:pPr>
    </w:p>
    <w:p w:rsidR="002F02C2" w:rsidRDefault="002F02C2" w:rsidP="002F02C2">
      <w:pPr>
        <w:pStyle w:val="Paragrafi"/>
        <w:rPr>
          <w:lang w:val="sq-AL"/>
        </w:rPr>
      </w:pPr>
      <w:r>
        <w:rPr>
          <w:lang w:val="sq-AL"/>
        </w:rPr>
        <w:t>Në mbështetje të neneve 16, 7, 56 dhe 63, të ligjit nr. 43/2015, “Për sektorin e energjisë elektrike”; nenit 18 të Rregullores së Komisionit (BE) 2016/1719, të datës 26 shtator 2016; nenit 26 të “Rregullores për organizimin, funksionimin dhe procedurat e ERE-s të ERE-s”, miratuar me vendimin të Bordit të ERE-s nr. 96, datë 17.6.2016, Bordi i ERE-s në mbledhjen e tij të datës 20.8.2018, mbasi shqyrtoi relacionin e përgatitur nga drejtoritë teknike, mbi miratimin e “Propozimit të të gjithë OST-ve për një Metodologji të Modelit të Përbashkët të Rrjetit, në përputhje me nenin 18 të Rregullores së Komisionit (BE) 2016/1719, të datës 26 shtator 2016, për krijimin e një udhëzuesi mbi alokimin e kapaciteteve në avancë”,</w:t>
      </w:r>
    </w:p>
    <w:p w:rsidR="002F02C2" w:rsidRDefault="002F02C2" w:rsidP="002F02C2">
      <w:pPr>
        <w:pStyle w:val="Paragrafi"/>
        <w:rPr>
          <w:lang w:val="sq-AL"/>
        </w:rPr>
      </w:pPr>
      <w:r>
        <w:rPr>
          <w:lang w:val="sq-AL"/>
        </w:rPr>
        <w:t>konstatoi se:</w:t>
      </w:r>
    </w:p>
    <w:p w:rsidR="002F02C2" w:rsidRDefault="002F02C2" w:rsidP="002F02C2">
      <w:pPr>
        <w:pStyle w:val="Paragrafi"/>
        <w:rPr>
          <w:lang w:val="sq-AL"/>
        </w:rPr>
      </w:pPr>
      <w:r>
        <w:rPr>
          <w:lang w:val="sq-AL"/>
        </w:rPr>
        <w:t>- OST sh.a., me shkresën nr. DOS/DO/SMZ 3886 prot., datë 25.5.2018, ka përcjellë në ERE për miratim “Propozimin e të gjithë OST-ve për një metodologji të modelit të përbashkët të rrjetit, në përputhje me nenin 18 të Rregullores së Komisionit (BE) 2016/1719, të datës 26 shtator 2016, për krijimin e një udhëzuesi mbi alokimin e kapaciteteve në avancë”, propozim i cili vjen në zbatim të dispozitave të ligjit 43/2015, “Për sektorin e energjisë elektrike”, të ndryshuar me ligjin 7/2018, përkatësisht neneve 56 dhe 63, si dhe në përmbushje të detyrimeve të përcaktuara në Kodin e Transmetimit të miratuar me vendimin e Bordit të ERE-s nr. 186, datë 10.11.2017, përkatësisht nenit 104 “Modelet individuale të rrjetit, modelet e bashkuara të rrjetit dhe analizat e sigurisë operative”, si dhe nenet 58, 59, 60, 61, 62 të tij.</w:t>
      </w:r>
    </w:p>
    <w:p w:rsidR="002F02C2" w:rsidRDefault="002F02C2" w:rsidP="002F02C2">
      <w:pPr>
        <w:pStyle w:val="Paragrafi"/>
        <w:rPr>
          <w:lang w:val="sq-AL"/>
        </w:rPr>
      </w:pPr>
      <w:r>
        <w:rPr>
          <w:lang w:val="sq-AL"/>
        </w:rPr>
        <w:t>- Bordi i ERE-s, me vendimin nr. 155, datë 3.7.2018, filloi procedurën për miratimin e “Propozimit të gjithë OST-ve për një metodologji të modelit të përbashkët të rrjetit, në përputhje me nenin 18, të Rregullores së Komisionit (BE) 2016/1719, të datës 26 shtator 2016 për krijimin e një udhëzuesi mbi alokimin e kapaciteteve në avancë”.</w:t>
      </w:r>
    </w:p>
    <w:p w:rsidR="002F02C2" w:rsidRDefault="002F02C2" w:rsidP="002F02C2">
      <w:pPr>
        <w:pStyle w:val="Paragrafi"/>
        <w:rPr>
          <w:lang w:val="sq-AL"/>
        </w:rPr>
      </w:pPr>
      <w:r>
        <w:rPr>
          <w:lang w:val="sq-AL"/>
        </w:rPr>
        <w:t>- Në vijim të kësaj vendimmarrje, me shkresën nr. 55/51 prot., datë 12.7.2018, u publikua njoftimi në media për fillimin e kësaj procedure, si dhe me shkresën nr. 422/1 prot., datë 16.7.2018, u dërgua për dijeni pranë palëve të interesit vendimi nr. 155, datë 3.7.2018.</w:t>
      </w:r>
    </w:p>
    <w:p w:rsidR="002F02C2" w:rsidRDefault="002F02C2" w:rsidP="002F02C2">
      <w:pPr>
        <w:pStyle w:val="Paragrafi"/>
        <w:rPr>
          <w:lang w:val="sq-AL"/>
        </w:rPr>
      </w:pPr>
      <w:r>
        <w:rPr>
          <w:lang w:val="sq-AL"/>
        </w:rPr>
        <w:t>- Dokumenti është një propozim i përbashkët i krijuar nga të gjithë operatorët e sistemeve të transmetimit, në lidhje me krijimin e një metodologjie të modelit të përbashkët të rrjetit, përbëhet nga 25 nene dhe saktëson mënyrën e krijimit të modeleve individuale të rrjetit nga secila OST, të dhënat që duhet të përmbajnë modelet përfshi topologjinë, ngarkesën, gjenerimin, si dhe mënyrën e bashkimit të këtyre modeleve në një të vetëm. Në këtë mënyrë do të bëhet në nivel evropian analiza e sigurisë me qëllim përcaktimin e kapaciteteve të lira në avancë por edhe ato të ditës në avancë apo brenda ditës. Gjithashtu, dokumenti përcakton krijimin e një platforme të vetme informacioni e cila do të shërbejë për grumbullimin e modeleve individuale të rrjetit dhe bashkimin e tyre në modelin e përbashkët të rrjetit. Gjithashtu, platforma do të kryejë analizën e flukseve për përcaktimin e kapaciteteve ndërkufitare.</w:t>
      </w:r>
    </w:p>
    <w:p w:rsidR="002F02C2" w:rsidRDefault="002F02C2" w:rsidP="002F02C2">
      <w:pPr>
        <w:pStyle w:val="Paragrafi"/>
        <w:rPr>
          <w:lang w:val="sq-AL"/>
        </w:rPr>
      </w:pPr>
      <w:r>
        <w:rPr>
          <w:lang w:val="sq-AL"/>
        </w:rPr>
        <w:t xml:space="preserve">- Kjo metodologji do të zbatohet për të gjithë OST-të e vendeve anëtare të Bashkimit Evropian të cilët e përcjellin për miratim tek autoritet respektive rregullatore. </w:t>
      </w:r>
    </w:p>
    <w:p w:rsidR="002F02C2" w:rsidRDefault="002F02C2" w:rsidP="002F02C2">
      <w:pPr>
        <w:pStyle w:val="Paragrafi"/>
        <w:rPr>
          <w:lang w:val="sq-AL"/>
        </w:rPr>
      </w:pPr>
      <w:r>
        <w:rPr>
          <w:lang w:val="sq-AL"/>
        </w:rPr>
        <w:t xml:space="preserve">- Nevoja për implementimin e kësaj rregulloreje është theksuar edhe në mbledhjen Grupit të </w:t>
      </w:r>
      <w:r>
        <w:rPr>
          <w:lang w:val="sq-AL"/>
        </w:rPr>
        <w:lastRenderedPageBreak/>
        <w:t>Përhershëm të Nivelit të Lartë, nr. 47, datë 30 qershor 2017, mbajtur në Vjenë.</w:t>
      </w:r>
    </w:p>
    <w:p w:rsidR="002F02C2" w:rsidRDefault="002F02C2" w:rsidP="002F02C2">
      <w:pPr>
        <w:pStyle w:val="Paragrafi"/>
        <w:rPr>
          <w:lang w:val="sq-AL"/>
        </w:rPr>
      </w:pPr>
      <w:r>
        <w:rPr>
          <w:lang w:val="sq-AL"/>
        </w:rPr>
        <w:t xml:space="preserve">Për gjithë sa më sipër, Bordi i ERE-s </w:t>
      </w:r>
    </w:p>
    <w:p w:rsidR="002F02C2" w:rsidRDefault="002F02C2" w:rsidP="002F02C2">
      <w:pPr>
        <w:pStyle w:val="Hapesira7"/>
        <w:rPr>
          <w:lang w:val="sq-AL"/>
        </w:rPr>
      </w:pPr>
    </w:p>
    <w:p w:rsidR="002F02C2" w:rsidRDefault="002F02C2" w:rsidP="002F02C2">
      <w:pPr>
        <w:pStyle w:val="NeniNr"/>
        <w:rPr>
          <w:lang w:val="sq-AL"/>
        </w:rPr>
      </w:pPr>
      <w:r>
        <w:rPr>
          <w:lang w:val="sq-AL"/>
        </w:rPr>
        <w:t>VENDOSI:</w:t>
      </w:r>
    </w:p>
    <w:p w:rsidR="002F02C2" w:rsidRDefault="002F02C2" w:rsidP="002F02C2">
      <w:pPr>
        <w:pStyle w:val="Hapesira7"/>
        <w:rPr>
          <w:lang w:val="sq-AL"/>
        </w:rPr>
      </w:pPr>
    </w:p>
    <w:p w:rsidR="002F02C2" w:rsidRDefault="002F02C2" w:rsidP="002F02C2">
      <w:pPr>
        <w:pStyle w:val="Paragrafi"/>
        <w:rPr>
          <w:lang w:val="sq-AL"/>
        </w:rPr>
      </w:pPr>
      <w:r>
        <w:rPr>
          <w:lang w:val="sq-AL"/>
        </w:rPr>
        <w:t>1. Të miratojë “Propozimin e të gjithë OST-ve për një metodologji të modelit të përbashkët të rrjetit, në përputhje me nenin 18 të Rregullores së Komisionit (BE) 2016/1719, të datës 26 shtator 2016, për krijimin e një udhëzuesi mbi alokimin e kapaciteteve në avancë”.</w:t>
      </w:r>
    </w:p>
    <w:p w:rsidR="002F02C2" w:rsidRDefault="002F02C2" w:rsidP="002F02C2">
      <w:pPr>
        <w:pStyle w:val="Paragrafi"/>
        <w:rPr>
          <w:lang w:val="sq-AL"/>
        </w:rPr>
      </w:pPr>
    </w:p>
    <w:p w:rsidR="002F02C2" w:rsidRDefault="002F02C2" w:rsidP="002F02C2">
      <w:pPr>
        <w:pStyle w:val="Paragrafi"/>
        <w:rPr>
          <w:lang w:val="sq-AL"/>
        </w:rPr>
      </w:pPr>
      <w:r>
        <w:rPr>
          <w:lang w:val="sq-AL"/>
        </w:rPr>
        <w:t>2. Versioni në gjuhën e origjinës (anglisht) ka përparësi në rast mosdakordësie në interpretim nga palët të versionit shqip.</w:t>
      </w:r>
    </w:p>
    <w:p w:rsidR="002F02C2" w:rsidRDefault="002F02C2" w:rsidP="002F02C2">
      <w:pPr>
        <w:pStyle w:val="Paragrafi"/>
        <w:rPr>
          <w:lang w:val="sq-AL"/>
        </w:rPr>
      </w:pPr>
      <w:r>
        <w:rPr>
          <w:lang w:val="sq-AL"/>
        </w:rPr>
        <w:t xml:space="preserve">Ky vendim hyn në fuqi menjëherë. </w:t>
      </w:r>
    </w:p>
    <w:p w:rsidR="002F02C2" w:rsidRDefault="002F02C2" w:rsidP="002F02C2">
      <w:pPr>
        <w:pStyle w:val="Paragrafi"/>
        <w:rPr>
          <w:lang w:val="sq-AL"/>
        </w:rPr>
      </w:pPr>
      <w:r>
        <w:rPr>
          <w:lang w:val="sq-AL"/>
        </w:rPr>
        <w:t xml:space="preserve">Ky vendim botohet në Fletoren Zyrtare. </w:t>
      </w:r>
    </w:p>
    <w:p w:rsidR="002F02C2" w:rsidRDefault="002F02C2" w:rsidP="002F02C2">
      <w:pPr>
        <w:pStyle w:val="Paragrafi"/>
        <w:rPr>
          <w:lang w:val="sq-AL"/>
        </w:rPr>
      </w:pPr>
      <w:r>
        <w:rPr>
          <w:lang w:val="sq-AL"/>
        </w:rPr>
        <w:t xml:space="preserve">Ky vendim mund të ankimohet në Gjykatën Administrative Tiranë, brenda 30 ditëve kalendarike nga botimi në Fletoren Zyrtare. </w:t>
      </w:r>
    </w:p>
    <w:p w:rsidR="002F02C2" w:rsidRDefault="002F02C2" w:rsidP="002F02C2">
      <w:pPr>
        <w:pStyle w:val="Paragrafi"/>
        <w:jc w:val="right"/>
        <w:rPr>
          <w:sz w:val="14"/>
          <w:szCs w:val="14"/>
          <w:lang w:val="sq-AL"/>
        </w:rPr>
      </w:pPr>
    </w:p>
    <w:p w:rsidR="002F02C2" w:rsidRDefault="002F02C2" w:rsidP="002F02C2">
      <w:pPr>
        <w:pStyle w:val="Paragrafi"/>
        <w:jc w:val="right"/>
        <w:rPr>
          <w:lang w:val="sq-AL"/>
        </w:rPr>
      </w:pPr>
      <w:r>
        <w:rPr>
          <w:lang w:val="sq-AL"/>
        </w:rPr>
        <w:t>KRYETARI</w:t>
      </w:r>
    </w:p>
    <w:p w:rsidR="002F02C2" w:rsidRDefault="002F02C2" w:rsidP="002F02C2">
      <w:pPr>
        <w:pStyle w:val="Paragrafi"/>
        <w:jc w:val="right"/>
        <w:rPr>
          <w:b/>
          <w:lang w:val="sq-AL"/>
        </w:rPr>
      </w:pPr>
      <w:r>
        <w:rPr>
          <w:b/>
          <w:lang w:val="sq-AL"/>
        </w:rPr>
        <w:t xml:space="preserve">Petrit Ahmeti </w:t>
      </w:r>
    </w:p>
    <w:p w:rsidR="002F02C2" w:rsidRDefault="002F02C2" w:rsidP="002F02C2">
      <w:pPr>
        <w:pStyle w:val="Paragrafi"/>
        <w:jc w:val="right"/>
        <w:rPr>
          <w:sz w:val="14"/>
          <w:szCs w:val="14"/>
          <w:lang w:val="sq-AL"/>
        </w:rPr>
      </w:pPr>
    </w:p>
    <w:p w:rsidR="002F02C2" w:rsidRDefault="002F02C2" w:rsidP="002F02C2">
      <w:pPr>
        <w:pStyle w:val="Paragrafi"/>
        <w:ind w:firstLine="0"/>
        <w:jc w:val="center"/>
        <w:rPr>
          <w:b/>
          <w:spacing w:val="-4"/>
          <w:lang w:val="sq-AL"/>
        </w:rPr>
      </w:pPr>
      <w:r>
        <w:rPr>
          <w:b/>
          <w:spacing w:val="-4"/>
          <w:lang w:val="sq-AL"/>
        </w:rPr>
        <w:t xml:space="preserve">PROPOZIMI I GJITHË OST-ve </w:t>
      </w:r>
    </w:p>
    <w:p w:rsidR="002F02C2" w:rsidRDefault="002F02C2" w:rsidP="002F02C2">
      <w:pPr>
        <w:pStyle w:val="Paragrafi"/>
        <w:ind w:firstLine="0"/>
        <w:jc w:val="center"/>
        <w:rPr>
          <w:spacing w:val="-4"/>
          <w:lang w:val="sq-AL"/>
        </w:rPr>
      </w:pPr>
      <w:r>
        <w:rPr>
          <w:spacing w:val="-4"/>
          <w:lang w:val="sq-AL"/>
        </w:rPr>
        <w:t xml:space="preserve">PËR NJË METODOLOGJI TË MODELIT TË PËRBASHKËT TË RRJETIT, NË PËRPUTHJE ME NENIN 18 TË RREGULLORES SË KOMISIONIT (BE) 2016/1719, TË DATËS 26 SHTATOR 2016, PËR KRIJIMIN E NJË UDHËZUESI MBI ALOKIMIN E KAPACITETEVE </w:t>
      </w:r>
    </w:p>
    <w:p w:rsidR="002F02C2" w:rsidRDefault="002F02C2" w:rsidP="002F02C2">
      <w:pPr>
        <w:pStyle w:val="Paragrafi"/>
        <w:ind w:firstLine="0"/>
        <w:jc w:val="center"/>
        <w:rPr>
          <w:spacing w:val="-4"/>
          <w:lang w:val="sq-AL"/>
        </w:rPr>
      </w:pPr>
      <w:r>
        <w:rPr>
          <w:spacing w:val="-4"/>
          <w:lang w:val="sq-AL"/>
        </w:rPr>
        <w:t>NË AVANCË</w:t>
      </w:r>
    </w:p>
    <w:p w:rsidR="002F02C2" w:rsidRDefault="002F02C2" w:rsidP="002F02C2">
      <w:pPr>
        <w:pStyle w:val="Paragrafi"/>
        <w:ind w:firstLine="0"/>
        <w:jc w:val="center"/>
        <w:rPr>
          <w:spacing w:val="-4"/>
          <w:lang w:val="sq-AL"/>
        </w:rPr>
      </w:pPr>
      <w:r>
        <w:rPr>
          <w:spacing w:val="-4"/>
          <w:lang w:val="sq-AL"/>
        </w:rPr>
        <w:t>SHTATOR 2017</w:t>
      </w:r>
    </w:p>
    <w:p w:rsidR="002F02C2" w:rsidRDefault="002F02C2" w:rsidP="002F02C2">
      <w:pPr>
        <w:pStyle w:val="Paragrafi"/>
        <w:ind w:firstLine="0"/>
        <w:rPr>
          <w:spacing w:val="-4"/>
          <w:sz w:val="14"/>
          <w:szCs w:val="14"/>
          <w:lang w:val="sq-AL"/>
        </w:rPr>
      </w:pPr>
    </w:p>
    <w:p w:rsidR="002F02C2" w:rsidRDefault="002F02C2" w:rsidP="002F02C2">
      <w:pPr>
        <w:pStyle w:val="Paragrafi"/>
        <w:rPr>
          <w:spacing w:val="-4"/>
          <w:lang w:val="sq-AL"/>
        </w:rPr>
      </w:pPr>
      <w:r>
        <w:rPr>
          <w:spacing w:val="-4"/>
          <w:lang w:val="sq-AL"/>
        </w:rPr>
        <w:t>Të gjithë OST-të, duke marrë parasysh sa vijon:</w:t>
      </w:r>
    </w:p>
    <w:p w:rsidR="002F02C2" w:rsidRDefault="002F02C2" w:rsidP="002F02C2">
      <w:pPr>
        <w:pStyle w:val="Paragrafi"/>
        <w:rPr>
          <w:spacing w:val="-4"/>
          <w:lang w:val="sq-AL"/>
        </w:rPr>
      </w:pPr>
      <w:r>
        <w:rPr>
          <w:spacing w:val="-4"/>
          <w:lang w:val="sq-AL"/>
        </w:rPr>
        <w:t>ndërkohë:</w:t>
      </w:r>
    </w:p>
    <w:p w:rsidR="002F02C2" w:rsidRDefault="002F02C2" w:rsidP="002F02C2">
      <w:pPr>
        <w:pStyle w:val="Paragrafi"/>
        <w:rPr>
          <w:rFonts w:cs="Times New Roman"/>
          <w:spacing w:val="-4"/>
          <w:lang w:val="sq-AL"/>
        </w:rPr>
      </w:pPr>
      <w:r>
        <w:rPr>
          <w:rFonts w:cs="Times New Roman"/>
          <w:spacing w:val="-4"/>
          <w:lang w:val="sq-AL"/>
        </w:rPr>
        <w:t xml:space="preserve">1. Ky dokument është një propozim i përbashkët i krijuar nga të gjithë Operatorët e Sistemeve të Transmetimit (këtej e tutje referuar si “OST”) në lidhje me krijimin e një propozimi për një metodologji të modelit të përbashkët të rrjetit (këtej e tutje referuar si “MMPRR”). </w:t>
      </w:r>
    </w:p>
    <w:p w:rsidR="002F02C2" w:rsidRDefault="002F02C2" w:rsidP="002F02C2">
      <w:pPr>
        <w:pStyle w:val="Paragrafi"/>
        <w:rPr>
          <w:rFonts w:cs="Times New Roman"/>
          <w:lang w:val="sq-AL"/>
        </w:rPr>
      </w:pPr>
      <w:r>
        <w:rPr>
          <w:rFonts w:cs="Times New Roman"/>
          <w:spacing w:val="-4"/>
          <w:lang w:val="sq-AL"/>
        </w:rPr>
        <w:t>2. Ky propozim (këtej e tutje referuar si “Propozimi MMPRR”) merr parasysh parimet e përgjithshme dhe objektivat e përcaktuar në Rregulloren e Komisionit (BE) 2016/1719, të datës 26 shtator 2016, për krijimin e një udhëzuesi mbi alokimin afatgjatë të kapaciteteve (këtej e tutje referuar si “Rregullorja 2016/ 1719”), si dhe Rregulloren (KE) nr. 714/2009 e Parlamentit Evropian dhe e Këshillit, e datës 13 korrik 2009, mbi kushtet për aksesin në rrjet për shkëmbimet ndërkufitare të energjisë elektrike (këtej e tutje referuar si “Rregullorja (KE) nr. 714/2009”). Qëllimi i Rregullores 2016/1719 është koordinimi dhe harmonizimi i llogaritjes së kapaciteteve dhe alokimin në avancë në tregjet ndërrajonale. Për të lehtësuar këto synime është e nevojshme për të gjithë OST-të të përdorin një model të përbashkët të rrjetit. Një model i përbashkët i rrjetit mund të krijohet</w:t>
      </w:r>
      <w:r>
        <w:rPr>
          <w:rFonts w:cs="Times New Roman"/>
          <w:spacing w:val="18"/>
          <w:lang w:val="sq-AL"/>
        </w:rPr>
        <w:t xml:space="preserve"> </w:t>
      </w:r>
      <w:r>
        <w:rPr>
          <w:rFonts w:cs="Times New Roman"/>
          <w:lang w:val="sq-AL"/>
        </w:rPr>
        <w:t>vetëm</w:t>
      </w:r>
      <w:r>
        <w:rPr>
          <w:rFonts w:cs="Times New Roman"/>
          <w:spacing w:val="14"/>
          <w:lang w:val="sq-AL"/>
        </w:rPr>
        <w:t xml:space="preserve"> </w:t>
      </w:r>
      <w:r>
        <w:rPr>
          <w:rFonts w:cs="Times New Roman"/>
          <w:lang w:val="sq-AL"/>
        </w:rPr>
        <w:t>në</w:t>
      </w:r>
      <w:r>
        <w:rPr>
          <w:rFonts w:cs="Times New Roman"/>
          <w:spacing w:val="7"/>
          <w:lang w:val="sq-AL"/>
        </w:rPr>
        <w:t xml:space="preserve"> </w:t>
      </w:r>
      <w:r>
        <w:rPr>
          <w:rFonts w:cs="Times New Roman"/>
          <w:w w:val="103"/>
          <w:lang w:val="sq-AL"/>
        </w:rPr>
        <w:t>bazë të</w:t>
      </w:r>
      <w:r>
        <w:rPr>
          <w:rFonts w:cs="Times New Roman"/>
          <w:spacing w:val="2"/>
          <w:lang w:val="sq-AL"/>
        </w:rPr>
        <w:t xml:space="preserve"> </w:t>
      </w:r>
      <w:r>
        <w:rPr>
          <w:rFonts w:cs="Times New Roman"/>
          <w:lang w:val="sq-AL"/>
        </w:rPr>
        <w:t>një</w:t>
      </w:r>
      <w:r>
        <w:rPr>
          <w:rFonts w:cs="Times New Roman"/>
          <w:spacing w:val="8"/>
          <w:lang w:val="sq-AL"/>
        </w:rPr>
        <w:t xml:space="preserve"> </w:t>
      </w:r>
      <w:r>
        <w:rPr>
          <w:rFonts w:cs="Times New Roman"/>
          <w:lang w:val="sq-AL"/>
        </w:rPr>
        <w:t>metodologjie</w:t>
      </w:r>
      <w:r>
        <w:rPr>
          <w:rFonts w:cs="Times New Roman"/>
          <w:spacing w:val="28"/>
          <w:lang w:val="sq-AL"/>
        </w:rPr>
        <w:t xml:space="preserve"> </w:t>
      </w:r>
      <w:r>
        <w:rPr>
          <w:rFonts w:cs="Times New Roman"/>
          <w:lang w:val="sq-AL"/>
        </w:rPr>
        <w:t>të</w:t>
      </w:r>
      <w:r>
        <w:rPr>
          <w:rFonts w:cs="Times New Roman"/>
          <w:spacing w:val="6"/>
          <w:lang w:val="sq-AL"/>
        </w:rPr>
        <w:t xml:space="preserve"> </w:t>
      </w:r>
      <w:r>
        <w:rPr>
          <w:rFonts w:cs="Times New Roman"/>
          <w:lang w:val="sq-AL"/>
        </w:rPr>
        <w:t>përbashkët</w:t>
      </w:r>
      <w:r>
        <w:rPr>
          <w:rFonts w:cs="Times New Roman"/>
          <w:spacing w:val="24"/>
          <w:lang w:val="sq-AL"/>
        </w:rPr>
        <w:t xml:space="preserve"> </w:t>
      </w:r>
      <w:r>
        <w:rPr>
          <w:rFonts w:cs="Times New Roman"/>
          <w:lang w:val="sq-AL"/>
        </w:rPr>
        <w:t>për</w:t>
      </w:r>
      <w:r>
        <w:rPr>
          <w:rFonts w:cs="Times New Roman"/>
          <w:spacing w:val="8"/>
          <w:lang w:val="sq-AL"/>
        </w:rPr>
        <w:t xml:space="preserve"> </w:t>
      </w:r>
      <w:r>
        <w:rPr>
          <w:rFonts w:cs="Times New Roman"/>
          <w:lang w:val="sq-AL"/>
        </w:rPr>
        <w:t>ndërtimin</w:t>
      </w:r>
      <w:r>
        <w:rPr>
          <w:rFonts w:cs="Times New Roman"/>
          <w:spacing w:val="20"/>
          <w:lang w:val="sq-AL"/>
        </w:rPr>
        <w:t xml:space="preserve"> </w:t>
      </w:r>
      <w:r>
        <w:rPr>
          <w:rFonts w:cs="Times New Roman"/>
          <w:lang w:val="sq-AL"/>
        </w:rPr>
        <w:t>e</w:t>
      </w:r>
      <w:r>
        <w:rPr>
          <w:rFonts w:cs="Times New Roman"/>
          <w:spacing w:val="4"/>
          <w:lang w:val="sq-AL"/>
        </w:rPr>
        <w:t xml:space="preserve"> </w:t>
      </w:r>
      <w:r>
        <w:rPr>
          <w:rFonts w:cs="Times New Roman"/>
          <w:lang w:val="sq-AL"/>
        </w:rPr>
        <w:t>një</w:t>
      </w:r>
      <w:r>
        <w:rPr>
          <w:rFonts w:cs="Times New Roman"/>
          <w:spacing w:val="8"/>
          <w:lang w:val="sq-AL"/>
        </w:rPr>
        <w:t xml:space="preserve"> </w:t>
      </w:r>
      <w:r>
        <w:rPr>
          <w:rFonts w:cs="Times New Roman"/>
          <w:lang w:val="sq-AL"/>
        </w:rPr>
        <w:t>modeli</w:t>
      </w:r>
      <w:r>
        <w:rPr>
          <w:rFonts w:cs="Times New Roman"/>
          <w:spacing w:val="14"/>
          <w:lang w:val="sq-AL"/>
        </w:rPr>
        <w:t xml:space="preserve"> </w:t>
      </w:r>
      <w:r>
        <w:rPr>
          <w:rFonts w:cs="Times New Roman"/>
          <w:lang w:val="sq-AL"/>
        </w:rPr>
        <w:t>të</w:t>
      </w:r>
      <w:r>
        <w:rPr>
          <w:rFonts w:cs="Times New Roman"/>
          <w:spacing w:val="6"/>
          <w:lang w:val="sq-AL"/>
        </w:rPr>
        <w:t xml:space="preserve"> </w:t>
      </w:r>
      <w:r>
        <w:rPr>
          <w:rFonts w:cs="Times New Roman"/>
          <w:lang w:val="sq-AL"/>
        </w:rPr>
        <w:t>tillë.</w:t>
      </w:r>
      <w:r>
        <w:rPr>
          <w:rFonts w:cs="Times New Roman"/>
          <w:spacing w:val="10"/>
          <w:lang w:val="sq-AL"/>
        </w:rPr>
        <w:t xml:space="preserve"> </w:t>
      </w:r>
    </w:p>
    <w:p w:rsidR="002F02C2" w:rsidRDefault="002F02C2" w:rsidP="002F02C2">
      <w:pPr>
        <w:pStyle w:val="Paragrafi"/>
        <w:rPr>
          <w:rFonts w:cs="Times New Roman"/>
          <w:spacing w:val="-4"/>
          <w:lang w:val="sq-AL"/>
        </w:rPr>
      </w:pPr>
      <w:r>
        <w:rPr>
          <w:rFonts w:cs="Times New Roman"/>
          <w:spacing w:val="-4"/>
          <w:lang w:val="sq-AL"/>
        </w:rPr>
        <w:t>3. Ndërsa MMPRR i përshkruar në propozimin aktual të MMPRR-së mundëson krijimin e një modeli të përbashkët të rrjetit, ofrimit të të dhënave të gjenerimit dhe ngarkesës të nevojshme për të krijuar modelin e përbashkët të rrjetit është trajtuar në metodologjinë e ofrimit të dhënave të gjenerimit dhe ngarkesës, në përputhje me nenin 17 të Rregullores 2016/1719.</w:t>
      </w:r>
    </w:p>
    <w:p w:rsidR="002F02C2" w:rsidRDefault="002F02C2" w:rsidP="002F02C2">
      <w:pPr>
        <w:pStyle w:val="Paragrafi"/>
        <w:rPr>
          <w:rFonts w:cs="Times New Roman"/>
          <w:spacing w:val="-4"/>
          <w:lang w:val="sq-AL"/>
        </w:rPr>
      </w:pPr>
      <w:r>
        <w:rPr>
          <w:rFonts w:cs="Times New Roman"/>
          <w:spacing w:val="-4"/>
          <w:lang w:val="sq-AL"/>
        </w:rPr>
        <w:t>4. Neni 17 i Rregullores së Komisionit (BE) 2015/1222, të 24 korrikut 2015 mbi krijimin e një udhëzuesi mbi alokimin e kapaciteteve dhe menaxhimin e kongjestionit (këtej e tutje referuar si “Rregullorja 2015/1222”) i referohet nenit 18 të Rregullores 2016/1719 dhe përcakton disa prej kërkesave specifike që Propozimi i MMPRR-së duhet të marrë në konsideratë:</w:t>
      </w:r>
    </w:p>
    <w:p w:rsidR="002F02C2" w:rsidRDefault="002F02C2" w:rsidP="002F02C2">
      <w:pPr>
        <w:pStyle w:val="Paragrafi"/>
        <w:rPr>
          <w:rFonts w:cs="Times New Roman"/>
          <w:i/>
          <w:spacing w:val="-4"/>
          <w:lang w:val="sq-AL"/>
        </w:rPr>
      </w:pPr>
      <w:r>
        <w:rPr>
          <w:rFonts w:cs="Times New Roman"/>
          <w:i/>
          <w:spacing w:val="-4"/>
          <w:lang w:val="sq-AL"/>
        </w:rPr>
        <w:t xml:space="preserve">1. Jo më vonë se 10 muaj pas hyrjes në fuqi të kësaj rregulloreje, Të gjithë OST-të bashkërisht do të hartojnë një propozim </w:t>
      </w:r>
      <w:r>
        <w:rPr>
          <w:rFonts w:cs="Times New Roman"/>
          <w:i/>
          <w:spacing w:val="-4"/>
          <w:lang w:val="sq-AL"/>
        </w:rPr>
        <w:lastRenderedPageBreak/>
        <w:t>mbi metodologjinë e modelit të përbashkët të rrjetit. Propozimi do t’u nënshtrohet konsultimeve, në përputhje me nenin 12.</w:t>
      </w:r>
    </w:p>
    <w:p w:rsidR="002F02C2" w:rsidRDefault="002F02C2" w:rsidP="002F02C2">
      <w:pPr>
        <w:pStyle w:val="Paragrafi"/>
        <w:rPr>
          <w:rFonts w:cs="Times New Roman"/>
          <w:i/>
          <w:spacing w:val="-4"/>
          <w:lang w:val="sq-AL"/>
        </w:rPr>
      </w:pPr>
      <w:r>
        <w:rPr>
          <w:rFonts w:cs="Times New Roman"/>
          <w:i/>
          <w:spacing w:val="-4"/>
          <w:lang w:val="sq-AL"/>
        </w:rPr>
        <w:t>2. Metodologjia e modelit të përbashkët të rrjetit do të mundësojë krijimin e një modeli të përbashkët rrjeti. Ai duhet të përmbajë të paktën elementet e mëposhtme:</w:t>
      </w:r>
    </w:p>
    <w:p w:rsidR="002F02C2" w:rsidRDefault="002F02C2" w:rsidP="002F02C2">
      <w:pPr>
        <w:pStyle w:val="Paragrafi"/>
        <w:rPr>
          <w:rFonts w:cs="Times New Roman"/>
          <w:i/>
          <w:spacing w:val="-4"/>
          <w:lang w:val="sq-AL"/>
        </w:rPr>
      </w:pPr>
      <w:r>
        <w:rPr>
          <w:rFonts w:cs="Times New Roman"/>
          <w:i/>
          <w:spacing w:val="-4"/>
          <w:lang w:val="sq-AL"/>
        </w:rPr>
        <w:t>a) Përkufizimin të skenarëve, në përputhje me nenin 18;</w:t>
      </w:r>
    </w:p>
    <w:p w:rsidR="002F02C2" w:rsidRDefault="002F02C2" w:rsidP="002F02C2">
      <w:pPr>
        <w:pStyle w:val="Paragrafi"/>
        <w:rPr>
          <w:rFonts w:cs="Times New Roman"/>
          <w:i/>
          <w:spacing w:val="-4"/>
          <w:lang w:val="sq-AL"/>
        </w:rPr>
      </w:pPr>
      <w:r>
        <w:rPr>
          <w:rFonts w:cs="Times New Roman"/>
          <w:i/>
          <w:spacing w:val="-4"/>
          <w:lang w:val="sq-AL"/>
        </w:rPr>
        <w:t>b) Përkufizim të modeleve të veçanta të rrjetit, në përputhje me nenin 19;</w:t>
      </w:r>
    </w:p>
    <w:p w:rsidR="002F02C2" w:rsidRDefault="002F02C2" w:rsidP="002F02C2">
      <w:pPr>
        <w:pStyle w:val="Paragrafi"/>
        <w:rPr>
          <w:rFonts w:cs="Times New Roman"/>
          <w:i/>
          <w:spacing w:val="-4"/>
          <w:lang w:val="sq-AL"/>
        </w:rPr>
      </w:pPr>
      <w:r>
        <w:rPr>
          <w:rFonts w:cs="Times New Roman"/>
          <w:i/>
          <w:spacing w:val="-4"/>
          <w:lang w:val="sq-AL"/>
        </w:rPr>
        <w:t>c) Përshkrim të procesit për bashkimin e modeleve individuale të rrjetit për të formuar modelin e përbashkët rrjetit.</w:t>
      </w:r>
    </w:p>
    <w:p w:rsidR="002F02C2" w:rsidRDefault="002F02C2" w:rsidP="002F02C2">
      <w:pPr>
        <w:pStyle w:val="Paragrafi"/>
        <w:rPr>
          <w:rFonts w:cs="Times New Roman"/>
          <w:spacing w:val="-4"/>
          <w:lang w:val="sq-AL"/>
        </w:rPr>
      </w:pPr>
      <w:r>
        <w:rPr>
          <w:rFonts w:cs="Times New Roman"/>
          <w:spacing w:val="-4"/>
          <w:lang w:val="sq-AL"/>
        </w:rPr>
        <w:t>5. Neni 18 i Rregullores 2016/1719 përbën bazën ligjore të propozimit mbi metodologjinë e përbashkët të rrjetit për periudha afatgjata dhe përcakton disa kërkesa shtesë:</w:t>
      </w:r>
    </w:p>
    <w:p w:rsidR="002F02C2" w:rsidRDefault="002F02C2" w:rsidP="002F02C2">
      <w:pPr>
        <w:pStyle w:val="Paragrafi"/>
        <w:rPr>
          <w:rFonts w:cs="Times New Roman"/>
          <w:i/>
          <w:spacing w:val="-4"/>
          <w:lang w:val="sq-AL"/>
        </w:rPr>
      </w:pPr>
      <w:r>
        <w:rPr>
          <w:rFonts w:cs="Times New Roman"/>
          <w:i/>
          <w:spacing w:val="-4"/>
          <w:lang w:val="sq-AL"/>
        </w:rPr>
        <w:t>1. Jo më vonë se gjashtë muaj pas miratimit të metodologjisë së modelit të përbashkët të rrjetit për periudhën: ditë në avancë dhe brenda ditës, të përmendura në nenin 9 (6) të Rregullores së Komisionit (BE) 2015/1222, Të gjithë OST-të do të zhvillojnë së bashku një propozim për një metodologji të vetme të modelit të bashkuar të rrjetit për periudha kohore afatgjata. Metodologjia duhet të jetë objekt i konsultimeve, në përputhje me nenin 6.</w:t>
      </w:r>
    </w:p>
    <w:p w:rsidR="002F02C2" w:rsidRDefault="002F02C2" w:rsidP="002F02C2">
      <w:pPr>
        <w:pStyle w:val="Paragrafi"/>
        <w:rPr>
          <w:rFonts w:cs="Times New Roman"/>
          <w:i/>
          <w:lang w:val="sq-AL"/>
        </w:rPr>
      </w:pPr>
      <w:r>
        <w:rPr>
          <w:rFonts w:cs="Times New Roman"/>
          <w:i/>
          <w:spacing w:val="-1"/>
          <w:lang w:val="sq-AL"/>
        </w:rPr>
        <w:t xml:space="preserve"> 2. Metodologjia e modelit të përbashkët të rrjetit </w:t>
      </w:r>
      <w:r>
        <w:rPr>
          <w:rFonts w:cs="Times New Roman"/>
          <w:i/>
          <w:lang w:val="sq-AL"/>
        </w:rPr>
        <w:t>do</w:t>
      </w:r>
      <w:r>
        <w:rPr>
          <w:rFonts w:cs="Times New Roman"/>
          <w:i/>
          <w:spacing w:val="-2"/>
          <w:lang w:val="sq-AL"/>
        </w:rPr>
        <w:t xml:space="preserve"> </w:t>
      </w:r>
      <w:r>
        <w:rPr>
          <w:rFonts w:cs="Times New Roman"/>
          <w:i/>
          <w:lang w:val="sq-AL"/>
        </w:rPr>
        <w:t>të</w:t>
      </w:r>
      <w:r>
        <w:rPr>
          <w:rFonts w:cs="Times New Roman"/>
          <w:i/>
          <w:spacing w:val="-1"/>
          <w:lang w:val="sq-AL"/>
        </w:rPr>
        <w:t xml:space="preserve"> </w:t>
      </w:r>
      <w:r>
        <w:rPr>
          <w:rFonts w:cs="Times New Roman"/>
          <w:i/>
          <w:lang w:val="sq-AL"/>
        </w:rPr>
        <w:t>marrë</w:t>
      </w:r>
      <w:r>
        <w:rPr>
          <w:rFonts w:cs="Times New Roman"/>
          <w:i/>
          <w:spacing w:val="-4"/>
          <w:lang w:val="sq-AL"/>
        </w:rPr>
        <w:t xml:space="preserve"> </w:t>
      </w:r>
      <w:r>
        <w:rPr>
          <w:rFonts w:cs="Times New Roman"/>
          <w:i/>
          <w:lang w:val="sq-AL"/>
        </w:rPr>
        <w:t>në</w:t>
      </w:r>
      <w:r>
        <w:rPr>
          <w:rFonts w:cs="Times New Roman"/>
          <w:i/>
          <w:spacing w:val="-2"/>
          <w:lang w:val="sq-AL"/>
        </w:rPr>
        <w:t xml:space="preserve"> </w:t>
      </w:r>
      <w:r>
        <w:rPr>
          <w:rFonts w:cs="Times New Roman"/>
          <w:i/>
          <w:lang w:val="sq-AL"/>
        </w:rPr>
        <w:t>konsideratë</w:t>
      </w:r>
      <w:r>
        <w:rPr>
          <w:rFonts w:cs="Times New Roman"/>
          <w:i/>
          <w:spacing w:val="-8"/>
          <w:lang w:val="sq-AL"/>
        </w:rPr>
        <w:t xml:space="preserve"> </w:t>
      </w:r>
      <w:r>
        <w:rPr>
          <w:rFonts w:cs="Times New Roman"/>
          <w:i/>
          <w:lang w:val="sq-AL"/>
        </w:rPr>
        <w:t>dhe</w:t>
      </w:r>
      <w:r>
        <w:rPr>
          <w:rFonts w:cs="Times New Roman"/>
          <w:i/>
          <w:spacing w:val="-3"/>
          <w:lang w:val="sq-AL"/>
        </w:rPr>
        <w:t xml:space="preserve"> do </w:t>
      </w:r>
      <w:r>
        <w:rPr>
          <w:rFonts w:cs="Times New Roman"/>
          <w:i/>
          <w:lang w:val="sq-AL"/>
        </w:rPr>
        <w:t>të</w:t>
      </w:r>
      <w:r>
        <w:rPr>
          <w:rFonts w:cs="Times New Roman"/>
          <w:i/>
          <w:spacing w:val="-1"/>
          <w:lang w:val="sq-AL"/>
        </w:rPr>
        <w:t xml:space="preserve"> </w:t>
      </w:r>
      <w:r>
        <w:rPr>
          <w:rFonts w:cs="Times New Roman"/>
          <w:i/>
          <w:lang w:val="sq-AL"/>
        </w:rPr>
        <w:t>plotësojë</w:t>
      </w:r>
      <w:r>
        <w:rPr>
          <w:rFonts w:cs="Times New Roman"/>
          <w:i/>
          <w:spacing w:val="-6"/>
          <w:lang w:val="sq-AL"/>
        </w:rPr>
        <w:t xml:space="preserve"> </w:t>
      </w:r>
      <w:r>
        <w:rPr>
          <w:rFonts w:cs="Times New Roman"/>
          <w:i/>
          <w:lang w:val="sq-AL"/>
        </w:rPr>
        <w:t xml:space="preserve">metodologjinë </w:t>
      </w:r>
      <w:r>
        <w:rPr>
          <w:rFonts w:cs="Times New Roman"/>
          <w:i/>
          <w:spacing w:val="-8"/>
          <w:lang w:val="sq-AL"/>
        </w:rPr>
        <w:t xml:space="preserve">e </w:t>
      </w:r>
      <w:r>
        <w:rPr>
          <w:rFonts w:cs="Times New Roman"/>
          <w:i/>
          <w:lang w:val="sq-AL"/>
        </w:rPr>
        <w:t>modelit të</w:t>
      </w:r>
      <w:r>
        <w:rPr>
          <w:rFonts w:cs="Times New Roman"/>
          <w:i/>
          <w:spacing w:val="-1"/>
          <w:lang w:val="sq-AL"/>
        </w:rPr>
        <w:t xml:space="preserve"> </w:t>
      </w:r>
      <w:r>
        <w:rPr>
          <w:rFonts w:cs="Times New Roman"/>
          <w:i/>
          <w:lang w:val="sq-AL"/>
        </w:rPr>
        <w:t>përbashkët</w:t>
      </w:r>
      <w:r>
        <w:rPr>
          <w:rFonts w:cs="Times New Roman"/>
          <w:i/>
          <w:spacing w:val="-8"/>
          <w:lang w:val="sq-AL"/>
        </w:rPr>
        <w:t xml:space="preserve"> </w:t>
      </w:r>
      <w:r>
        <w:rPr>
          <w:rFonts w:cs="Times New Roman"/>
          <w:i/>
          <w:lang w:val="sq-AL"/>
        </w:rPr>
        <w:t>të rrjetit</w:t>
      </w:r>
      <w:r>
        <w:rPr>
          <w:rFonts w:cs="Times New Roman"/>
          <w:i/>
          <w:spacing w:val="-4"/>
          <w:lang w:val="sq-AL"/>
        </w:rPr>
        <w:t xml:space="preserve"> </w:t>
      </w:r>
      <w:r>
        <w:rPr>
          <w:rFonts w:cs="Times New Roman"/>
          <w:i/>
          <w:lang w:val="sq-AL"/>
        </w:rPr>
        <w:t>të</w:t>
      </w:r>
      <w:r>
        <w:rPr>
          <w:rFonts w:cs="Times New Roman"/>
          <w:i/>
          <w:spacing w:val="-1"/>
          <w:lang w:val="sq-AL"/>
        </w:rPr>
        <w:t xml:space="preserve"> </w:t>
      </w:r>
      <w:r>
        <w:rPr>
          <w:rFonts w:cs="Times New Roman"/>
          <w:i/>
          <w:lang w:val="sq-AL"/>
        </w:rPr>
        <w:t>zhvilluar</w:t>
      </w:r>
      <w:r>
        <w:rPr>
          <w:rFonts w:cs="Times New Roman"/>
          <w:i/>
          <w:spacing w:val="-6"/>
          <w:lang w:val="sq-AL"/>
        </w:rPr>
        <w:t xml:space="preserve"> </w:t>
      </w:r>
      <w:r>
        <w:rPr>
          <w:rFonts w:cs="Times New Roman"/>
          <w:i/>
          <w:lang w:val="sq-AL"/>
        </w:rPr>
        <w:t>në</w:t>
      </w:r>
      <w:r>
        <w:rPr>
          <w:rFonts w:cs="Times New Roman"/>
          <w:i/>
          <w:spacing w:val="-2"/>
          <w:lang w:val="sq-AL"/>
        </w:rPr>
        <w:t xml:space="preserve"> </w:t>
      </w:r>
      <w:r>
        <w:rPr>
          <w:rFonts w:cs="Times New Roman"/>
          <w:i/>
          <w:lang w:val="sq-AL"/>
        </w:rPr>
        <w:t>pajtim</w:t>
      </w:r>
      <w:r>
        <w:rPr>
          <w:rFonts w:cs="Times New Roman"/>
          <w:i/>
          <w:spacing w:val="-4"/>
          <w:lang w:val="sq-AL"/>
        </w:rPr>
        <w:t xml:space="preserve"> </w:t>
      </w:r>
      <w:r>
        <w:rPr>
          <w:rFonts w:cs="Times New Roman"/>
          <w:i/>
          <w:lang w:val="sq-AL"/>
        </w:rPr>
        <w:t>me nenin</w:t>
      </w:r>
      <w:r>
        <w:rPr>
          <w:rFonts w:cs="Times New Roman"/>
          <w:i/>
          <w:spacing w:val="-4"/>
          <w:lang w:val="sq-AL"/>
        </w:rPr>
        <w:t xml:space="preserve"> </w:t>
      </w:r>
      <w:r>
        <w:rPr>
          <w:rFonts w:cs="Times New Roman"/>
          <w:i/>
          <w:lang w:val="sq-AL"/>
        </w:rPr>
        <w:t>17</w:t>
      </w:r>
      <w:r>
        <w:rPr>
          <w:rFonts w:cs="Times New Roman"/>
          <w:i/>
          <w:spacing w:val="-2"/>
          <w:lang w:val="sq-AL"/>
        </w:rPr>
        <w:t xml:space="preserve"> </w:t>
      </w:r>
      <w:r>
        <w:rPr>
          <w:rFonts w:cs="Times New Roman"/>
          <w:i/>
          <w:lang w:val="sq-AL"/>
        </w:rPr>
        <w:t>të</w:t>
      </w:r>
      <w:r>
        <w:rPr>
          <w:rFonts w:cs="Times New Roman"/>
          <w:i/>
          <w:spacing w:val="-1"/>
          <w:lang w:val="sq-AL"/>
        </w:rPr>
        <w:t xml:space="preserve"> </w:t>
      </w:r>
      <w:r>
        <w:rPr>
          <w:rFonts w:cs="Times New Roman"/>
          <w:i/>
          <w:lang w:val="sq-AL"/>
        </w:rPr>
        <w:t>Rregullores</w:t>
      </w:r>
      <w:r>
        <w:rPr>
          <w:rFonts w:cs="Times New Roman"/>
          <w:i/>
          <w:spacing w:val="-8"/>
          <w:lang w:val="sq-AL"/>
        </w:rPr>
        <w:t xml:space="preserve"> </w:t>
      </w:r>
      <w:r>
        <w:rPr>
          <w:rFonts w:cs="Times New Roman"/>
          <w:i/>
          <w:lang w:val="sq-AL"/>
        </w:rPr>
        <w:t>(BE)</w:t>
      </w:r>
      <w:r>
        <w:rPr>
          <w:rFonts w:cs="Times New Roman"/>
          <w:i/>
          <w:spacing w:val="-3"/>
          <w:lang w:val="sq-AL"/>
        </w:rPr>
        <w:t xml:space="preserve"> </w:t>
      </w:r>
      <w:r>
        <w:rPr>
          <w:rFonts w:cs="Times New Roman"/>
          <w:i/>
          <w:lang w:val="sq-AL"/>
        </w:rPr>
        <w:t>2015/1222.</w:t>
      </w:r>
      <w:r>
        <w:rPr>
          <w:rFonts w:cs="Times New Roman"/>
          <w:i/>
          <w:spacing w:val="-8"/>
          <w:lang w:val="sq-AL"/>
        </w:rPr>
        <w:t xml:space="preserve"> </w:t>
      </w:r>
      <w:r>
        <w:rPr>
          <w:rFonts w:cs="Times New Roman"/>
          <w:i/>
          <w:lang w:val="sq-AL"/>
        </w:rPr>
        <w:t>Metodologjia</w:t>
      </w:r>
      <w:r>
        <w:rPr>
          <w:rFonts w:cs="Times New Roman"/>
          <w:i/>
          <w:spacing w:val="-9"/>
          <w:lang w:val="sq-AL"/>
        </w:rPr>
        <w:t xml:space="preserve"> </w:t>
      </w:r>
      <w:r>
        <w:rPr>
          <w:rFonts w:cs="Times New Roman"/>
          <w:i/>
          <w:lang w:val="sq-AL"/>
        </w:rPr>
        <w:t>duhet</w:t>
      </w:r>
      <w:r>
        <w:rPr>
          <w:rFonts w:cs="Times New Roman"/>
          <w:i/>
          <w:spacing w:val="-4"/>
          <w:lang w:val="sq-AL"/>
        </w:rPr>
        <w:t xml:space="preserve"> </w:t>
      </w:r>
      <w:r>
        <w:rPr>
          <w:rFonts w:cs="Times New Roman"/>
          <w:i/>
          <w:lang w:val="sq-AL"/>
        </w:rPr>
        <w:t>të</w:t>
      </w:r>
      <w:r>
        <w:rPr>
          <w:rFonts w:cs="Times New Roman"/>
          <w:i/>
          <w:spacing w:val="-1"/>
          <w:lang w:val="sq-AL"/>
        </w:rPr>
        <w:t xml:space="preserve"> </w:t>
      </w:r>
      <w:r>
        <w:rPr>
          <w:rFonts w:cs="Times New Roman"/>
          <w:i/>
          <w:lang w:val="sq-AL"/>
        </w:rPr>
        <w:t>mundësojë</w:t>
      </w:r>
      <w:r>
        <w:rPr>
          <w:rFonts w:cs="Times New Roman"/>
          <w:i/>
          <w:spacing w:val="-8"/>
          <w:lang w:val="sq-AL"/>
        </w:rPr>
        <w:t xml:space="preserve"> </w:t>
      </w:r>
      <w:r>
        <w:rPr>
          <w:rFonts w:cs="Times New Roman"/>
          <w:i/>
          <w:lang w:val="sq-AL"/>
        </w:rPr>
        <w:t>krijimin</w:t>
      </w:r>
      <w:r>
        <w:rPr>
          <w:rFonts w:cs="Times New Roman"/>
          <w:i/>
          <w:spacing w:val="-5"/>
          <w:lang w:val="sq-AL"/>
        </w:rPr>
        <w:t xml:space="preserve"> </w:t>
      </w:r>
      <w:r>
        <w:rPr>
          <w:rFonts w:cs="Times New Roman"/>
          <w:i/>
          <w:lang w:val="sq-AL"/>
        </w:rPr>
        <w:t>e</w:t>
      </w:r>
      <w:r>
        <w:rPr>
          <w:rFonts w:cs="Times New Roman"/>
          <w:i/>
          <w:spacing w:val="-1"/>
          <w:lang w:val="sq-AL"/>
        </w:rPr>
        <w:t xml:space="preserve"> </w:t>
      </w:r>
      <w:r>
        <w:rPr>
          <w:rFonts w:cs="Times New Roman"/>
          <w:i/>
          <w:lang w:val="sq-AL"/>
        </w:rPr>
        <w:t>modelit të përbashkët të</w:t>
      </w:r>
      <w:r>
        <w:rPr>
          <w:rFonts w:cs="Times New Roman"/>
          <w:i/>
          <w:spacing w:val="-1"/>
          <w:lang w:val="sq-AL"/>
        </w:rPr>
        <w:t xml:space="preserve"> </w:t>
      </w:r>
      <w:r>
        <w:rPr>
          <w:rFonts w:cs="Times New Roman"/>
          <w:i/>
          <w:lang w:val="sq-AL"/>
        </w:rPr>
        <w:t>rrjetit</w:t>
      </w:r>
      <w:r>
        <w:rPr>
          <w:rFonts w:cs="Times New Roman"/>
          <w:i/>
          <w:spacing w:val="-4"/>
          <w:lang w:val="sq-AL"/>
        </w:rPr>
        <w:t xml:space="preserve"> </w:t>
      </w:r>
      <w:r>
        <w:rPr>
          <w:rFonts w:cs="Times New Roman"/>
          <w:i/>
          <w:lang w:val="sq-AL"/>
        </w:rPr>
        <w:t>për</w:t>
      </w:r>
      <w:r>
        <w:rPr>
          <w:rFonts w:cs="Times New Roman"/>
          <w:i/>
          <w:spacing w:val="-5"/>
          <w:lang w:val="sq-AL"/>
        </w:rPr>
        <w:t xml:space="preserve"> </w:t>
      </w:r>
      <w:r>
        <w:rPr>
          <w:rFonts w:cs="Times New Roman"/>
          <w:i/>
          <w:lang w:val="sq-AL"/>
        </w:rPr>
        <w:t>llogaritjen</w:t>
      </w:r>
      <w:r>
        <w:rPr>
          <w:rFonts w:cs="Times New Roman"/>
          <w:i/>
          <w:spacing w:val="-7"/>
          <w:lang w:val="sq-AL"/>
        </w:rPr>
        <w:t xml:space="preserve"> </w:t>
      </w:r>
      <w:r>
        <w:rPr>
          <w:rFonts w:cs="Times New Roman"/>
          <w:i/>
          <w:lang w:val="sq-AL"/>
        </w:rPr>
        <w:t>e</w:t>
      </w:r>
      <w:r>
        <w:rPr>
          <w:rFonts w:cs="Times New Roman"/>
          <w:i/>
          <w:spacing w:val="-1"/>
          <w:lang w:val="sq-AL"/>
        </w:rPr>
        <w:t xml:space="preserve"> </w:t>
      </w:r>
      <w:r>
        <w:rPr>
          <w:rFonts w:cs="Times New Roman"/>
          <w:i/>
          <w:lang w:val="sq-AL"/>
        </w:rPr>
        <w:t>kapaciteteve</w:t>
      </w:r>
      <w:r>
        <w:rPr>
          <w:rFonts w:cs="Times New Roman"/>
          <w:i/>
          <w:spacing w:val="-9"/>
          <w:lang w:val="sq-AL"/>
        </w:rPr>
        <w:t xml:space="preserve"> </w:t>
      </w:r>
      <w:r>
        <w:rPr>
          <w:rFonts w:cs="Times New Roman"/>
          <w:i/>
          <w:lang w:val="sq-AL"/>
        </w:rPr>
        <w:t>afatgjata</w:t>
      </w:r>
      <w:r>
        <w:rPr>
          <w:rFonts w:cs="Times New Roman"/>
          <w:i/>
          <w:spacing w:val="-7"/>
          <w:lang w:val="sq-AL"/>
        </w:rPr>
        <w:t xml:space="preserve"> </w:t>
      </w:r>
      <w:r>
        <w:rPr>
          <w:rFonts w:cs="Times New Roman"/>
          <w:i/>
          <w:lang w:val="sq-AL"/>
        </w:rPr>
        <w:t>në</w:t>
      </w:r>
      <w:r>
        <w:rPr>
          <w:rFonts w:cs="Times New Roman"/>
          <w:i/>
          <w:spacing w:val="-2"/>
          <w:lang w:val="sq-AL"/>
        </w:rPr>
        <w:t xml:space="preserve"> </w:t>
      </w:r>
      <w:r>
        <w:rPr>
          <w:rFonts w:cs="Times New Roman"/>
          <w:i/>
          <w:lang w:val="sq-AL"/>
        </w:rPr>
        <w:t>rajonet</w:t>
      </w:r>
      <w:r>
        <w:rPr>
          <w:rFonts w:cs="Times New Roman"/>
          <w:i/>
          <w:spacing w:val="-5"/>
          <w:lang w:val="sq-AL"/>
        </w:rPr>
        <w:t xml:space="preserve"> </w:t>
      </w:r>
      <w:r>
        <w:rPr>
          <w:rFonts w:cs="Times New Roman"/>
          <w:i/>
          <w:lang w:val="sq-AL"/>
        </w:rPr>
        <w:t>llogaritëse, ku</w:t>
      </w:r>
      <w:r>
        <w:rPr>
          <w:rFonts w:cs="Times New Roman"/>
          <w:i/>
          <w:spacing w:val="-2"/>
          <w:lang w:val="sq-AL"/>
        </w:rPr>
        <w:t xml:space="preserve"> </w:t>
      </w:r>
      <w:r>
        <w:rPr>
          <w:rFonts w:cs="Times New Roman"/>
          <w:i/>
          <w:lang w:val="sq-AL"/>
        </w:rPr>
        <w:t>analiza</w:t>
      </w:r>
      <w:r>
        <w:rPr>
          <w:rFonts w:cs="Times New Roman"/>
          <w:i/>
          <w:spacing w:val="-5"/>
          <w:lang w:val="sq-AL"/>
        </w:rPr>
        <w:t xml:space="preserve"> </w:t>
      </w:r>
      <w:r>
        <w:rPr>
          <w:rFonts w:cs="Times New Roman"/>
          <w:i/>
          <w:lang w:val="sq-AL"/>
        </w:rPr>
        <w:t>e sigurisë</w:t>
      </w:r>
      <w:r>
        <w:rPr>
          <w:rFonts w:cs="Times New Roman"/>
          <w:i/>
          <w:spacing w:val="-6"/>
          <w:lang w:val="sq-AL"/>
        </w:rPr>
        <w:t xml:space="preserve"> është bërë </w:t>
      </w:r>
      <w:r>
        <w:rPr>
          <w:rFonts w:cs="Times New Roman"/>
          <w:i/>
          <w:lang w:val="sq-AL"/>
        </w:rPr>
        <w:t>në</w:t>
      </w:r>
      <w:r>
        <w:rPr>
          <w:rFonts w:cs="Times New Roman"/>
          <w:i/>
          <w:spacing w:val="-2"/>
          <w:lang w:val="sq-AL"/>
        </w:rPr>
        <w:t xml:space="preserve"> </w:t>
      </w:r>
      <w:r>
        <w:rPr>
          <w:rFonts w:cs="Times New Roman"/>
          <w:i/>
          <w:lang w:val="sq-AL"/>
        </w:rPr>
        <w:t>bazë</w:t>
      </w:r>
      <w:r>
        <w:rPr>
          <w:rFonts w:cs="Times New Roman"/>
          <w:i/>
          <w:spacing w:val="-3"/>
          <w:lang w:val="sq-AL"/>
        </w:rPr>
        <w:t xml:space="preserve"> </w:t>
      </w:r>
      <w:r>
        <w:rPr>
          <w:rFonts w:cs="Times New Roman"/>
          <w:i/>
          <w:lang w:val="sq-AL"/>
        </w:rPr>
        <w:t>të</w:t>
      </w:r>
      <w:r>
        <w:rPr>
          <w:rFonts w:cs="Times New Roman"/>
          <w:i/>
          <w:spacing w:val="-1"/>
          <w:lang w:val="sq-AL"/>
        </w:rPr>
        <w:t xml:space="preserve"> </w:t>
      </w:r>
      <w:r>
        <w:rPr>
          <w:rFonts w:cs="Times New Roman"/>
          <w:i/>
          <w:lang w:val="sq-AL"/>
        </w:rPr>
        <w:t>skenarëve</w:t>
      </w:r>
      <w:r>
        <w:rPr>
          <w:rFonts w:cs="Times New Roman"/>
          <w:i/>
          <w:spacing w:val="-7"/>
          <w:lang w:val="sq-AL"/>
        </w:rPr>
        <w:t xml:space="preserve"> </w:t>
      </w:r>
      <w:r>
        <w:rPr>
          <w:rFonts w:cs="Times New Roman"/>
          <w:i/>
          <w:lang w:val="sq-AL"/>
        </w:rPr>
        <w:t>të</w:t>
      </w:r>
      <w:r>
        <w:rPr>
          <w:rFonts w:cs="Times New Roman"/>
          <w:i/>
          <w:spacing w:val="-1"/>
          <w:lang w:val="sq-AL"/>
        </w:rPr>
        <w:t xml:space="preserve"> </w:t>
      </w:r>
      <w:r>
        <w:rPr>
          <w:rFonts w:cs="Times New Roman"/>
          <w:i/>
          <w:lang w:val="sq-AL"/>
        </w:rPr>
        <w:t>shumëfishtë</w:t>
      </w:r>
      <w:r>
        <w:rPr>
          <w:rFonts w:cs="Times New Roman"/>
          <w:i/>
          <w:spacing w:val="-5"/>
          <w:lang w:val="sq-AL"/>
        </w:rPr>
        <w:t xml:space="preserve"> </w:t>
      </w:r>
      <w:r>
        <w:rPr>
          <w:rFonts w:cs="Times New Roman"/>
          <w:i/>
          <w:lang w:val="sq-AL"/>
        </w:rPr>
        <w:t>në</w:t>
      </w:r>
      <w:r>
        <w:rPr>
          <w:rFonts w:cs="Times New Roman"/>
          <w:i/>
          <w:spacing w:val="-2"/>
          <w:lang w:val="sq-AL"/>
        </w:rPr>
        <w:t xml:space="preserve"> </w:t>
      </w:r>
      <w:r>
        <w:rPr>
          <w:rFonts w:cs="Times New Roman"/>
          <w:i/>
          <w:lang w:val="sq-AL"/>
        </w:rPr>
        <w:t>pajtim</w:t>
      </w:r>
      <w:r>
        <w:rPr>
          <w:rFonts w:cs="Times New Roman"/>
          <w:i/>
          <w:spacing w:val="-4"/>
          <w:lang w:val="sq-AL"/>
        </w:rPr>
        <w:t xml:space="preserve"> </w:t>
      </w:r>
      <w:r>
        <w:rPr>
          <w:rFonts w:cs="Times New Roman"/>
          <w:i/>
          <w:lang w:val="sq-AL"/>
        </w:rPr>
        <w:t>me nenin</w:t>
      </w:r>
      <w:r>
        <w:rPr>
          <w:rFonts w:cs="Times New Roman"/>
          <w:i/>
          <w:spacing w:val="-4"/>
          <w:lang w:val="sq-AL"/>
        </w:rPr>
        <w:t xml:space="preserve"> </w:t>
      </w:r>
      <w:r>
        <w:rPr>
          <w:rFonts w:cs="Times New Roman"/>
          <w:i/>
          <w:lang w:val="sq-AL"/>
        </w:rPr>
        <w:t>10</w:t>
      </w:r>
      <w:r>
        <w:rPr>
          <w:rFonts w:cs="Times New Roman"/>
          <w:i/>
          <w:spacing w:val="-2"/>
          <w:lang w:val="sq-AL"/>
        </w:rPr>
        <w:t>.</w:t>
      </w:r>
    </w:p>
    <w:p w:rsidR="002F02C2" w:rsidRDefault="002F02C2" w:rsidP="002F02C2">
      <w:pPr>
        <w:pStyle w:val="Paragrafi"/>
        <w:rPr>
          <w:rFonts w:cs="Times New Roman"/>
          <w:i/>
          <w:lang w:val="sq-AL"/>
        </w:rPr>
      </w:pPr>
      <w:r>
        <w:rPr>
          <w:rFonts w:cs="Times New Roman"/>
          <w:i/>
          <w:lang w:val="sq-AL"/>
        </w:rPr>
        <w:t>3. Kur hartohet metodologjia e modelit të përbashkët e rrjetit, do të zbatohen kërkesat e përcaktuara në nenin 17 të Rregullores (BE-së) 2015/1222.</w:t>
      </w:r>
    </w:p>
    <w:p w:rsidR="002F02C2" w:rsidRDefault="002F02C2" w:rsidP="002F02C2">
      <w:pPr>
        <w:pStyle w:val="Paragrafi"/>
        <w:rPr>
          <w:rFonts w:cs="Times New Roman"/>
          <w:lang w:val="sq-AL"/>
        </w:rPr>
      </w:pPr>
      <w:r>
        <w:rPr>
          <w:rFonts w:cs="Times New Roman"/>
          <w:lang w:val="sq-AL"/>
        </w:rPr>
        <w:t>6. Neni 2 (2) i Rregullores 2015/1222 përcakton modelin e përbashkët të rrjetit si:</w:t>
      </w:r>
    </w:p>
    <w:p w:rsidR="002F02C2" w:rsidRDefault="002F02C2" w:rsidP="002F02C2">
      <w:pPr>
        <w:pStyle w:val="Paragrafi"/>
        <w:rPr>
          <w:rFonts w:cs="Times New Roman"/>
          <w:i/>
          <w:spacing w:val="-4"/>
          <w:lang w:val="sq-AL"/>
        </w:rPr>
      </w:pPr>
      <w:r>
        <w:rPr>
          <w:rFonts w:cs="Times New Roman"/>
          <w:i/>
          <w:spacing w:val="-4"/>
          <w:lang w:val="sq-AL"/>
        </w:rPr>
        <w:t>“Një bashkim i gjerë të dhënash, i dakorduar ndërmjet OST-ve të ndryshëm duke përshkruar karakteristikat kryesore të sistemit energjetik (gjenerim, ngarkesë dhe topologji rrjeti) dhe rregullat për ndryshimin e këtyre karakteristikave gjatë procesit të llogaritjes së kapacitetit”.</w:t>
      </w:r>
    </w:p>
    <w:p w:rsidR="002F02C2" w:rsidRDefault="002F02C2" w:rsidP="002F02C2">
      <w:pPr>
        <w:pStyle w:val="Paragrafi"/>
        <w:rPr>
          <w:rFonts w:cs="Times New Roman"/>
          <w:lang w:val="sq-AL"/>
        </w:rPr>
      </w:pPr>
      <w:r>
        <w:rPr>
          <w:rFonts w:cs="Times New Roman"/>
          <w:lang w:val="sq-AL"/>
        </w:rPr>
        <w:t>7. Neni</w:t>
      </w:r>
      <w:r>
        <w:rPr>
          <w:rFonts w:cs="Times New Roman"/>
          <w:spacing w:val="14"/>
          <w:lang w:val="sq-AL"/>
        </w:rPr>
        <w:t xml:space="preserve"> </w:t>
      </w:r>
      <w:r>
        <w:rPr>
          <w:rFonts w:cs="Times New Roman"/>
          <w:lang w:val="sq-AL"/>
        </w:rPr>
        <w:t>2</w:t>
      </w:r>
      <w:r>
        <w:rPr>
          <w:rFonts w:cs="Times New Roman"/>
          <w:spacing w:val="5"/>
          <w:lang w:val="sq-AL"/>
        </w:rPr>
        <w:t xml:space="preserve"> </w:t>
      </w:r>
      <w:r>
        <w:rPr>
          <w:rFonts w:cs="Times New Roman"/>
          <w:lang w:val="sq-AL"/>
        </w:rPr>
        <w:t>(4)</w:t>
      </w:r>
      <w:r>
        <w:rPr>
          <w:rFonts w:cs="Times New Roman"/>
          <w:spacing w:val="9"/>
          <w:lang w:val="sq-AL"/>
        </w:rPr>
        <w:t xml:space="preserve"> </w:t>
      </w:r>
      <w:r>
        <w:rPr>
          <w:rFonts w:cs="Times New Roman"/>
          <w:lang w:val="sq-AL"/>
        </w:rPr>
        <w:t>i</w:t>
      </w:r>
      <w:r>
        <w:rPr>
          <w:rFonts w:cs="Times New Roman"/>
          <w:spacing w:val="7"/>
          <w:lang w:val="sq-AL"/>
        </w:rPr>
        <w:t xml:space="preserve"> </w:t>
      </w:r>
      <w:r>
        <w:rPr>
          <w:rFonts w:cs="Times New Roman"/>
          <w:lang w:val="sq-AL"/>
        </w:rPr>
        <w:t>Rregullores</w:t>
      </w:r>
      <w:r>
        <w:rPr>
          <w:rFonts w:cs="Times New Roman"/>
          <w:spacing w:val="33"/>
          <w:lang w:val="sq-AL"/>
        </w:rPr>
        <w:t xml:space="preserve"> </w:t>
      </w:r>
      <w:r>
        <w:rPr>
          <w:rFonts w:cs="Times New Roman"/>
          <w:lang w:val="sq-AL"/>
        </w:rPr>
        <w:t>2015/1222</w:t>
      </w:r>
      <w:r>
        <w:rPr>
          <w:rFonts w:cs="Times New Roman"/>
          <w:spacing w:val="30"/>
          <w:lang w:val="sq-AL"/>
        </w:rPr>
        <w:t xml:space="preserve"> </w:t>
      </w:r>
      <w:r>
        <w:rPr>
          <w:rFonts w:cs="Times New Roman"/>
          <w:lang w:val="sq-AL"/>
        </w:rPr>
        <w:t>përcakton</w:t>
      </w:r>
      <w:r>
        <w:rPr>
          <w:rFonts w:cs="Times New Roman"/>
          <w:spacing w:val="28"/>
          <w:lang w:val="sq-AL"/>
        </w:rPr>
        <w:t xml:space="preserve"> </w:t>
      </w:r>
      <w:r>
        <w:rPr>
          <w:rFonts w:cs="Times New Roman"/>
          <w:lang w:val="sq-AL"/>
        </w:rPr>
        <w:t>një</w:t>
      </w:r>
      <w:r>
        <w:rPr>
          <w:rFonts w:cs="Times New Roman"/>
          <w:spacing w:val="10"/>
          <w:lang w:val="sq-AL"/>
        </w:rPr>
        <w:t xml:space="preserve"> </w:t>
      </w:r>
      <w:r>
        <w:rPr>
          <w:rFonts w:cs="Times New Roman"/>
          <w:lang w:val="sq-AL"/>
        </w:rPr>
        <w:t>skenar</w:t>
      </w:r>
      <w:r>
        <w:rPr>
          <w:rFonts w:cs="Times New Roman"/>
          <w:spacing w:val="20"/>
          <w:lang w:val="sq-AL"/>
        </w:rPr>
        <w:t xml:space="preserve"> </w:t>
      </w:r>
      <w:r>
        <w:rPr>
          <w:rFonts w:cs="Times New Roman"/>
          <w:w w:val="104"/>
          <w:lang w:val="sq-AL"/>
        </w:rPr>
        <w:t>si:</w:t>
      </w:r>
    </w:p>
    <w:p w:rsidR="002F02C2" w:rsidRDefault="002F02C2" w:rsidP="002F02C2">
      <w:pPr>
        <w:pStyle w:val="Paragrafi"/>
        <w:rPr>
          <w:rFonts w:cs="Times New Roman"/>
          <w:i/>
          <w:lang w:val="sq-AL"/>
        </w:rPr>
      </w:pPr>
      <w:r>
        <w:rPr>
          <w:rFonts w:cs="Times New Roman"/>
          <w:i/>
          <w:lang w:val="sq-AL"/>
        </w:rPr>
        <w:t>“Gjendja e parashikuar</w:t>
      </w:r>
      <w:r>
        <w:rPr>
          <w:rFonts w:cs="Times New Roman"/>
          <w:i/>
          <w:spacing w:val="-8"/>
          <w:lang w:val="sq-AL"/>
        </w:rPr>
        <w:t xml:space="preserve"> </w:t>
      </w:r>
      <w:r>
        <w:rPr>
          <w:rFonts w:cs="Times New Roman"/>
          <w:i/>
          <w:lang w:val="sq-AL"/>
        </w:rPr>
        <w:t>e sistemit</w:t>
      </w:r>
      <w:r>
        <w:rPr>
          <w:rFonts w:cs="Times New Roman"/>
          <w:i/>
          <w:spacing w:val="-1"/>
          <w:lang w:val="sq-AL"/>
        </w:rPr>
        <w:t xml:space="preserve"> </w:t>
      </w:r>
      <w:r>
        <w:rPr>
          <w:rFonts w:cs="Times New Roman"/>
          <w:i/>
          <w:lang w:val="sq-AL"/>
        </w:rPr>
        <w:t>energjetik për një periudhë të</w:t>
      </w:r>
      <w:r>
        <w:rPr>
          <w:rFonts w:cs="Times New Roman"/>
          <w:i/>
          <w:spacing w:val="-1"/>
          <w:lang w:val="sq-AL"/>
        </w:rPr>
        <w:t xml:space="preserve"> </w:t>
      </w:r>
      <w:r>
        <w:rPr>
          <w:rFonts w:cs="Times New Roman"/>
          <w:i/>
          <w:lang w:val="sq-AL"/>
        </w:rPr>
        <w:t>caktuar</w:t>
      </w:r>
      <w:r>
        <w:rPr>
          <w:rFonts w:cs="Times New Roman"/>
          <w:i/>
          <w:spacing w:val="-5"/>
          <w:lang w:val="sq-AL"/>
        </w:rPr>
        <w:t xml:space="preserve"> </w:t>
      </w:r>
      <w:r>
        <w:rPr>
          <w:rFonts w:cs="Times New Roman"/>
          <w:i/>
          <w:lang w:val="sq-AL"/>
        </w:rPr>
        <w:t>kohore”.</w:t>
      </w:r>
    </w:p>
    <w:p w:rsidR="002F02C2" w:rsidRDefault="002F02C2" w:rsidP="002F02C2">
      <w:pPr>
        <w:pStyle w:val="Paragrafi"/>
        <w:rPr>
          <w:rFonts w:cs="Times New Roman"/>
          <w:lang w:val="sq-AL"/>
        </w:rPr>
      </w:pPr>
      <w:r>
        <w:rPr>
          <w:rFonts w:cs="Times New Roman"/>
          <w:lang w:val="sq-AL"/>
        </w:rPr>
        <w:t>8. Neni</w:t>
      </w:r>
      <w:r>
        <w:rPr>
          <w:rFonts w:cs="Times New Roman"/>
          <w:spacing w:val="11"/>
          <w:lang w:val="sq-AL"/>
        </w:rPr>
        <w:t xml:space="preserve"> </w:t>
      </w:r>
      <w:r>
        <w:rPr>
          <w:rFonts w:cs="Times New Roman"/>
          <w:lang w:val="sq-AL"/>
        </w:rPr>
        <w:t>2</w:t>
      </w:r>
      <w:r>
        <w:rPr>
          <w:rFonts w:cs="Times New Roman"/>
          <w:spacing w:val="4"/>
          <w:lang w:val="sq-AL"/>
        </w:rPr>
        <w:t xml:space="preserve"> </w:t>
      </w:r>
      <w:r>
        <w:rPr>
          <w:rFonts w:cs="Times New Roman"/>
          <w:lang w:val="sq-AL"/>
        </w:rPr>
        <w:t>(1)</w:t>
      </w:r>
      <w:r>
        <w:rPr>
          <w:rFonts w:cs="Times New Roman"/>
          <w:spacing w:val="7"/>
          <w:lang w:val="sq-AL"/>
        </w:rPr>
        <w:t xml:space="preserve"> </w:t>
      </w:r>
      <w:r>
        <w:rPr>
          <w:rFonts w:cs="Times New Roman"/>
          <w:lang w:val="sq-AL"/>
        </w:rPr>
        <w:t>të</w:t>
      </w:r>
      <w:r>
        <w:rPr>
          <w:rFonts w:cs="Times New Roman"/>
          <w:spacing w:val="6"/>
          <w:lang w:val="sq-AL"/>
        </w:rPr>
        <w:t xml:space="preserve"> </w:t>
      </w:r>
      <w:r>
        <w:rPr>
          <w:rFonts w:cs="Times New Roman"/>
          <w:lang w:val="sq-AL"/>
        </w:rPr>
        <w:t>Rregullores</w:t>
      </w:r>
      <w:r>
        <w:rPr>
          <w:rFonts w:cs="Times New Roman"/>
          <w:spacing w:val="25"/>
          <w:lang w:val="sq-AL"/>
        </w:rPr>
        <w:t xml:space="preserve"> </w:t>
      </w:r>
      <w:r>
        <w:rPr>
          <w:rFonts w:cs="Times New Roman"/>
          <w:lang w:val="sq-AL"/>
        </w:rPr>
        <w:t>2015/1222</w:t>
      </w:r>
      <w:r>
        <w:rPr>
          <w:rFonts w:cs="Times New Roman"/>
          <w:spacing w:val="23"/>
          <w:lang w:val="sq-AL"/>
        </w:rPr>
        <w:t xml:space="preserve"> </w:t>
      </w:r>
      <w:r>
        <w:rPr>
          <w:rFonts w:cs="Times New Roman"/>
          <w:lang w:val="sq-AL"/>
        </w:rPr>
        <w:t>përcakton</w:t>
      </w:r>
      <w:r>
        <w:rPr>
          <w:rFonts w:cs="Times New Roman"/>
          <w:spacing w:val="8"/>
          <w:lang w:val="sq-AL"/>
        </w:rPr>
        <w:t xml:space="preserve"> </w:t>
      </w:r>
      <w:r>
        <w:rPr>
          <w:rFonts w:cs="Times New Roman"/>
          <w:lang w:val="sq-AL"/>
        </w:rPr>
        <w:t>modelin</w:t>
      </w:r>
      <w:r>
        <w:rPr>
          <w:rFonts w:cs="Times New Roman"/>
          <w:spacing w:val="14"/>
          <w:lang w:val="sq-AL"/>
        </w:rPr>
        <w:t xml:space="preserve"> </w:t>
      </w:r>
      <w:r>
        <w:rPr>
          <w:rFonts w:cs="Times New Roman"/>
          <w:lang w:val="sq-AL"/>
        </w:rPr>
        <w:t>individual</w:t>
      </w:r>
      <w:r>
        <w:rPr>
          <w:rFonts w:cs="Times New Roman"/>
          <w:spacing w:val="21"/>
          <w:lang w:val="sq-AL"/>
        </w:rPr>
        <w:t xml:space="preserve"> të </w:t>
      </w:r>
      <w:r>
        <w:rPr>
          <w:rFonts w:cs="Times New Roman"/>
          <w:lang w:val="sq-AL"/>
        </w:rPr>
        <w:t>rrjetit</w:t>
      </w:r>
      <w:r>
        <w:rPr>
          <w:rFonts w:cs="Times New Roman"/>
          <w:spacing w:val="12"/>
          <w:lang w:val="sq-AL"/>
        </w:rPr>
        <w:t xml:space="preserve"> </w:t>
      </w:r>
      <w:r>
        <w:rPr>
          <w:rFonts w:cs="Times New Roman"/>
          <w:w w:val="103"/>
          <w:lang w:val="sq-AL"/>
        </w:rPr>
        <w:t>si:</w:t>
      </w:r>
    </w:p>
    <w:p w:rsidR="002F02C2" w:rsidRDefault="002F02C2" w:rsidP="002F02C2">
      <w:pPr>
        <w:pStyle w:val="Paragrafi"/>
        <w:rPr>
          <w:rFonts w:cs="Times New Roman"/>
          <w:i/>
          <w:lang w:val="sq-AL"/>
        </w:rPr>
      </w:pPr>
      <w:r>
        <w:rPr>
          <w:rFonts w:cs="Times New Roman"/>
          <w:i/>
          <w:lang w:val="sq-AL"/>
        </w:rPr>
        <w:t>“Një grup të dhënash që përshkruan karakteristikat e sistemit energjetik (gjenerimin, ngarkesën dhe topologjinë e rrjetit) dhe rregullat respektive për të ndryshuar këto karakteristika gjatë llogaritjes së kapacitetit, përgatitur nga OST-të përgjegjës, për t’u bashkuar me komponentët e tjerë të modelit individual të rrjetit, me qëllim krijimin e modelit të përbashkët të rrjetit”.</w:t>
      </w:r>
    </w:p>
    <w:p w:rsidR="002F02C2" w:rsidRDefault="002F02C2" w:rsidP="002F02C2">
      <w:pPr>
        <w:pStyle w:val="Paragrafi"/>
        <w:rPr>
          <w:rFonts w:cs="Times New Roman"/>
          <w:lang w:val="sq-AL"/>
        </w:rPr>
      </w:pPr>
      <w:r>
        <w:rPr>
          <w:rFonts w:cs="Times New Roman"/>
          <w:lang w:val="sq-AL"/>
        </w:rPr>
        <w:t>9. Kërkesat e përcaktuara në nenin 17 janë të përcaktuara më hollësisht në nenet 18 dhe 19 të Rregullores 2015/1222. Neni 18 mbi skenarët e përshkruan si vijon:</w:t>
      </w:r>
    </w:p>
    <w:p w:rsidR="002F02C2" w:rsidRDefault="002F02C2" w:rsidP="002F02C2">
      <w:pPr>
        <w:pStyle w:val="Paragrafi"/>
        <w:rPr>
          <w:rFonts w:cs="Times New Roman"/>
          <w:i/>
          <w:lang w:val="sq-AL"/>
        </w:rPr>
      </w:pPr>
      <w:r>
        <w:rPr>
          <w:rFonts w:cs="Times New Roman"/>
          <w:i/>
          <w:lang w:val="sq-AL"/>
        </w:rPr>
        <w:t>“Të gjithë OST-të bashkërisht do të zhvillojnë skenarët e përbashkët për çdo periudhë kohore llogaritjeje të kapacitetit të përmendur në nenet 14 (1) (a) dhe (b). Skenarët e përbashkët do të përdoren për të përshkruar një situatë specifike parashikim për gjenerimin, ngarkesën dhe topologjinë e rrjetit për sistemin e transmetimit në modelin e përbashkët të rrjetit.</w:t>
      </w:r>
    </w:p>
    <w:p w:rsidR="002F02C2" w:rsidRDefault="002F02C2" w:rsidP="002F02C2">
      <w:pPr>
        <w:pStyle w:val="Paragrafi"/>
        <w:rPr>
          <w:rFonts w:cs="Times New Roman"/>
          <w:i/>
          <w:lang w:val="sq-AL"/>
        </w:rPr>
      </w:pPr>
      <w:r>
        <w:rPr>
          <w:rFonts w:cs="Times New Roman"/>
          <w:i/>
          <w:lang w:val="sq-AL"/>
        </w:rPr>
        <w:t>2. Për çdo njësi kohore të tregut do të krijohet një skenar, si për ditë më përpara dhe për atë brenda ditës.</w:t>
      </w:r>
    </w:p>
    <w:p w:rsidR="002F02C2" w:rsidRDefault="002F02C2" w:rsidP="002F02C2">
      <w:pPr>
        <w:pStyle w:val="Paragrafi"/>
        <w:rPr>
          <w:rFonts w:cs="Times New Roman"/>
          <w:i/>
          <w:lang w:val="sq-AL"/>
        </w:rPr>
      </w:pPr>
      <w:r>
        <w:rPr>
          <w:rFonts w:cs="Times New Roman"/>
          <w:i/>
          <w:lang w:val="sq-AL"/>
        </w:rPr>
        <w:t>3. Për çdo skenar, Të gjithë OST-të do të hartojnë së bashku rregullat e përbashkëta për përcaktimin e pozicionit neto të secilës zonë ofertash dhe fluksin për çdo linjë me rrymë të vazhduar. Këto rregulla të përbashkëta do të bazohen në parashikimin më të mirë të pozicionit neto të secilës zonë ofertimi dhe në parashikimin më të mirë të flukseve në çdo linje të rrymës së vazhduar për secilin skenar dhe duhet të përfshijnë bilancin e përgjithshëm ndërmjet ngarkesës dhe gjenerimit për sistemin e transmetimit. Nuk do të ketë diskriminim të panevojshëm ndërmjet shkëmbimeve të brendshme dhe atij ndërrajonal gjatë përcaktimit të skenarëve, në përputhje me pikën 1.7, të aneksit I, të Rregullores (KE) nr. 714/2009.</w:t>
      </w:r>
    </w:p>
    <w:p w:rsidR="002F02C2" w:rsidRDefault="002F02C2" w:rsidP="002F02C2">
      <w:pPr>
        <w:pStyle w:val="Paragrafi"/>
        <w:rPr>
          <w:rFonts w:cs="Times New Roman"/>
          <w:lang w:val="sq-AL"/>
        </w:rPr>
      </w:pPr>
      <w:r>
        <w:rPr>
          <w:rFonts w:cs="Times New Roman"/>
          <w:lang w:val="sq-AL"/>
        </w:rPr>
        <w:t>Pika 1.7 e aneksit I të Rregullores (KE) nr. 714/2009 përcakton si në vijim:</w:t>
      </w:r>
    </w:p>
    <w:p w:rsidR="002F02C2" w:rsidRDefault="002F02C2" w:rsidP="002F02C2">
      <w:pPr>
        <w:pStyle w:val="Paragrafi"/>
        <w:rPr>
          <w:rFonts w:cs="Times New Roman"/>
          <w:i/>
          <w:lang w:val="sq-AL"/>
        </w:rPr>
      </w:pPr>
      <w:r>
        <w:rPr>
          <w:rFonts w:cs="Times New Roman"/>
          <w:i/>
          <w:lang w:val="sq-AL"/>
        </w:rPr>
        <w:t xml:space="preserve">“Gjatë përcaktimit të zonave të rrjetit, në/dhe mes të cilave menaxhohet kongjestioni, OST-të do të udhëhiqen nga parimet e kosto-efektivitetit dhe minimizimit të ndikimeve negative në tregun e brendshëm të energjisë elektrike. Në mënyrë të veçantë, OST-të nuk do të kufizojnë kapacitetin e interkoneksionit si mënyrë zgjidhjeje për kongjestionet brenda zonës së tyre të kontrollit, ta ruajnë për shkaqet e lartpërmendura dhe për shkaqe të ruajtjes së sigurisë operative. </w:t>
      </w:r>
      <w:r>
        <w:rPr>
          <w:rFonts w:cs="Times New Roman"/>
          <w:i/>
          <w:lang w:val="sq-AL"/>
        </w:rPr>
        <w:lastRenderedPageBreak/>
        <w:t>Nëse një situatë e tillë ndodh, kjo do të përshkruhet dhe do ët paraqitet në mënyrë transparente nga OST-të për të gjithë përdoruesit e sistemit. Një situatë e tillë do të tolerohet deri në gjetjen e një zgjidhjeje afatgjatë. Metodologjia dhe projektet për arritjen e zgjidhjes afatgjatë do të përshkruhet dhe paraqitet në mënyrë transparente nga OST-të për të gjithë përdoruesit e sistemit.”.</w:t>
      </w:r>
    </w:p>
    <w:p w:rsidR="002F02C2" w:rsidRDefault="002F02C2" w:rsidP="002F02C2">
      <w:pPr>
        <w:pStyle w:val="Paragrafi"/>
        <w:rPr>
          <w:rFonts w:cs="Times New Roman"/>
          <w:lang w:val="sq-AL"/>
        </w:rPr>
      </w:pPr>
      <w:r>
        <w:rPr>
          <w:rFonts w:cs="Times New Roman"/>
          <w:lang w:val="sq-AL"/>
        </w:rPr>
        <w:t>10. Neni 19 përcakton më shumë kërkesa specifike në lidhje me modelet e veçanta të rrjetit, prej të cilave ndërtohet modeli i përbashkët i rrjetit:</w:t>
      </w:r>
    </w:p>
    <w:p w:rsidR="002F02C2" w:rsidRDefault="002F02C2" w:rsidP="002F02C2">
      <w:pPr>
        <w:pStyle w:val="Paragrafi"/>
        <w:rPr>
          <w:rFonts w:cs="Times New Roman"/>
          <w:i/>
          <w:lang w:val="sq-AL"/>
        </w:rPr>
      </w:pPr>
      <w:r>
        <w:rPr>
          <w:rFonts w:cs="Times New Roman"/>
          <w:i/>
          <w:lang w:val="sq-AL"/>
        </w:rPr>
        <w:t>“1. Për çdo zonë ofertimi dhe për çdo skenar:</w:t>
      </w:r>
    </w:p>
    <w:p w:rsidR="002F02C2" w:rsidRDefault="002F02C2" w:rsidP="002F02C2">
      <w:pPr>
        <w:pStyle w:val="Paragrafi"/>
        <w:rPr>
          <w:rFonts w:cs="Times New Roman"/>
          <w:i/>
          <w:lang w:val="sq-AL"/>
        </w:rPr>
      </w:pPr>
      <w:r>
        <w:rPr>
          <w:rFonts w:cs="Times New Roman"/>
          <w:i/>
          <w:lang w:val="sq-AL"/>
        </w:rPr>
        <w:t>a) Të gjithë OST-të e zonës së ofertimit bashkërisht do të ofrojnë një model të përbashkët individual të rrjetit i cili është, në përputhje me nenin 18(3); ose</w:t>
      </w:r>
    </w:p>
    <w:p w:rsidR="002F02C2" w:rsidRDefault="002F02C2" w:rsidP="002F02C2">
      <w:pPr>
        <w:pStyle w:val="Paragrafi"/>
        <w:rPr>
          <w:rFonts w:cs="Times New Roman"/>
          <w:i/>
          <w:lang w:val="sq-AL"/>
        </w:rPr>
      </w:pPr>
      <w:r>
        <w:rPr>
          <w:rFonts w:cs="Times New Roman"/>
          <w:i/>
          <w:lang w:val="sq-AL"/>
        </w:rPr>
        <w:t>b) Çdo OST në zonën e ofertimit do të ofrojë një model individual të rrjetit për zonën e tij të kontrollit, përfshi interkonektorët, me kusht që shuma e pozicioneve neto në zonat e kontrollit, përfshirë interkonektorët, në zonën ofertuese të jetë, në përputhje me nenin 18(3).</w:t>
      </w:r>
    </w:p>
    <w:p w:rsidR="002F02C2" w:rsidRDefault="002F02C2" w:rsidP="002F02C2">
      <w:pPr>
        <w:pStyle w:val="Paragrafi"/>
        <w:rPr>
          <w:rFonts w:cs="Times New Roman"/>
          <w:i/>
          <w:lang w:val="sq-AL"/>
        </w:rPr>
      </w:pPr>
      <w:r>
        <w:rPr>
          <w:rFonts w:cs="Times New Roman"/>
          <w:i/>
          <w:lang w:val="sq-AL"/>
        </w:rPr>
        <w:t>2. Çdo model individual i rrjetit duhet të përfaqësojë parashikimin më të mirë të mundshëm të kushteve të sistemit të transmetimit për çdo skenar të specifikuar nga OST-të në kohën kur modeli individual i rrjetit është krijuar.</w:t>
      </w:r>
    </w:p>
    <w:p w:rsidR="002F02C2" w:rsidRDefault="002F02C2" w:rsidP="002F02C2">
      <w:pPr>
        <w:pStyle w:val="Paragrafi"/>
        <w:rPr>
          <w:rFonts w:cs="Times New Roman"/>
          <w:i/>
          <w:lang w:val="sq-AL"/>
        </w:rPr>
      </w:pPr>
      <w:r>
        <w:rPr>
          <w:rFonts w:cs="Times New Roman"/>
          <w:i/>
          <w:lang w:val="sq-AL"/>
        </w:rPr>
        <w:t>3. Modelet individuale të rrjetit do të marrin parasysh të gjitha elementet e rrjetit të sistemit të transmetimit që janë përdorur në analizat rajonale të sigurisë së operimit për periudhën kohore të dhënë.</w:t>
      </w:r>
    </w:p>
    <w:p w:rsidR="002F02C2" w:rsidRDefault="002F02C2" w:rsidP="002F02C2">
      <w:pPr>
        <w:pStyle w:val="Paragrafi"/>
        <w:rPr>
          <w:rFonts w:cs="Times New Roman"/>
          <w:i/>
          <w:lang w:val="sq-AL"/>
        </w:rPr>
      </w:pPr>
      <w:r>
        <w:rPr>
          <w:rFonts w:cs="Times New Roman"/>
          <w:i/>
          <w:lang w:val="sq-AL"/>
        </w:rPr>
        <w:t>4. Të gjithë OST-të do të harmonizojë në masën maksimale të mundshme mënyrën në të cilën modelet individuale rrjetit janë ndërtuar.</w:t>
      </w:r>
    </w:p>
    <w:p w:rsidR="002F02C2" w:rsidRDefault="002F02C2" w:rsidP="002F02C2">
      <w:pPr>
        <w:pStyle w:val="Paragrafi"/>
        <w:rPr>
          <w:rFonts w:cs="Times New Roman"/>
          <w:i/>
          <w:lang w:val="sq-AL"/>
        </w:rPr>
      </w:pPr>
      <w:r>
        <w:rPr>
          <w:rFonts w:cs="Times New Roman"/>
          <w:i/>
          <w:lang w:val="sq-AL"/>
        </w:rPr>
        <w:t>5. Çdo OST do të sigurojë të gjitha të dhënat e nevojshme në modelin individual të rrjetit për të lejuar flukset e fuqisë aktive dhe reaktive dhe analizat e tensionit në gjendje të qëndrueshme.</w:t>
      </w:r>
    </w:p>
    <w:p w:rsidR="002F02C2" w:rsidRDefault="002F02C2" w:rsidP="002F02C2">
      <w:pPr>
        <w:pStyle w:val="Paragrafi"/>
        <w:rPr>
          <w:rFonts w:cs="Times New Roman"/>
          <w:i/>
          <w:lang w:val="sq-AL"/>
        </w:rPr>
      </w:pPr>
      <w:r>
        <w:rPr>
          <w:rFonts w:cs="Times New Roman"/>
          <w:i/>
          <w:lang w:val="sq-AL"/>
        </w:rPr>
        <w:t>6. Kur shihet e përshtatshme dhe në bazë të marrëveshjes në mes të të gjithë OST-ve brenda një rajoni llogaritës të kapacitetit, çdo OST në atë rajon të llogaritjes së kapacitetit do të shkëmbejë të dhëna me njëri-tjetrin për të mundësuar analizat e qëndrueshmërisë dinamike dhe tensioneve.”</w:t>
      </w:r>
    </w:p>
    <w:p w:rsidR="002F02C2" w:rsidRDefault="002F02C2" w:rsidP="002F02C2">
      <w:pPr>
        <w:pStyle w:val="Paragrafi"/>
        <w:rPr>
          <w:rFonts w:cs="Times New Roman"/>
          <w:lang w:val="sq-AL"/>
        </w:rPr>
      </w:pPr>
      <w:r>
        <w:rPr>
          <w:rFonts w:cs="Times New Roman"/>
          <w:lang w:val="sq-AL"/>
        </w:rPr>
        <w:t>11. Kërkesat e përcaktuara në nenin 18 janë të përcaktuara më hollësisht në nenet 19 dhe 20 të Rregullores 2016/1719. Neni 19 mbi skenarët përshkruan si vijon:</w:t>
      </w:r>
    </w:p>
    <w:p w:rsidR="002F02C2" w:rsidRDefault="002F02C2" w:rsidP="002F02C2">
      <w:pPr>
        <w:pStyle w:val="Paragrafi"/>
        <w:rPr>
          <w:rFonts w:cs="Times New Roman"/>
          <w:i/>
          <w:lang w:val="sq-AL"/>
        </w:rPr>
      </w:pPr>
      <w:r>
        <w:rPr>
          <w:rFonts w:cs="Times New Roman"/>
          <w:i/>
          <w:lang w:val="sq-AL"/>
        </w:rPr>
        <w:t>1. “Të gjithë OST-të në rajonet e llogaritjes së kapacitetit, ku aplikohet analiza e sigurisë në bazë të skenarëve të shumëfishtë në pajtim me nenin 10, bashkërisht do të zhvillojnë një grup të përbashkët të skenarëve që do të përdoren në modelin e përbashkët të rrjetit për çdo periudhë afatgjatë të llogaritjes së kapacitetit.</w:t>
      </w:r>
    </w:p>
    <w:p w:rsidR="002F02C2" w:rsidRDefault="002F02C2" w:rsidP="002F02C2">
      <w:pPr>
        <w:pStyle w:val="Paragrafi"/>
        <w:rPr>
          <w:rFonts w:cs="Times New Roman"/>
          <w:i/>
          <w:lang w:val="sq-AL"/>
        </w:rPr>
      </w:pPr>
      <w:r>
        <w:rPr>
          <w:rFonts w:cs="Times New Roman"/>
          <w:i/>
          <w:lang w:val="sq-AL"/>
        </w:rPr>
        <w:t>2. Kur krijohet grupi i përbashkët i skenarëve, do të zbatohen kërkesat respektive të përcaktuara në nenin 18 të Rregullores (BE-së) 2015/1222”.</w:t>
      </w:r>
    </w:p>
    <w:p w:rsidR="002F02C2" w:rsidRDefault="002F02C2" w:rsidP="002F02C2">
      <w:pPr>
        <w:pStyle w:val="Paragrafi"/>
        <w:rPr>
          <w:rFonts w:cs="Times New Roman"/>
          <w:lang w:val="sq-AL"/>
        </w:rPr>
      </w:pPr>
      <w:r>
        <w:rPr>
          <w:rFonts w:cs="Times New Roman"/>
          <w:lang w:val="sq-AL"/>
        </w:rPr>
        <w:t>12. Neni 20 i Rregullores 2016/1719 përcakton:</w:t>
      </w:r>
    </w:p>
    <w:p w:rsidR="002F02C2" w:rsidRDefault="002F02C2" w:rsidP="002F02C2">
      <w:pPr>
        <w:pStyle w:val="Paragrafi"/>
        <w:rPr>
          <w:rFonts w:cs="Times New Roman"/>
          <w:i/>
          <w:lang w:val="sq-AL"/>
        </w:rPr>
      </w:pPr>
      <w:r>
        <w:rPr>
          <w:rFonts w:cs="Times New Roman"/>
          <w:i/>
          <w:lang w:val="sq-AL"/>
        </w:rPr>
        <w:t>“Kur krijohet modeli individual i rrjetit për llogaritjen e kapacitetit për periudhën kohore afatgjatë, në rajonet e llogaritjes së kapaciteteve, ku aplikohen analizat e sigurisë në bazë të skenarëve të shumëfishtë në pajtim me nenin 10, secili OST do të zbatojë kërkesat e përcaktuara në nenin 19 të Rregullores (BE) 2015/1222”.</w:t>
      </w:r>
    </w:p>
    <w:p w:rsidR="002F02C2" w:rsidRDefault="002F02C2" w:rsidP="002F02C2">
      <w:pPr>
        <w:pStyle w:val="Paragrafi"/>
        <w:rPr>
          <w:rFonts w:cs="Times New Roman"/>
          <w:i/>
          <w:lang w:val="sq-AL"/>
        </w:rPr>
      </w:pPr>
      <w:r>
        <w:rPr>
          <w:rFonts w:cs="Times New Roman"/>
          <w:i/>
          <w:lang w:val="sq-AL"/>
        </w:rPr>
        <w:t>13. Neni 27 (1) të Rregullores 2015/1222 formulon një kërkesë në lidhje me procesin e bashkimit:</w:t>
      </w:r>
    </w:p>
    <w:p w:rsidR="002F02C2" w:rsidRDefault="002F02C2" w:rsidP="002F02C2">
      <w:pPr>
        <w:pStyle w:val="Paragrafi"/>
        <w:rPr>
          <w:rFonts w:cs="Times New Roman"/>
          <w:i/>
          <w:lang w:val="sq-AL"/>
        </w:rPr>
      </w:pPr>
      <w:r>
        <w:rPr>
          <w:rFonts w:cs="Times New Roman"/>
          <w:i/>
          <w:lang w:val="sq-AL"/>
        </w:rPr>
        <w:t>“1. Jo</w:t>
      </w:r>
      <w:r>
        <w:rPr>
          <w:rFonts w:cs="Times New Roman"/>
          <w:i/>
          <w:spacing w:val="-9"/>
          <w:lang w:val="sq-AL"/>
        </w:rPr>
        <w:t xml:space="preserve"> </w:t>
      </w:r>
      <w:r>
        <w:rPr>
          <w:rFonts w:cs="Times New Roman"/>
          <w:i/>
          <w:lang w:val="sq-AL"/>
        </w:rPr>
        <w:t>më</w:t>
      </w:r>
      <w:r>
        <w:rPr>
          <w:rFonts w:cs="Times New Roman"/>
          <w:i/>
          <w:spacing w:val="-11"/>
          <w:lang w:val="sq-AL"/>
        </w:rPr>
        <w:t xml:space="preserve"> </w:t>
      </w:r>
      <w:r>
        <w:rPr>
          <w:rFonts w:cs="Times New Roman"/>
          <w:i/>
          <w:lang w:val="sq-AL"/>
        </w:rPr>
        <w:t>vonë</w:t>
      </w:r>
      <w:r>
        <w:rPr>
          <w:rFonts w:cs="Times New Roman"/>
          <w:i/>
          <w:spacing w:val="-16"/>
          <w:lang w:val="sq-AL"/>
        </w:rPr>
        <w:t xml:space="preserve"> </w:t>
      </w:r>
      <w:r>
        <w:rPr>
          <w:rFonts w:cs="Times New Roman"/>
          <w:i/>
          <w:lang w:val="sq-AL"/>
        </w:rPr>
        <w:t>se</w:t>
      </w:r>
      <w:r>
        <w:rPr>
          <w:rFonts w:cs="Times New Roman"/>
          <w:i/>
          <w:spacing w:val="-9"/>
          <w:lang w:val="sq-AL"/>
        </w:rPr>
        <w:t xml:space="preserve"> </w:t>
      </w:r>
      <w:r>
        <w:rPr>
          <w:rFonts w:cs="Times New Roman"/>
          <w:i/>
          <w:w w:val="96"/>
          <w:lang w:val="sq-AL"/>
        </w:rPr>
        <w:t xml:space="preserve">gjashtë </w:t>
      </w:r>
      <w:r>
        <w:rPr>
          <w:rFonts w:cs="Times New Roman"/>
          <w:i/>
          <w:lang w:val="sq-AL"/>
        </w:rPr>
        <w:t>muaj</w:t>
      </w:r>
      <w:r>
        <w:rPr>
          <w:rFonts w:cs="Times New Roman"/>
          <w:i/>
          <w:spacing w:val="-16"/>
          <w:lang w:val="sq-AL"/>
        </w:rPr>
        <w:t xml:space="preserve"> </w:t>
      </w:r>
      <w:r>
        <w:rPr>
          <w:rFonts w:cs="Times New Roman"/>
          <w:i/>
          <w:lang w:val="sq-AL"/>
        </w:rPr>
        <w:t>pas</w:t>
      </w:r>
      <w:r>
        <w:rPr>
          <w:rFonts w:cs="Times New Roman"/>
          <w:i/>
          <w:spacing w:val="-12"/>
          <w:lang w:val="sq-AL"/>
        </w:rPr>
        <w:t xml:space="preserve"> </w:t>
      </w:r>
      <w:r>
        <w:rPr>
          <w:rFonts w:cs="Times New Roman"/>
          <w:i/>
          <w:w w:val="96"/>
          <w:lang w:val="sq-AL"/>
        </w:rPr>
        <w:t xml:space="preserve">vendimit </w:t>
      </w:r>
      <w:r>
        <w:rPr>
          <w:rFonts w:cs="Times New Roman"/>
          <w:i/>
          <w:lang w:val="sq-AL"/>
        </w:rPr>
        <w:t>mbi</w:t>
      </w:r>
      <w:r>
        <w:rPr>
          <w:rFonts w:cs="Times New Roman"/>
          <w:i/>
          <w:spacing w:val="-11"/>
          <w:lang w:val="sq-AL"/>
        </w:rPr>
        <w:t xml:space="preserve"> </w:t>
      </w:r>
      <w:r>
        <w:rPr>
          <w:rFonts w:cs="Times New Roman"/>
          <w:i/>
          <w:w w:val="96"/>
          <w:lang w:val="sq-AL"/>
        </w:rPr>
        <w:t xml:space="preserve">metodologjinë e të dhënave të gjenerimit dhe ngarkesës </w:t>
      </w:r>
      <w:r>
        <w:rPr>
          <w:rFonts w:cs="Times New Roman"/>
          <w:i/>
          <w:lang w:val="sq-AL"/>
        </w:rPr>
        <w:t xml:space="preserve">të </w:t>
      </w:r>
      <w:r>
        <w:rPr>
          <w:rFonts w:cs="Times New Roman"/>
          <w:i/>
          <w:w w:val="96"/>
          <w:lang w:val="sq-AL"/>
        </w:rPr>
        <w:t xml:space="preserve">përmendur </w:t>
      </w:r>
      <w:r>
        <w:rPr>
          <w:rFonts w:cs="Times New Roman"/>
          <w:i/>
          <w:lang w:val="sq-AL"/>
        </w:rPr>
        <w:t>në</w:t>
      </w:r>
      <w:r>
        <w:rPr>
          <w:rFonts w:cs="Times New Roman"/>
          <w:i/>
          <w:spacing w:val="-9"/>
          <w:lang w:val="sq-AL"/>
        </w:rPr>
        <w:t xml:space="preserve"> </w:t>
      </w:r>
      <w:r>
        <w:rPr>
          <w:rFonts w:cs="Times New Roman"/>
          <w:i/>
          <w:lang w:val="sq-AL"/>
        </w:rPr>
        <w:t>nenin</w:t>
      </w:r>
      <w:r>
        <w:rPr>
          <w:rFonts w:cs="Times New Roman"/>
          <w:i/>
          <w:spacing w:val="-18"/>
          <w:lang w:val="sq-AL"/>
        </w:rPr>
        <w:t xml:space="preserve"> </w:t>
      </w:r>
      <w:r>
        <w:rPr>
          <w:rFonts w:cs="Times New Roman"/>
          <w:i/>
          <w:lang w:val="sq-AL"/>
        </w:rPr>
        <w:t>16</w:t>
      </w:r>
      <w:r>
        <w:rPr>
          <w:rFonts w:cs="Times New Roman"/>
          <w:i/>
          <w:spacing w:val="-9"/>
          <w:lang w:val="sq-AL"/>
        </w:rPr>
        <w:t xml:space="preserve"> </w:t>
      </w:r>
      <w:r>
        <w:rPr>
          <w:rFonts w:cs="Times New Roman"/>
          <w:i/>
          <w:lang w:val="sq-AL"/>
        </w:rPr>
        <w:t>dhe metodologjinë e modelit të</w:t>
      </w:r>
      <w:r>
        <w:rPr>
          <w:rFonts w:cs="Times New Roman"/>
          <w:i/>
          <w:spacing w:val="-2"/>
          <w:lang w:val="sq-AL"/>
        </w:rPr>
        <w:t xml:space="preserve"> </w:t>
      </w:r>
      <w:r>
        <w:rPr>
          <w:rFonts w:cs="Times New Roman"/>
          <w:i/>
          <w:lang w:val="sq-AL"/>
        </w:rPr>
        <w:t>përbashkët</w:t>
      </w:r>
      <w:r>
        <w:rPr>
          <w:rFonts w:cs="Times New Roman"/>
          <w:i/>
          <w:spacing w:val="-10"/>
          <w:lang w:val="sq-AL"/>
        </w:rPr>
        <w:t xml:space="preserve"> të rrjetit</w:t>
      </w:r>
      <w:r>
        <w:rPr>
          <w:rFonts w:cs="Times New Roman"/>
          <w:i/>
          <w:spacing w:val="-16"/>
          <w:lang w:val="sq-AL"/>
        </w:rPr>
        <w:t xml:space="preserve"> </w:t>
      </w:r>
      <w:r>
        <w:rPr>
          <w:rFonts w:cs="Times New Roman"/>
          <w:i/>
          <w:lang w:val="sq-AL"/>
        </w:rPr>
        <w:t>të</w:t>
      </w:r>
      <w:r>
        <w:rPr>
          <w:rFonts w:cs="Times New Roman"/>
          <w:i/>
          <w:spacing w:val="-7"/>
          <w:lang w:val="sq-AL"/>
        </w:rPr>
        <w:t xml:space="preserve"> </w:t>
      </w:r>
      <w:r>
        <w:rPr>
          <w:rFonts w:cs="Times New Roman"/>
          <w:i/>
          <w:w w:val="96"/>
          <w:lang w:val="sq-AL"/>
        </w:rPr>
        <w:t xml:space="preserve">përmendur </w:t>
      </w:r>
      <w:r>
        <w:rPr>
          <w:rFonts w:cs="Times New Roman"/>
          <w:i/>
          <w:lang w:val="sq-AL"/>
        </w:rPr>
        <w:t>në</w:t>
      </w:r>
      <w:r>
        <w:rPr>
          <w:rFonts w:cs="Times New Roman"/>
          <w:i/>
          <w:spacing w:val="-9"/>
          <w:lang w:val="sq-AL"/>
        </w:rPr>
        <w:t xml:space="preserve"> </w:t>
      </w:r>
      <w:r>
        <w:rPr>
          <w:rFonts w:cs="Times New Roman"/>
          <w:i/>
          <w:lang w:val="sq-AL"/>
        </w:rPr>
        <w:t>nenin</w:t>
      </w:r>
      <w:r>
        <w:rPr>
          <w:rFonts w:cs="Times New Roman"/>
          <w:i/>
          <w:spacing w:val="-18"/>
          <w:lang w:val="sq-AL"/>
        </w:rPr>
        <w:t xml:space="preserve"> </w:t>
      </w:r>
      <w:r>
        <w:rPr>
          <w:rFonts w:cs="Times New Roman"/>
          <w:i/>
          <w:lang w:val="sq-AL"/>
        </w:rPr>
        <w:t>17,</w:t>
      </w:r>
      <w:r>
        <w:rPr>
          <w:rFonts w:cs="Times New Roman"/>
          <w:i/>
          <w:spacing w:val="-11"/>
          <w:lang w:val="sq-AL"/>
        </w:rPr>
        <w:t xml:space="preserve"> </w:t>
      </w:r>
      <w:r>
        <w:rPr>
          <w:rFonts w:cs="Times New Roman"/>
          <w:i/>
          <w:lang w:val="sq-AL"/>
        </w:rPr>
        <w:t xml:space="preserve">të gjithë OST-të do të organizojnë </w:t>
      </w:r>
      <w:r>
        <w:rPr>
          <w:rFonts w:cs="Times New Roman"/>
          <w:i/>
          <w:w w:val="96"/>
          <w:lang w:val="sq-AL"/>
        </w:rPr>
        <w:t xml:space="preserve">procesin </w:t>
      </w:r>
      <w:r>
        <w:rPr>
          <w:rFonts w:cs="Times New Roman"/>
          <w:i/>
          <w:lang w:val="sq-AL"/>
        </w:rPr>
        <w:t>e</w:t>
      </w:r>
      <w:r>
        <w:rPr>
          <w:rFonts w:cs="Times New Roman"/>
          <w:i/>
          <w:spacing w:val="-6"/>
          <w:lang w:val="sq-AL"/>
        </w:rPr>
        <w:t xml:space="preserve"> </w:t>
      </w:r>
      <w:r>
        <w:rPr>
          <w:rFonts w:cs="Times New Roman"/>
          <w:i/>
          <w:w w:val="96"/>
          <w:lang w:val="sq-AL"/>
        </w:rPr>
        <w:t xml:space="preserve">bashkimit të modeleve individuale të </w:t>
      </w:r>
      <w:r>
        <w:rPr>
          <w:rFonts w:cs="Times New Roman"/>
          <w:i/>
          <w:lang w:val="sq-AL"/>
        </w:rPr>
        <w:t>rrjetit.”</w:t>
      </w:r>
    </w:p>
    <w:p w:rsidR="002F02C2" w:rsidRDefault="002F02C2" w:rsidP="002F02C2">
      <w:pPr>
        <w:pStyle w:val="Paragrafi"/>
        <w:rPr>
          <w:rFonts w:cs="Times New Roman"/>
          <w:w w:val="103"/>
          <w:lang w:val="sq-AL"/>
        </w:rPr>
      </w:pPr>
      <w:r>
        <w:rPr>
          <w:rFonts w:cs="Times New Roman"/>
          <w:w w:val="103"/>
          <w:lang w:val="sq-AL"/>
        </w:rPr>
        <w:t xml:space="preserve"> 14. Neni 21 (1) i Rregullores 2016/1719 i referohet nenit 27 të Rregullores 2015/1222 në përcaktimin e kërkesave për krijimin e modeleve të përbashkëta të rrjetit për periudhën kohore afatgjatë:</w:t>
      </w:r>
    </w:p>
    <w:p w:rsidR="002F02C2" w:rsidRDefault="002F02C2" w:rsidP="002F02C2">
      <w:pPr>
        <w:pStyle w:val="Paragrafi"/>
        <w:rPr>
          <w:rFonts w:cs="Times New Roman"/>
          <w:i/>
          <w:w w:val="103"/>
          <w:lang w:val="sq-AL"/>
        </w:rPr>
      </w:pPr>
      <w:r>
        <w:rPr>
          <w:rFonts w:cs="Times New Roman"/>
          <w:i/>
          <w:w w:val="103"/>
          <w:lang w:val="sq-AL"/>
        </w:rPr>
        <w:t xml:space="preserve">“1. Procesi i bashkimit të modeleve individuale të rrjetit të krijuar, në përputhje me nenin 27 të Rregullores (BE) 2015/1222, duhen zbatuar kur bashkohen modelet individuale të rrjetit në një model të përbashkët të rrjetit, për secilën </w:t>
      </w:r>
      <w:r>
        <w:rPr>
          <w:rFonts w:cs="Times New Roman"/>
          <w:i/>
          <w:lang w:val="sq-AL"/>
        </w:rPr>
        <w:t>periudh</w:t>
      </w:r>
      <w:r>
        <w:rPr>
          <w:rFonts w:cs="Times New Roman"/>
          <w:i/>
          <w:w w:val="103"/>
          <w:lang w:val="sq-AL"/>
        </w:rPr>
        <w:t xml:space="preserve">ë kohore afatgjatë. Jo më vonë se gjashtë muaj pas miratimit të </w:t>
      </w:r>
      <w:r>
        <w:rPr>
          <w:rFonts w:cs="Times New Roman"/>
          <w:i/>
          <w:w w:val="96"/>
          <w:lang w:val="sq-AL"/>
        </w:rPr>
        <w:t>metodologjisë së sigurimit të të dhënave të gjenerimit dhe ngarkesës</w:t>
      </w:r>
      <w:r>
        <w:rPr>
          <w:rFonts w:cs="Times New Roman"/>
          <w:i/>
          <w:w w:val="103"/>
          <w:lang w:val="sq-AL"/>
        </w:rPr>
        <w:t xml:space="preserve"> për periudha kohore afatgjata, të përmendura në nenin 17 dhe </w:t>
      </w:r>
      <w:r>
        <w:rPr>
          <w:rFonts w:cs="Times New Roman"/>
          <w:i/>
          <w:lang w:val="sq-AL"/>
        </w:rPr>
        <w:t>metodologjisë së modelit të</w:t>
      </w:r>
      <w:r>
        <w:rPr>
          <w:rFonts w:cs="Times New Roman"/>
          <w:i/>
          <w:spacing w:val="-2"/>
          <w:lang w:val="sq-AL"/>
        </w:rPr>
        <w:t xml:space="preserve"> </w:t>
      </w:r>
      <w:r>
        <w:rPr>
          <w:rFonts w:cs="Times New Roman"/>
          <w:i/>
          <w:lang w:val="sq-AL"/>
        </w:rPr>
        <w:t>përbashkët</w:t>
      </w:r>
      <w:r>
        <w:rPr>
          <w:rFonts w:cs="Times New Roman"/>
          <w:i/>
          <w:spacing w:val="-10"/>
          <w:lang w:val="sq-AL"/>
        </w:rPr>
        <w:t xml:space="preserve"> të rrjetit</w:t>
      </w:r>
      <w:r>
        <w:rPr>
          <w:rFonts w:cs="Times New Roman"/>
          <w:i/>
          <w:w w:val="103"/>
          <w:lang w:val="sq-AL"/>
        </w:rPr>
        <w:t xml:space="preserve"> për periudha kohore afatgjata të përmendura në nenin 18, Të gjithë OST-të në çdo rajon të llogaritjes së kapacitetit duhet të krijojnë bashkërisht rregullat operative për</w:t>
      </w:r>
      <w:r>
        <w:rPr>
          <w:rFonts w:cs="Times New Roman"/>
          <w:i/>
          <w:lang w:val="sq-AL"/>
        </w:rPr>
        <w:t xml:space="preserve"> llogaritjen e kapacitetit për periudhat afatgjata kohore, për të plotësuar rregullat e </w:t>
      </w:r>
      <w:r>
        <w:rPr>
          <w:rFonts w:cs="Times New Roman"/>
          <w:i/>
          <w:w w:val="103"/>
          <w:lang w:val="sq-AL"/>
        </w:rPr>
        <w:t xml:space="preserve">përcaktuara për operim, për të bashkuar modelet individuale të rrjetit në </w:t>
      </w:r>
      <w:r>
        <w:rPr>
          <w:rFonts w:cs="Times New Roman"/>
          <w:i/>
          <w:w w:val="103"/>
          <w:lang w:val="sq-AL"/>
        </w:rPr>
        <w:lastRenderedPageBreak/>
        <w:t xml:space="preserve">përputhje me nenin 27 të Rregullores (BE) 2015/1222”. </w:t>
      </w:r>
    </w:p>
    <w:p w:rsidR="002F02C2" w:rsidRDefault="002F02C2" w:rsidP="002F02C2">
      <w:pPr>
        <w:pStyle w:val="Paragrafi"/>
        <w:rPr>
          <w:rFonts w:cs="Times New Roman"/>
          <w:w w:val="103"/>
          <w:lang w:val="sq-AL"/>
        </w:rPr>
      </w:pPr>
      <w:r>
        <w:rPr>
          <w:rFonts w:cs="Times New Roman"/>
          <w:w w:val="103"/>
          <w:lang w:val="sq-AL"/>
        </w:rPr>
        <w:t xml:space="preserve"> 15. Neni 22 i Rregullores 2016/1719 përcakton kërkesat e mëposhtme në lidhje me modelin e përbashkët të rrjetit për periudhën kohore afatgjata:</w:t>
      </w:r>
    </w:p>
    <w:p w:rsidR="002F02C2" w:rsidRDefault="002F02C2" w:rsidP="002F02C2">
      <w:pPr>
        <w:pStyle w:val="Paragrafi"/>
        <w:rPr>
          <w:rFonts w:cs="Times New Roman"/>
          <w:i/>
          <w:w w:val="103"/>
          <w:lang w:val="sq-AL"/>
        </w:rPr>
      </w:pPr>
      <w:r>
        <w:rPr>
          <w:rFonts w:cs="Times New Roman"/>
          <w:i/>
          <w:w w:val="103"/>
          <w:lang w:val="sq-AL"/>
        </w:rPr>
        <w:t xml:space="preserve">“Procesi dhe kërkesat e përcaktuara në nenin 28 të Rregullores (BE) 2015/1222 për krijimin e një modeli të përbashkët të rrjetit, duhen zbatuar kur krijohet modeli i përbashkët i rrjetit për </w:t>
      </w:r>
      <w:r>
        <w:rPr>
          <w:rFonts w:cs="Times New Roman"/>
          <w:i/>
          <w:lang w:val="sq-AL"/>
        </w:rPr>
        <w:t>periudhën kohore afatgjatë</w:t>
      </w:r>
      <w:r>
        <w:rPr>
          <w:rFonts w:cs="Times New Roman"/>
          <w:i/>
          <w:w w:val="103"/>
          <w:lang w:val="sq-AL"/>
        </w:rPr>
        <w:t xml:space="preserve"> të llogaritjes së kapacitetit në rajonet e llogaritjes të kapacitetit,</w:t>
      </w:r>
      <w:r>
        <w:rPr>
          <w:rFonts w:cs="Times New Roman"/>
          <w:i/>
          <w:lang w:val="sq-AL"/>
        </w:rPr>
        <w:t xml:space="preserve"> ku analiza e sigurisë është aplikuar në bazë të skenarëve të shumëfishtë, në pajtim me nenin 10</w:t>
      </w:r>
      <w:r>
        <w:rPr>
          <w:rFonts w:cs="Times New Roman"/>
          <w:i/>
          <w:w w:val="103"/>
          <w:lang w:val="sq-AL"/>
        </w:rPr>
        <w:t>”.</w:t>
      </w:r>
    </w:p>
    <w:p w:rsidR="002F02C2" w:rsidRDefault="002F02C2" w:rsidP="002F02C2">
      <w:pPr>
        <w:pStyle w:val="Paragrafi"/>
        <w:rPr>
          <w:rFonts w:cs="Times New Roman"/>
          <w:lang w:val="sq-AL"/>
        </w:rPr>
      </w:pPr>
      <w:r>
        <w:rPr>
          <w:rFonts w:cs="Times New Roman"/>
          <w:lang w:val="sq-AL"/>
        </w:rPr>
        <w:t xml:space="preserve"> 16. Neni</w:t>
      </w:r>
      <w:r>
        <w:rPr>
          <w:rFonts w:cs="Times New Roman"/>
          <w:spacing w:val="3"/>
          <w:lang w:val="sq-AL"/>
        </w:rPr>
        <w:t xml:space="preserve"> </w:t>
      </w:r>
      <w:r>
        <w:rPr>
          <w:rFonts w:cs="Times New Roman"/>
          <w:lang w:val="sq-AL"/>
        </w:rPr>
        <w:t>4(8)</w:t>
      </w:r>
      <w:r>
        <w:rPr>
          <w:rFonts w:cs="Times New Roman"/>
          <w:spacing w:val="2"/>
          <w:lang w:val="sq-AL"/>
        </w:rPr>
        <w:t xml:space="preserve"> </w:t>
      </w:r>
      <w:r>
        <w:rPr>
          <w:rFonts w:cs="Times New Roman"/>
          <w:lang w:val="sq-AL"/>
        </w:rPr>
        <w:t>i</w:t>
      </w:r>
      <w:r>
        <w:rPr>
          <w:rFonts w:cs="Times New Roman"/>
          <w:spacing w:val="1"/>
          <w:lang w:val="sq-AL"/>
        </w:rPr>
        <w:t xml:space="preserve"> </w:t>
      </w:r>
      <w:r>
        <w:rPr>
          <w:rFonts w:cs="Times New Roman"/>
          <w:lang w:val="sq-AL"/>
        </w:rPr>
        <w:t>Rregullores</w:t>
      </w:r>
      <w:r>
        <w:rPr>
          <w:rFonts w:cs="Times New Roman"/>
          <w:spacing w:val="8"/>
          <w:lang w:val="sq-AL"/>
        </w:rPr>
        <w:t xml:space="preserve"> </w:t>
      </w:r>
      <w:r>
        <w:rPr>
          <w:rFonts w:cs="Times New Roman"/>
          <w:lang w:val="sq-AL"/>
        </w:rPr>
        <w:t>2016/1719</w:t>
      </w:r>
      <w:r>
        <w:rPr>
          <w:rFonts w:cs="Times New Roman"/>
          <w:spacing w:val="7"/>
          <w:lang w:val="sq-AL"/>
        </w:rPr>
        <w:t xml:space="preserve"> </w:t>
      </w:r>
      <w:r>
        <w:rPr>
          <w:rFonts w:cs="Times New Roman"/>
          <w:lang w:val="sq-AL"/>
        </w:rPr>
        <w:t>përcakton</w:t>
      </w:r>
      <w:r>
        <w:rPr>
          <w:rFonts w:cs="Times New Roman"/>
          <w:spacing w:val="7"/>
          <w:lang w:val="sq-AL"/>
        </w:rPr>
        <w:t xml:space="preserve"> </w:t>
      </w:r>
      <w:r>
        <w:rPr>
          <w:rFonts w:cs="Times New Roman"/>
          <w:lang w:val="sq-AL"/>
        </w:rPr>
        <w:t>dy</w:t>
      </w:r>
      <w:r>
        <w:rPr>
          <w:rFonts w:cs="Times New Roman"/>
          <w:spacing w:val="2"/>
          <w:lang w:val="sq-AL"/>
        </w:rPr>
        <w:t xml:space="preserve"> </w:t>
      </w:r>
      <w:r>
        <w:rPr>
          <w:rFonts w:cs="Times New Roman"/>
          <w:lang w:val="sq-AL"/>
        </w:rPr>
        <w:t>detyrime</w:t>
      </w:r>
      <w:r>
        <w:rPr>
          <w:rFonts w:cs="Times New Roman"/>
          <w:spacing w:val="6"/>
          <w:lang w:val="sq-AL"/>
        </w:rPr>
        <w:t xml:space="preserve"> </w:t>
      </w:r>
      <w:r>
        <w:rPr>
          <w:rFonts w:cs="Times New Roman"/>
          <w:lang w:val="sq-AL"/>
        </w:rPr>
        <w:t>të</w:t>
      </w:r>
      <w:r>
        <w:rPr>
          <w:rFonts w:cs="Times New Roman"/>
          <w:spacing w:val="1"/>
          <w:lang w:val="sq-AL"/>
        </w:rPr>
        <w:t xml:space="preserve"> </w:t>
      </w:r>
      <w:r>
        <w:rPr>
          <w:rFonts w:cs="Times New Roman"/>
          <w:w w:val="101"/>
          <w:lang w:val="sq-AL"/>
        </w:rPr>
        <w:t>mëtejshme:</w:t>
      </w:r>
    </w:p>
    <w:p w:rsidR="002F02C2" w:rsidRDefault="002F02C2" w:rsidP="002F02C2">
      <w:pPr>
        <w:pStyle w:val="Paragrafi"/>
        <w:rPr>
          <w:rFonts w:cs="Times New Roman"/>
          <w:i/>
          <w:lang w:val="sq-AL"/>
        </w:rPr>
      </w:pPr>
      <w:r>
        <w:rPr>
          <w:rFonts w:cs="Times New Roman"/>
          <w:i/>
          <w:lang w:val="sq-AL"/>
        </w:rPr>
        <w:t>“Propozimi për termat dhe kushtet ose metodologjitë duhet të përfshijë afatet e propozuara për zbatimin e tyre dhe</w:t>
      </w:r>
      <w:r>
        <w:rPr>
          <w:rFonts w:cs="Times New Roman"/>
          <w:i/>
          <w:spacing w:val="-3"/>
          <w:lang w:val="sq-AL"/>
        </w:rPr>
        <w:t xml:space="preserve"> </w:t>
      </w:r>
      <w:r>
        <w:rPr>
          <w:rFonts w:cs="Times New Roman"/>
          <w:i/>
          <w:lang w:val="sq-AL"/>
        </w:rPr>
        <w:t>një përshkrim</w:t>
      </w:r>
      <w:r>
        <w:rPr>
          <w:rFonts w:cs="Times New Roman"/>
          <w:i/>
          <w:spacing w:val="-7"/>
          <w:lang w:val="sq-AL"/>
        </w:rPr>
        <w:t xml:space="preserve"> </w:t>
      </w:r>
      <w:r>
        <w:rPr>
          <w:rFonts w:cs="Times New Roman"/>
          <w:i/>
          <w:lang w:val="sq-AL"/>
        </w:rPr>
        <w:t>të</w:t>
      </w:r>
      <w:r>
        <w:rPr>
          <w:rFonts w:cs="Times New Roman"/>
          <w:i/>
          <w:spacing w:val="-1"/>
          <w:lang w:val="sq-AL"/>
        </w:rPr>
        <w:t xml:space="preserve"> </w:t>
      </w:r>
      <w:r>
        <w:rPr>
          <w:rFonts w:cs="Times New Roman"/>
          <w:i/>
          <w:lang w:val="sq-AL"/>
        </w:rPr>
        <w:t>ndikimit</w:t>
      </w:r>
      <w:r>
        <w:rPr>
          <w:rFonts w:cs="Times New Roman"/>
          <w:i/>
          <w:spacing w:val="-5"/>
          <w:lang w:val="sq-AL"/>
        </w:rPr>
        <w:t xml:space="preserve"> </w:t>
      </w:r>
      <w:r>
        <w:rPr>
          <w:rFonts w:cs="Times New Roman"/>
          <w:i/>
          <w:lang w:val="sq-AL"/>
        </w:rPr>
        <w:t>të</w:t>
      </w:r>
      <w:r>
        <w:rPr>
          <w:rFonts w:cs="Times New Roman"/>
          <w:i/>
          <w:spacing w:val="-1"/>
          <w:lang w:val="sq-AL"/>
        </w:rPr>
        <w:t xml:space="preserve"> </w:t>
      </w:r>
      <w:r>
        <w:rPr>
          <w:rFonts w:cs="Times New Roman"/>
          <w:i/>
          <w:lang w:val="sq-AL"/>
        </w:rPr>
        <w:t>tyre</w:t>
      </w:r>
      <w:r>
        <w:rPr>
          <w:rFonts w:cs="Times New Roman"/>
          <w:i/>
          <w:spacing w:val="-3"/>
          <w:lang w:val="sq-AL"/>
        </w:rPr>
        <w:t xml:space="preserve"> </w:t>
      </w:r>
      <w:r>
        <w:rPr>
          <w:rFonts w:cs="Times New Roman"/>
          <w:i/>
          <w:lang w:val="sq-AL"/>
        </w:rPr>
        <w:t>të</w:t>
      </w:r>
      <w:r>
        <w:rPr>
          <w:rFonts w:cs="Times New Roman"/>
          <w:i/>
          <w:spacing w:val="-1"/>
          <w:lang w:val="sq-AL"/>
        </w:rPr>
        <w:t xml:space="preserve"> </w:t>
      </w:r>
      <w:r>
        <w:rPr>
          <w:rFonts w:cs="Times New Roman"/>
          <w:i/>
          <w:lang w:val="sq-AL"/>
        </w:rPr>
        <w:t>pritshëm</w:t>
      </w:r>
      <w:r>
        <w:rPr>
          <w:rFonts w:cs="Times New Roman"/>
          <w:i/>
          <w:spacing w:val="-6"/>
          <w:lang w:val="sq-AL"/>
        </w:rPr>
        <w:t xml:space="preserve"> </w:t>
      </w:r>
      <w:r>
        <w:rPr>
          <w:rFonts w:cs="Times New Roman"/>
          <w:i/>
          <w:lang w:val="sq-AL"/>
        </w:rPr>
        <w:t>mbi objektivat</w:t>
      </w:r>
      <w:r>
        <w:rPr>
          <w:rFonts w:cs="Times New Roman"/>
          <w:i/>
          <w:spacing w:val="-7"/>
          <w:lang w:val="sq-AL"/>
        </w:rPr>
        <w:t xml:space="preserve"> </w:t>
      </w:r>
      <w:r>
        <w:rPr>
          <w:rFonts w:cs="Times New Roman"/>
          <w:i/>
          <w:lang w:val="sq-AL"/>
        </w:rPr>
        <w:t>e</w:t>
      </w:r>
      <w:r>
        <w:rPr>
          <w:rFonts w:cs="Times New Roman"/>
          <w:i/>
          <w:spacing w:val="-1"/>
          <w:lang w:val="sq-AL"/>
        </w:rPr>
        <w:t xml:space="preserve"> </w:t>
      </w:r>
      <w:r>
        <w:rPr>
          <w:rFonts w:cs="Times New Roman"/>
          <w:i/>
          <w:lang w:val="sq-AL"/>
        </w:rPr>
        <w:t>kësaj</w:t>
      </w:r>
      <w:r>
        <w:rPr>
          <w:rFonts w:cs="Times New Roman"/>
          <w:i/>
          <w:spacing w:val="-4"/>
          <w:lang w:val="sq-AL"/>
        </w:rPr>
        <w:t xml:space="preserve"> </w:t>
      </w:r>
      <w:r>
        <w:rPr>
          <w:rFonts w:cs="Times New Roman"/>
          <w:i/>
          <w:lang w:val="sq-AL"/>
        </w:rPr>
        <w:t>rregulloreje.”</w:t>
      </w:r>
    </w:p>
    <w:p w:rsidR="002F02C2" w:rsidRDefault="002F02C2" w:rsidP="002F02C2">
      <w:pPr>
        <w:pStyle w:val="Paragrafi"/>
        <w:rPr>
          <w:rFonts w:cs="Times New Roman"/>
          <w:lang w:val="sq-AL"/>
        </w:rPr>
      </w:pPr>
      <w:r>
        <w:rPr>
          <w:rFonts w:cs="Times New Roman"/>
          <w:lang w:val="sq-AL"/>
        </w:rPr>
        <w:t xml:space="preserve"> 17. Nenet 28 pikat 3–5 të Rregullores 2015/1222, formulon detyrimet shtesë të rëndësishme për propozimin e</w:t>
      </w:r>
      <w:r>
        <w:rPr>
          <w:rFonts w:cs="Times New Roman"/>
          <w:spacing w:val="24"/>
          <w:lang w:val="sq-AL"/>
        </w:rPr>
        <w:t xml:space="preserve"> </w:t>
      </w:r>
      <w:r>
        <w:rPr>
          <w:rFonts w:cs="Times New Roman"/>
          <w:lang w:val="sq-AL"/>
        </w:rPr>
        <w:t>MMPRR-së</w:t>
      </w:r>
      <w:r>
        <w:rPr>
          <w:rFonts w:cs="Times New Roman"/>
          <w:w w:val="103"/>
          <w:lang w:val="sq-AL"/>
        </w:rPr>
        <w:t>:</w:t>
      </w:r>
    </w:p>
    <w:p w:rsidR="002F02C2" w:rsidRDefault="002F02C2" w:rsidP="002F02C2">
      <w:pPr>
        <w:pStyle w:val="Paragrafi"/>
        <w:rPr>
          <w:rFonts w:cs="Times New Roman"/>
          <w:i/>
          <w:lang w:val="sq-AL"/>
        </w:rPr>
      </w:pPr>
      <w:r>
        <w:rPr>
          <w:rFonts w:cs="Times New Roman"/>
          <w:i/>
          <w:lang w:val="sq-AL"/>
        </w:rPr>
        <w:t>“3. Për çdo periudhë kohore të llogaritjes së kapacitetit, çdo OST do të krijojë modelin individual të rrjetit për çdo skenar, në përputhje me nenin 19, në mënyrë që të bashkohen modelet individuale të rrjetit në një model të përbashkët të rrjetit.</w:t>
      </w:r>
    </w:p>
    <w:p w:rsidR="002F02C2" w:rsidRDefault="002F02C2" w:rsidP="002F02C2">
      <w:pPr>
        <w:pStyle w:val="Paragrafi"/>
        <w:rPr>
          <w:rFonts w:cs="Times New Roman"/>
          <w:i/>
          <w:lang w:val="sq-AL"/>
        </w:rPr>
      </w:pPr>
      <w:r>
        <w:rPr>
          <w:rFonts w:cs="Times New Roman"/>
          <w:i/>
          <w:lang w:val="sq-AL"/>
        </w:rPr>
        <w:t>4. Çdo OST do t’i dorëzojë OST-së përgjegjëse për bashkimin e modeleve individuale të rrjetit një model të përbashkët të rrjetit, grupin më të besueshëm të vlerësimeve praktike për secilin model individual të rrjetit.</w:t>
      </w:r>
    </w:p>
    <w:p w:rsidR="002F02C2" w:rsidRDefault="002F02C2" w:rsidP="002F02C2">
      <w:pPr>
        <w:pStyle w:val="Paragrafi"/>
        <w:rPr>
          <w:rFonts w:cs="Times New Roman"/>
          <w:i/>
          <w:lang w:val="sq-AL"/>
        </w:rPr>
      </w:pPr>
      <w:r>
        <w:rPr>
          <w:rFonts w:cs="Times New Roman"/>
          <w:i/>
          <w:lang w:val="sq-AL"/>
        </w:rPr>
        <w:t>5. Për çdo periudhë kohore të llogaritjes së kapacitetit, do të krijohet një model i vetëm i bashkuar i rrjeti, siç është përcaktuar në nenin 18, nga bashkimi i modeleve të të gjithë OST-ve, duke aplikuar procesin e llogaritjes së kapaciteteve, siç është përcaktuar në paragrafin 3 të këtij neni.</w:t>
      </w:r>
    </w:p>
    <w:p w:rsidR="002F02C2" w:rsidRDefault="002F02C2" w:rsidP="002F02C2">
      <w:pPr>
        <w:pStyle w:val="Paragrafi"/>
        <w:rPr>
          <w:rFonts w:cs="Times New Roman"/>
          <w:lang w:val="sq-AL"/>
        </w:rPr>
      </w:pPr>
      <w:r>
        <w:rPr>
          <w:rFonts w:cs="Times New Roman"/>
          <w:lang w:val="sq-AL"/>
        </w:rPr>
        <w:t>18. Neni 4 (8) i Rregullores 2016/1719 kërkon që ndikimi i pritshëm i propozimit të MMPRR-së në objektivat e Rregullores 2016/1719 të jetë i përshkruar. Ndikimi është paraqitur më poshtë (pikat 19 deri 28 të këtij seksioni).</w:t>
      </w:r>
    </w:p>
    <w:p w:rsidR="002F02C2" w:rsidRDefault="002F02C2" w:rsidP="002F02C2">
      <w:pPr>
        <w:spacing w:after="0" w:line="240" w:lineRule="auto"/>
        <w:rPr>
          <w:rFonts w:ascii="Garamond" w:hAnsi="Garamond"/>
          <w:sz w:val="24"/>
          <w:szCs w:val="24"/>
          <w:lang w:val="sq-AL"/>
        </w:rPr>
      </w:pPr>
      <w:r>
        <w:rPr>
          <w:rFonts w:ascii="Garamond" w:hAnsi="Garamond"/>
          <w:sz w:val="24"/>
          <w:szCs w:val="24"/>
          <w:lang w:val="sq-AL"/>
        </w:rPr>
        <w:t>19. Propozimi i MMPRR-së kontribuon dhe nuk pengon në asnjë mënyrë arritjen e</w:t>
      </w:r>
      <w:r>
        <w:rPr>
          <w:rFonts w:ascii="Garamond" w:hAnsi="Garamond"/>
          <w:sz w:val="24"/>
          <w:szCs w:val="24"/>
          <w:lang w:val="sq-AL"/>
        </w:rPr>
        <w:tab/>
        <w:t xml:space="preserve"> objektivave të nenit 3 të Rregullores 2016/1719. Në veçanti, propozimi i MMPRR-së i shërben objektivit të nxitjes të tregut efektiv ndërkufitar me synimet afatgjata mbrojtëse ndërkufitare për pjesëmarrësit e tregut (neni 3(a) i Rregullores 2016/1719), duke kontribuar në llogaritjen e koordinuar të kapacitetit nëpërmjet një metodologjie të përbashkët për përgatitjen e modeleve të veçanta të rrjetit, shkrirjen e tyre në modelin e përbashkët panevropian të rrjetit për tregjet afatgjata që përdoret vetëm në rajonet e llogaritjes së kapacitetit, ku analiza e sigurisë është aplikuar në bazë të skenarëve të shumëfishtë në pajtim me nenin 10 të Rregullores 2016/1719. </w:t>
      </w:r>
    </w:p>
    <w:p w:rsidR="002F02C2" w:rsidRDefault="002F02C2" w:rsidP="002F02C2">
      <w:pPr>
        <w:pStyle w:val="Paragrafi"/>
        <w:rPr>
          <w:rFonts w:cs="Times New Roman"/>
          <w:spacing w:val="11"/>
          <w:lang w:val="sq-AL"/>
        </w:rPr>
      </w:pPr>
      <w:r>
        <w:rPr>
          <w:rFonts w:cs="Times New Roman"/>
          <w:lang w:val="sq-AL"/>
        </w:rPr>
        <w:t xml:space="preserve"> 20. Në</w:t>
      </w:r>
      <w:r>
        <w:rPr>
          <w:rFonts w:cs="Times New Roman"/>
          <w:spacing w:val="3"/>
          <w:lang w:val="sq-AL"/>
        </w:rPr>
        <w:t xml:space="preserve"> </w:t>
      </w:r>
      <w:r>
        <w:rPr>
          <w:rFonts w:cs="Times New Roman"/>
          <w:lang w:val="sq-AL"/>
        </w:rPr>
        <w:t>pajtim</w:t>
      </w:r>
      <w:r>
        <w:rPr>
          <w:rFonts w:cs="Times New Roman"/>
          <w:spacing w:val="5"/>
          <w:lang w:val="sq-AL"/>
        </w:rPr>
        <w:t xml:space="preserve"> </w:t>
      </w:r>
      <w:r>
        <w:rPr>
          <w:rFonts w:cs="Times New Roman"/>
          <w:lang w:val="sq-AL"/>
        </w:rPr>
        <w:t>me nenin</w:t>
      </w:r>
      <w:r>
        <w:rPr>
          <w:rFonts w:cs="Times New Roman"/>
          <w:spacing w:val="5"/>
          <w:lang w:val="sq-AL"/>
        </w:rPr>
        <w:t xml:space="preserve"> </w:t>
      </w:r>
      <w:r>
        <w:rPr>
          <w:rFonts w:cs="Times New Roman"/>
          <w:lang w:val="sq-AL"/>
        </w:rPr>
        <w:t>3(b)</w:t>
      </w:r>
      <w:r>
        <w:rPr>
          <w:rFonts w:cs="Times New Roman"/>
          <w:spacing w:val="3"/>
          <w:lang w:val="sq-AL"/>
        </w:rPr>
        <w:t xml:space="preserve"> </w:t>
      </w:r>
      <w:r>
        <w:rPr>
          <w:rFonts w:cs="Times New Roman"/>
          <w:lang w:val="sq-AL"/>
        </w:rPr>
        <w:t>të</w:t>
      </w:r>
      <w:r>
        <w:rPr>
          <w:rFonts w:cs="Times New Roman"/>
          <w:spacing w:val="2"/>
          <w:lang w:val="sq-AL"/>
        </w:rPr>
        <w:t xml:space="preserve"> </w:t>
      </w:r>
      <w:r>
        <w:rPr>
          <w:rFonts w:cs="Times New Roman"/>
          <w:lang w:val="sq-AL"/>
        </w:rPr>
        <w:t>Rregullores</w:t>
      </w:r>
      <w:r>
        <w:rPr>
          <w:rFonts w:cs="Times New Roman"/>
          <w:spacing w:val="9"/>
          <w:lang w:val="sq-AL"/>
        </w:rPr>
        <w:t xml:space="preserve"> </w:t>
      </w:r>
      <w:r>
        <w:rPr>
          <w:rFonts w:cs="Times New Roman"/>
          <w:lang w:val="sq-AL"/>
        </w:rPr>
        <w:t>2016/1719</w:t>
      </w:r>
      <w:r>
        <w:rPr>
          <w:rFonts w:cs="Times New Roman"/>
          <w:spacing w:val="8"/>
          <w:lang w:val="sq-AL"/>
        </w:rPr>
        <w:t xml:space="preserve"> </w:t>
      </w:r>
      <w:r>
        <w:rPr>
          <w:rFonts w:cs="Times New Roman"/>
          <w:lang w:val="sq-AL"/>
        </w:rPr>
        <w:t>dhe</w:t>
      </w:r>
      <w:r>
        <w:rPr>
          <w:rFonts w:cs="Times New Roman"/>
          <w:spacing w:val="3"/>
          <w:lang w:val="sq-AL"/>
        </w:rPr>
        <w:t xml:space="preserve"> </w:t>
      </w:r>
      <w:r>
        <w:rPr>
          <w:rFonts w:cs="Times New Roman"/>
          <w:lang w:val="sq-AL"/>
        </w:rPr>
        <w:t>duke</w:t>
      </w:r>
      <w:r>
        <w:rPr>
          <w:rFonts w:cs="Times New Roman"/>
          <w:spacing w:val="4"/>
          <w:lang w:val="sq-AL"/>
        </w:rPr>
        <w:t xml:space="preserve"> </w:t>
      </w:r>
      <w:r>
        <w:rPr>
          <w:rFonts w:cs="Times New Roman"/>
          <w:lang w:val="sq-AL"/>
        </w:rPr>
        <w:t>marrë</w:t>
      </w:r>
      <w:r>
        <w:rPr>
          <w:rFonts w:cs="Times New Roman"/>
          <w:spacing w:val="5"/>
          <w:lang w:val="sq-AL"/>
        </w:rPr>
        <w:t xml:space="preserve"> </w:t>
      </w:r>
      <w:r>
        <w:rPr>
          <w:rFonts w:cs="Times New Roman"/>
          <w:lang w:val="sq-AL"/>
        </w:rPr>
        <w:t>parasysh</w:t>
      </w:r>
      <w:r>
        <w:rPr>
          <w:rFonts w:cs="Times New Roman"/>
          <w:spacing w:val="7"/>
          <w:lang w:val="sq-AL"/>
        </w:rPr>
        <w:t xml:space="preserve"> </w:t>
      </w:r>
      <w:r>
        <w:rPr>
          <w:rFonts w:cs="Times New Roman"/>
          <w:lang w:val="sq-AL"/>
        </w:rPr>
        <w:t>metodologjitë</w:t>
      </w:r>
      <w:r>
        <w:rPr>
          <w:rFonts w:cs="Times New Roman"/>
          <w:spacing w:val="10"/>
          <w:lang w:val="sq-AL"/>
        </w:rPr>
        <w:t xml:space="preserve"> </w:t>
      </w:r>
      <w:r>
        <w:rPr>
          <w:rFonts w:cs="Times New Roman"/>
          <w:lang w:val="sq-AL"/>
        </w:rPr>
        <w:t>që</w:t>
      </w:r>
      <w:r>
        <w:rPr>
          <w:rFonts w:cs="Times New Roman"/>
          <w:spacing w:val="3"/>
          <w:lang w:val="sq-AL"/>
        </w:rPr>
        <w:t xml:space="preserve"> </w:t>
      </w:r>
      <w:r>
        <w:rPr>
          <w:rFonts w:cs="Times New Roman"/>
          <w:lang w:val="sq-AL"/>
        </w:rPr>
        <w:t>do</w:t>
      </w:r>
      <w:r>
        <w:rPr>
          <w:rFonts w:cs="Times New Roman"/>
          <w:spacing w:val="3"/>
          <w:lang w:val="sq-AL"/>
        </w:rPr>
        <w:t xml:space="preserve"> </w:t>
      </w:r>
      <w:r>
        <w:rPr>
          <w:rFonts w:cs="Times New Roman"/>
          <w:w w:val="101"/>
          <w:lang w:val="sq-AL"/>
        </w:rPr>
        <w:t xml:space="preserve">të </w:t>
      </w:r>
      <w:r>
        <w:rPr>
          <w:rFonts w:cs="Times New Roman"/>
          <w:lang w:val="sq-AL"/>
        </w:rPr>
        <w:t>hartohen</w:t>
      </w:r>
      <w:r>
        <w:rPr>
          <w:rFonts w:cs="Times New Roman"/>
          <w:spacing w:val="7"/>
          <w:lang w:val="sq-AL"/>
        </w:rPr>
        <w:t xml:space="preserve"> </w:t>
      </w:r>
      <w:r>
        <w:rPr>
          <w:rFonts w:cs="Times New Roman"/>
          <w:lang w:val="sq-AL"/>
        </w:rPr>
        <w:t>sipas</w:t>
      </w:r>
      <w:r>
        <w:rPr>
          <w:rFonts w:cs="Times New Roman"/>
          <w:spacing w:val="4"/>
          <w:lang w:val="sq-AL"/>
        </w:rPr>
        <w:t xml:space="preserve"> </w:t>
      </w:r>
      <w:r>
        <w:rPr>
          <w:rFonts w:cs="Times New Roman"/>
          <w:lang w:val="sq-AL"/>
        </w:rPr>
        <w:t>Rregullores</w:t>
      </w:r>
      <w:r>
        <w:rPr>
          <w:rFonts w:cs="Times New Roman"/>
          <w:spacing w:val="9"/>
          <w:lang w:val="sq-AL"/>
        </w:rPr>
        <w:t xml:space="preserve"> </w:t>
      </w:r>
      <w:r>
        <w:rPr>
          <w:rFonts w:cs="Times New Roman"/>
          <w:lang w:val="sq-AL"/>
        </w:rPr>
        <w:t>2016/1719</w:t>
      </w:r>
      <w:r>
        <w:rPr>
          <w:rFonts w:cs="Times New Roman"/>
          <w:spacing w:val="10"/>
          <w:lang w:val="sq-AL"/>
        </w:rPr>
        <w:t xml:space="preserve"> për </w:t>
      </w:r>
      <w:r>
        <w:rPr>
          <w:rFonts w:cs="Times New Roman"/>
          <w:lang w:val="sq-AL"/>
        </w:rPr>
        <w:t>llogaritjen</w:t>
      </w:r>
      <w:r>
        <w:rPr>
          <w:rFonts w:cs="Times New Roman"/>
          <w:spacing w:val="7"/>
          <w:lang w:val="sq-AL"/>
        </w:rPr>
        <w:t xml:space="preserve"> </w:t>
      </w:r>
      <w:r>
        <w:rPr>
          <w:rFonts w:cs="Times New Roman"/>
          <w:lang w:val="sq-AL"/>
        </w:rPr>
        <w:t>e</w:t>
      </w:r>
      <w:r>
        <w:rPr>
          <w:rFonts w:cs="Times New Roman"/>
          <w:spacing w:val="2"/>
          <w:lang w:val="sq-AL"/>
        </w:rPr>
        <w:t xml:space="preserve"> </w:t>
      </w:r>
      <w:r>
        <w:rPr>
          <w:rFonts w:cs="Times New Roman"/>
          <w:lang w:val="sq-AL"/>
        </w:rPr>
        <w:t>kapacitetit,</w:t>
      </w:r>
      <w:r>
        <w:rPr>
          <w:rFonts w:cs="Times New Roman"/>
          <w:spacing w:val="8"/>
          <w:lang w:val="sq-AL"/>
        </w:rPr>
        <w:t xml:space="preserve"> </w:t>
      </w:r>
      <w:r>
        <w:rPr>
          <w:rFonts w:cs="Times New Roman"/>
          <w:lang w:val="sq-AL"/>
        </w:rPr>
        <w:t>krijimin</w:t>
      </w:r>
      <w:r>
        <w:rPr>
          <w:rFonts w:cs="Times New Roman"/>
          <w:spacing w:val="6"/>
          <w:lang w:val="sq-AL"/>
        </w:rPr>
        <w:t xml:space="preserve"> </w:t>
      </w:r>
      <w:r>
        <w:rPr>
          <w:rFonts w:cs="Times New Roman"/>
          <w:lang w:val="sq-AL"/>
        </w:rPr>
        <w:t>e</w:t>
      </w:r>
      <w:r>
        <w:rPr>
          <w:rFonts w:cs="Times New Roman"/>
          <w:spacing w:val="2"/>
          <w:lang w:val="sq-AL"/>
        </w:rPr>
        <w:t xml:space="preserve"> </w:t>
      </w:r>
      <w:r>
        <w:rPr>
          <w:rFonts w:cs="Times New Roman"/>
          <w:lang w:val="sq-AL"/>
        </w:rPr>
        <w:t>modelit</w:t>
      </w:r>
      <w:r>
        <w:rPr>
          <w:rFonts w:cs="Times New Roman"/>
          <w:spacing w:val="6"/>
          <w:lang w:val="sq-AL"/>
        </w:rPr>
        <w:t xml:space="preserve"> </w:t>
      </w:r>
      <w:r>
        <w:rPr>
          <w:rFonts w:cs="Times New Roman"/>
          <w:lang w:val="sq-AL"/>
        </w:rPr>
        <w:t>të</w:t>
      </w:r>
      <w:r>
        <w:rPr>
          <w:rFonts w:cs="Times New Roman"/>
          <w:spacing w:val="2"/>
          <w:lang w:val="sq-AL"/>
        </w:rPr>
        <w:t xml:space="preserve"> </w:t>
      </w:r>
      <w:r>
        <w:rPr>
          <w:rFonts w:cs="Times New Roman"/>
          <w:lang w:val="sq-AL"/>
        </w:rPr>
        <w:t>përbashkët</w:t>
      </w:r>
      <w:r>
        <w:rPr>
          <w:rFonts w:cs="Times New Roman"/>
          <w:spacing w:val="8"/>
          <w:lang w:val="sq-AL"/>
        </w:rPr>
        <w:t xml:space="preserve"> </w:t>
      </w:r>
      <w:r>
        <w:rPr>
          <w:rFonts w:cs="Times New Roman"/>
          <w:lang w:val="sq-AL"/>
        </w:rPr>
        <w:t>të</w:t>
      </w:r>
      <w:r>
        <w:rPr>
          <w:rFonts w:cs="Times New Roman"/>
          <w:spacing w:val="2"/>
          <w:lang w:val="sq-AL"/>
        </w:rPr>
        <w:t xml:space="preserve"> </w:t>
      </w:r>
      <w:r>
        <w:rPr>
          <w:rFonts w:cs="Times New Roman"/>
          <w:lang w:val="sq-AL"/>
        </w:rPr>
        <w:t>rrjetit</w:t>
      </w:r>
      <w:r>
        <w:rPr>
          <w:rFonts w:cs="Times New Roman"/>
          <w:spacing w:val="4"/>
          <w:lang w:val="sq-AL"/>
        </w:rPr>
        <w:t xml:space="preserve"> </w:t>
      </w:r>
      <w:r>
        <w:rPr>
          <w:rFonts w:cs="Times New Roman"/>
          <w:lang w:val="sq-AL"/>
        </w:rPr>
        <w:t>dhe</w:t>
      </w:r>
      <w:r>
        <w:rPr>
          <w:rFonts w:cs="Times New Roman"/>
          <w:spacing w:val="3"/>
          <w:lang w:val="sq-AL"/>
        </w:rPr>
        <w:t xml:space="preserve"> </w:t>
      </w:r>
      <w:r>
        <w:rPr>
          <w:rFonts w:cs="Times New Roman"/>
          <w:lang w:val="sq-AL"/>
        </w:rPr>
        <w:t>përdorimin</w:t>
      </w:r>
      <w:r>
        <w:rPr>
          <w:rFonts w:cs="Times New Roman"/>
          <w:spacing w:val="8"/>
          <w:lang w:val="sq-AL"/>
        </w:rPr>
        <w:t xml:space="preserve"> </w:t>
      </w:r>
      <w:r>
        <w:rPr>
          <w:rFonts w:cs="Times New Roman"/>
          <w:lang w:val="sq-AL"/>
        </w:rPr>
        <w:t>e</w:t>
      </w:r>
      <w:r>
        <w:rPr>
          <w:rFonts w:cs="Times New Roman"/>
          <w:spacing w:val="2"/>
          <w:lang w:val="sq-AL"/>
        </w:rPr>
        <w:t xml:space="preserve"> </w:t>
      </w:r>
      <w:r>
        <w:rPr>
          <w:rFonts w:cs="Times New Roman"/>
          <w:lang w:val="sq-AL"/>
        </w:rPr>
        <w:t>tij</w:t>
      </w:r>
      <w:r>
        <w:rPr>
          <w:rFonts w:cs="Times New Roman"/>
          <w:spacing w:val="3"/>
          <w:lang w:val="sq-AL"/>
        </w:rPr>
        <w:t xml:space="preserve"> </w:t>
      </w:r>
      <w:r>
        <w:rPr>
          <w:rFonts w:cs="Times New Roman"/>
          <w:lang w:val="sq-AL"/>
        </w:rPr>
        <w:t>në</w:t>
      </w:r>
      <w:r>
        <w:rPr>
          <w:rFonts w:cs="Times New Roman"/>
          <w:spacing w:val="3"/>
          <w:lang w:val="sq-AL"/>
        </w:rPr>
        <w:t xml:space="preserve"> </w:t>
      </w:r>
      <w:r>
        <w:rPr>
          <w:rFonts w:cs="Times New Roman"/>
          <w:lang w:val="sq-AL"/>
        </w:rPr>
        <w:t>procesin</w:t>
      </w:r>
      <w:r>
        <w:rPr>
          <w:rFonts w:cs="Times New Roman"/>
          <w:spacing w:val="7"/>
          <w:lang w:val="sq-AL"/>
        </w:rPr>
        <w:t xml:space="preserve"> </w:t>
      </w:r>
      <w:r>
        <w:rPr>
          <w:rFonts w:cs="Times New Roman"/>
          <w:lang w:val="sq-AL"/>
        </w:rPr>
        <w:t>e</w:t>
      </w:r>
      <w:r>
        <w:rPr>
          <w:rFonts w:cs="Times New Roman"/>
          <w:spacing w:val="2"/>
          <w:lang w:val="sq-AL"/>
        </w:rPr>
        <w:t xml:space="preserve"> </w:t>
      </w:r>
      <w:r>
        <w:rPr>
          <w:rFonts w:cs="Times New Roman"/>
          <w:lang w:val="sq-AL"/>
        </w:rPr>
        <w:t>llogaritjes</w:t>
      </w:r>
      <w:r>
        <w:rPr>
          <w:rFonts w:cs="Times New Roman"/>
          <w:spacing w:val="7"/>
          <w:lang w:val="sq-AL"/>
        </w:rPr>
        <w:t xml:space="preserve"> </w:t>
      </w:r>
      <w:r>
        <w:rPr>
          <w:rFonts w:cs="Times New Roman"/>
          <w:w w:val="101"/>
          <w:lang w:val="sq-AL"/>
        </w:rPr>
        <w:t xml:space="preserve">së </w:t>
      </w:r>
      <w:r>
        <w:rPr>
          <w:rFonts w:cs="Times New Roman"/>
          <w:lang w:val="sq-AL"/>
        </w:rPr>
        <w:t>kapacitetit</w:t>
      </w:r>
      <w:r>
        <w:rPr>
          <w:rFonts w:cs="Times New Roman"/>
          <w:spacing w:val="9"/>
          <w:lang w:val="sq-AL"/>
        </w:rPr>
        <w:t xml:space="preserve"> </w:t>
      </w:r>
      <w:r>
        <w:rPr>
          <w:rFonts w:cs="Times New Roman"/>
          <w:lang w:val="sq-AL"/>
        </w:rPr>
        <w:t>për</w:t>
      </w:r>
      <w:r>
        <w:rPr>
          <w:rFonts w:cs="Times New Roman"/>
          <w:spacing w:val="3"/>
          <w:lang w:val="sq-AL"/>
        </w:rPr>
        <w:t xml:space="preserve"> alokimin afatgjatë</w:t>
      </w:r>
      <w:r>
        <w:rPr>
          <w:rFonts w:cs="Times New Roman"/>
          <w:lang w:val="sq-AL"/>
        </w:rPr>
        <w:t>,</w:t>
      </w:r>
      <w:r>
        <w:rPr>
          <w:rFonts w:cs="Times New Roman"/>
          <w:spacing w:val="6"/>
          <w:lang w:val="sq-AL"/>
        </w:rPr>
        <w:t xml:space="preserve"> </w:t>
      </w:r>
      <w:r>
        <w:rPr>
          <w:rFonts w:cs="Times New Roman"/>
          <w:lang w:val="sq-AL"/>
        </w:rPr>
        <w:t>të</w:t>
      </w:r>
      <w:r>
        <w:rPr>
          <w:rFonts w:cs="Times New Roman"/>
          <w:spacing w:val="2"/>
          <w:lang w:val="sq-AL"/>
        </w:rPr>
        <w:t xml:space="preserve"> </w:t>
      </w:r>
      <w:r>
        <w:rPr>
          <w:rFonts w:cs="Times New Roman"/>
          <w:lang w:val="sq-AL"/>
        </w:rPr>
        <w:t>përdorur</w:t>
      </w:r>
      <w:r>
        <w:rPr>
          <w:rFonts w:cs="Times New Roman"/>
          <w:spacing w:val="7"/>
          <w:lang w:val="sq-AL"/>
        </w:rPr>
        <w:t xml:space="preserve"> </w:t>
      </w:r>
      <w:r>
        <w:rPr>
          <w:rFonts w:cs="Times New Roman"/>
          <w:lang w:val="sq-AL"/>
        </w:rPr>
        <w:t>vetëm në rajonet e llogaritjes të kapacitetit, ku analiza e sigurisë është aplikuar në bazë të skenarëve të shumëfishtë në pajtim me nenin 10 të Rregullores 2016/1719,</w:t>
      </w:r>
      <w:r>
        <w:rPr>
          <w:rFonts w:cs="Times New Roman"/>
          <w:spacing w:val="7"/>
          <w:lang w:val="sq-AL"/>
        </w:rPr>
        <w:t xml:space="preserve"> </w:t>
      </w:r>
      <w:r>
        <w:rPr>
          <w:rFonts w:cs="Times New Roman"/>
          <w:lang w:val="sq-AL"/>
        </w:rPr>
        <w:t>do</w:t>
      </w:r>
      <w:r>
        <w:rPr>
          <w:rFonts w:cs="Times New Roman"/>
          <w:spacing w:val="3"/>
          <w:lang w:val="sq-AL"/>
        </w:rPr>
        <w:t xml:space="preserve"> </w:t>
      </w:r>
      <w:r>
        <w:rPr>
          <w:rFonts w:cs="Times New Roman"/>
          <w:lang w:val="sq-AL"/>
        </w:rPr>
        <w:t>të</w:t>
      </w:r>
      <w:r>
        <w:rPr>
          <w:rFonts w:cs="Times New Roman"/>
          <w:spacing w:val="2"/>
          <w:lang w:val="sq-AL"/>
        </w:rPr>
        <w:t xml:space="preserve"> </w:t>
      </w:r>
      <w:r>
        <w:rPr>
          <w:rFonts w:cs="Times New Roman"/>
          <w:lang w:val="sq-AL"/>
        </w:rPr>
        <w:t>optimizojë</w:t>
      </w:r>
      <w:r>
        <w:rPr>
          <w:rFonts w:cs="Times New Roman"/>
          <w:spacing w:val="5"/>
          <w:lang w:val="sq-AL"/>
        </w:rPr>
        <w:t xml:space="preserve"> </w:t>
      </w:r>
      <w:r>
        <w:rPr>
          <w:rFonts w:cs="Times New Roman"/>
          <w:lang w:val="sq-AL"/>
        </w:rPr>
        <w:t>llogaritjen</w:t>
      </w:r>
      <w:r>
        <w:rPr>
          <w:rFonts w:cs="Times New Roman"/>
          <w:spacing w:val="7"/>
          <w:lang w:val="sq-AL"/>
        </w:rPr>
        <w:t xml:space="preserve"> </w:t>
      </w:r>
      <w:r>
        <w:rPr>
          <w:rFonts w:cs="Times New Roman"/>
          <w:lang w:val="sq-AL"/>
        </w:rPr>
        <w:t>dhe</w:t>
      </w:r>
      <w:r>
        <w:rPr>
          <w:rFonts w:cs="Times New Roman"/>
          <w:spacing w:val="3"/>
          <w:lang w:val="sq-AL"/>
        </w:rPr>
        <w:t xml:space="preserve"> </w:t>
      </w:r>
      <w:r>
        <w:rPr>
          <w:rFonts w:cs="Times New Roman"/>
          <w:lang w:val="sq-AL"/>
        </w:rPr>
        <w:t>alokimin</w:t>
      </w:r>
      <w:r>
        <w:rPr>
          <w:rFonts w:cs="Times New Roman"/>
          <w:spacing w:val="10"/>
          <w:lang w:val="sq-AL"/>
        </w:rPr>
        <w:t xml:space="preserve"> </w:t>
      </w:r>
      <w:r>
        <w:rPr>
          <w:rFonts w:cs="Times New Roman"/>
          <w:w w:val="101"/>
          <w:lang w:val="sq-AL"/>
        </w:rPr>
        <w:t xml:space="preserve">e </w:t>
      </w:r>
      <w:r>
        <w:rPr>
          <w:rFonts w:cs="Times New Roman"/>
          <w:lang w:val="sq-AL"/>
        </w:rPr>
        <w:t>kapacitetit</w:t>
      </w:r>
      <w:r>
        <w:rPr>
          <w:rFonts w:cs="Times New Roman"/>
          <w:spacing w:val="9"/>
          <w:lang w:val="sq-AL"/>
        </w:rPr>
        <w:t xml:space="preserve"> </w:t>
      </w:r>
      <w:r>
        <w:rPr>
          <w:rFonts w:cs="Times New Roman"/>
          <w:lang w:val="sq-AL"/>
        </w:rPr>
        <w:t>ndërrajonal,</w:t>
      </w:r>
      <w:r>
        <w:rPr>
          <w:rFonts w:cs="Times New Roman"/>
          <w:spacing w:val="9"/>
          <w:lang w:val="sq-AL"/>
        </w:rPr>
        <w:t xml:space="preserve"> </w:t>
      </w:r>
      <w:r>
        <w:rPr>
          <w:rFonts w:cs="Times New Roman"/>
          <w:lang w:val="sq-AL"/>
        </w:rPr>
        <w:t>duke</w:t>
      </w:r>
      <w:r>
        <w:rPr>
          <w:rFonts w:cs="Times New Roman"/>
          <w:spacing w:val="4"/>
          <w:lang w:val="sq-AL"/>
        </w:rPr>
        <w:t xml:space="preserve"> </w:t>
      </w:r>
      <w:r>
        <w:rPr>
          <w:rFonts w:cs="Times New Roman"/>
          <w:lang w:val="sq-AL"/>
        </w:rPr>
        <w:t>përfshirë</w:t>
      </w:r>
      <w:r>
        <w:rPr>
          <w:rFonts w:cs="Times New Roman"/>
          <w:spacing w:val="7"/>
          <w:lang w:val="sq-AL"/>
        </w:rPr>
        <w:t xml:space="preserve"> alokimin </w:t>
      </w:r>
      <w:r>
        <w:rPr>
          <w:rFonts w:cs="Times New Roman"/>
          <w:lang w:val="sq-AL"/>
        </w:rPr>
        <w:t>afatgjatë</w:t>
      </w:r>
      <w:r>
        <w:rPr>
          <w:rFonts w:cs="Times New Roman"/>
          <w:spacing w:val="7"/>
          <w:lang w:val="sq-AL"/>
        </w:rPr>
        <w:t xml:space="preserve"> të </w:t>
      </w:r>
      <w:r>
        <w:rPr>
          <w:rFonts w:cs="Times New Roman"/>
          <w:lang w:val="sq-AL"/>
        </w:rPr>
        <w:t>kapacitetit</w:t>
      </w:r>
      <w:r>
        <w:rPr>
          <w:rFonts w:cs="Times New Roman"/>
          <w:spacing w:val="9"/>
          <w:lang w:val="sq-AL"/>
        </w:rPr>
        <w:t xml:space="preserve"> </w:t>
      </w:r>
      <w:r>
        <w:rPr>
          <w:rFonts w:cs="Times New Roman"/>
          <w:lang w:val="sq-AL"/>
        </w:rPr>
        <w:t>ndërkufitar,</w:t>
      </w:r>
      <w:r>
        <w:rPr>
          <w:rFonts w:cs="Times New Roman"/>
          <w:spacing w:val="9"/>
          <w:lang w:val="sq-AL"/>
        </w:rPr>
        <w:t xml:space="preserve"> </w:t>
      </w:r>
      <w:r>
        <w:rPr>
          <w:rFonts w:cs="Times New Roman"/>
          <w:lang w:val="sq-AL"/>
        </w:rPr>
        <w:t xml:space="preserve">duke siguruar një </w:t>
      </w:r>
      <w:r>
        <w:rPr>
          <w:rFonts w:cs="Times New Roman"/>
          <w:spacing w:val="6"/>
          <w:lang w:val="sq-AL"/>
        </w:rPr>
        <w:t xml:space="preserve">metodologji </w:t>
      </w:r>
      <w:r>
        <w:rPr>
          <w:rFonts w:cs="Times New Roman"/>
          <w:spacing w:val="8"/>
          <w:lang w:val="sq-AL"/>
        </w:rPr>
        <w:t>d</w:t>
      </w:r>
      <w:r>
        <w:rPr>
          <w:rFonts w:cs="Times New Roman"/>
          <w:w w:val="101"/>
          <w:lang w:val="sq-AL"/>
        </w:rPr>
        <w:t xml:space="preserve">he </w:t>
      </w:r>
      <w:r>
        <w:rPr>
          <w:rFonts w:cs="Times New Roman"/>
          <w:lang w:val="sq-AL"/>
        </w:rPr>
        <w:t>të dhëna hyrëse</w:t>
      </w:r>
      <w:r>
        <w:rPr>
          <w:rFonts w:cs="Times New Roman"/>
          <w:spacing w:val="5"/>
          <w:lang w:val="sq-AL"/>
        </w:rPr>
        <w:t xml:space="preserve"> të përbashkëta </w:t>
      </w:r>
      <w:r>
        <w:rPr>
          <w:rFonts w:cs="Times New Roman"/>
          <w:lang w:val="sq-AL"/>
        </w:rPr>
        <w:t>për</w:t>
      </w:r>
      <w:r>
        <w:rPr>
          <w:rFonts w:cs="Times New Roman"/>
          <w:spacing w:val="3"/>
          <w:lang w:val="sq-AL"/>
        </w:rPr>
        <w:t xml:space="preserve"> </w:t>
      </w:r>
      <w:r>
        <w:rPr>
          <w:rFonts w:cs="Times New Roman"/>
          <w:lang w:val="sq-AL"/>
        </w:rPr>
        <w:t>përgatitjen</w:t>
      </w:r>
      <w:r>
        <w:rPr>
          <w:rFonts w:cs="Times New Roman"/>
          <w:spacing w:val="8"/>
          <w:lang w:val="sq-AL"/>
        </w:rPr>
        <w:t xml:space="preserve"> </w:t>
      </w:r>
      <w:r>
        <w:rPr>
          <w:rFonts w:cs="Times New Roman"/>
          <w:lang w:val="sq-AL"/>
        </w:rPr>
        <w:t>e</w:t>
      </w:r>
      <w:r>
        <w:rPr>
          <w:rFonts w:cs="Times New Roman"/>
          <w:spacing w:val="2"/>
          <w:lang w:val="sq-AL"/>
        </w:rPr>
        <w:t xml:space="preserve"> </w:t>
      </w:r>
      <w:r>
        <w:rPr>
          <w:rFonts w:cs="Times New Roman"/>
          <w:lang w:val="sq-AL"/>
        </w:rPr>
        <w:t>modeleve</w:t>
      </w:r>
      <w:r>
        <w:rPr>
          <w:rFonts w:cs="Times New Roman"/>
          <w:spacing w:val="7"/>
          <w:lang w:val="sq-AL"/>
        </w:rPr>
        <w:t xml:space="preserve"> </w:t>
      </w:r>
      <w:r>
        <w:rPr>
          <w:rFonts w:cs="Times New Roman"/>
          <w:lang w:val="sq-AL"/>
        </w:rPr>
        <w:t>individuale</w:t>
      </w:r>
      <w:r>
        <w:rPr>
          <w:rFonts w:cs="Times New Roman"/>
          <w:spacing w:val="6"/>
          <w:lang w:val="sq-AL"/>
        </w:rPr>
        <w:t xml:space="preserve"> </w:t>
      </w:r>
      <w:r>
        <w:rPr>
          <w:rFonts w:cs="Times New Roman"/>
          <w:lang w:val="sq-AL"/>
        </w:rPr>
        <w:t>të</w:t>
      </w:r>
      <w:r>
        <w:rPr>
          <w:rFonts w:cs="Times New Roman"/>
          <w:spacing w:val="2"/>
          <w:lang w:val="sq-AL"/>
        </w:rPr>
        <w:t xml:space="preserve"> </w:t>
      </w:r>
      <w:r>
        <w:rPr>
          <w:rFonts w:cs="Times New Roman"/>
          <w:lang w:val="sq-AL"/>
        </w:rPr>
        <w:t>rrjetit</w:t>
      </w:r>
      <w:r>
        <w:rPr>
          <w:rFonts w:cs="Times New Roman"/>
          <w:spacing w:val="4"/>
          <w:lang w:val="sq-AL"/>
        </w:rPr>
        <w:t xml:space="preserve"> </w:t>
      </w:r>
      <w:r>
        <w:rPr>
          <w:rFonts w:cs="Times New Roman"/>
          <w:lang w:val="sq-AL"/>
        </w:rPr>
        <w:t>dhe</w:t>
      </w:r>
      <w:r>
        <w:rPr>
          <w:rFonts w:cs="Times New Roman"/>
          <w:spacing w:val="2"/>
          <w:lang w:val="sq-AL"/>
        </w:rPr>
        <w:t xml:space="preserve"> </w:t>
      </w:r>
      <w:r>
        <w:rPr>
          <w:rFonts w:cs="Times New Roman"/>
          <w:lang w:val="sq-AL"/>
        </w:rPr>
        <w:t>shkrirjen</w:t>
      </w:r>
      <w:r>
        <w:rPr>
          <w:rFonts w:cs="Times New Roman"/>
          <w:spacing w:val="5"/>
          <w:lang w:val="sq-AL"/>
        </w:rPr>
        <w:t xml:space="preserve"> e tyre </w:t>
      </w:r>
      <w:r>
        <w:rPr>
          <w:rFonts w:cs="Times New Roman"/>
          <w:lang w:val="sq-AL"/>
        </w:rPr>
        <w:t>në</w:t>
      </w:r>
      <w:r>
        <w:rPr>
          <w:rFonts w:cs="Times New Roman"/>
          <w:spacing w:val="3"/>
          <w:lang w:val="sq-AL"/>
        </w:rPr>
        <w:t xml:space="preserve"> </w:t>
      </w:r>
      <w:r>
        <w:rPr>
          <w:rFonts w:cs="Times New Roman"/>
          <w:lang w:val="sq-AL"/>
        </w:rPr>
        <w:t>modelin</w:t>
      </w:r>
      <w:r>
        <w:rPr>
          <w:rFonts w:cs="Times New Roman"/>
          <w:spacing w:val="6"/>
          <w:lang w:val="sq-AL"/>
        </w:rPr>
        <w:t xml:space="preserve"> </w:t>
      </w:r>
      <w:r>
        <w:rPr>
          <w:rFonts w:cs="Times New Roman"/>
          <w:lang w:val="sq-AL"/>
        </w:rPr>
        <w:t>e</w:t>
      </w:r>
      <w:r>
        <w:rPr>
          <w:rFonts w:cs="Times New Roman"/>
          <w:spacing w:val="2"/>
          <w:lang w:val="sq-AL"/>
        </w:rPr>
        <w:t xml:space="preserve"> </w:t>
      </w:r>
      <w:r>
        <w:rPr>
          <w:rFonts w:cs="Times New Roman"/>
          <w:lang w:val="sq-AL"/>
        </w:rPr>
        <w:t>përbashkët</w:t>
      </w:r>
      <w:r>
        <w:rPr>
          <w:rFonts w:cs="Times New Roman"/>
          <w:spacing w:val="8"/>
          <w:lang w:val="sq-AL"/>
        </w:rPr>
        <w:t xml:space="preserve"> </w:t>
      </w:r>
      <w:r>
        <w:rPr>
          <w:rFonts w:cs="Times New Roman"/>
          <w:lang w:val="sq-AL"/>
        </w:rPr>
        <w:t>të</w:t>
      </w:r>
      <w:r>
        <w:rPr>
          <w:rFonts w:cs="Times New Roman"/>
          <w:spacing w:val="2"/>
          <w:lang w:val="sq-AL"/>
        </w:rPr>
        <w:t xml:space="preserve"> </w:t>
      </w:r>
      <w:r>
        <w:rPr>
          <w:rFonts w:cs="Times New Roman"/>
          <w:lang w:val="sq-AL"/>
        </w:rPr>
        <w:t>rrjetit</w:t>
      </w:r>
      <w:r>
        <w:rPr>
          <w:rFonts w:cs="Times New Roman"/>
          <w:spacing w:val="4"/>
          <w:lang w:val="sq-AL"/>
        </w:rPr>
        <w:t xml:space="preserve"> </w:t>
      </w:r>
      <w:r>
        <w:rPr>
          <w:rFonts w:cs="Times New Roman"/>
          <w:lang w:val="sq-AL"/>
        </w:rPr>
        <w:t>panevropian.</w:t>
      </w:r>
      <w:r>
        <w:rPr>
          <w:rFonts w:cs="Times New Roman"/>
          <w:spacing w:val="11"/>
          <w:lang w:val="sq-AL"/>
        </w:rPr>
        <w:t xml:space="preserve"> </w:t>
      </w:r>
    </w:p>
    <w:p w:rsidR="002F02C2" w:rsidRDefault="002F02C2" w:rsidP="002F02C2">
      <w:pPr>
        <w:pStyle w:val="Paragrafi"/>
        <w:rPr>
          <w:rFonts w:cs="Times New Roman"/>
          <w:lang w:val="sq-AL"/>
        </w:rPr>
      </w:pPr>
      <w:r>
        <w:rPr>
          <w:rFonts w:cs="Times New Roman"/>
          <w:lang w:val="sq-AL"/>
        </w:rPr>
        <w:t xml:space="preserve"> 21. Duke</w:t>
      </w:r>
      <w:r>
        <w:rPr>
          <w:rFonts w:cs="Times New Roman"/>
          <w:spacing w:val="4"/>
          <w:lang w:val="sq-AL"/>
        </w:rPr>
        <w:t xml:space="preserve"> </w:t>
      </w:r>
      <w:r>
        <w:rPr>
          <w:rFonts w:cs="Times New Roman"/>
          <w:w w:val="101"/>
          <w:lang w:val="sq-AL"/>
        </w:rPr>
        <w:t xml:space="preserve">pasur </w:t>
      </w:r>
      <w:r>
        <w:rPr>
          <w:rFonts w:cs="Times New Roman"/>
          <w:lang w:val="sq-AL"/>
        </w:rPr>
        <w:t>një</w:t>
      </w:r>
      <w:r>
        <w:rPr>
          <w:rFonts w:cs="Times New Roman"/>
          <w:spacing w:val="3"/>
          <w:lang w:val="sq-AL"/>
        </w:rPr>
        <w:t xml:space="preserve"> </w:t>
      </w:r>
      <w:r>
        <w:rPr>
          <w:rFonts w:cs="Times New Roman"/>
          <w:lang w:val="sq-AL"/>
        </w:rPr>
        <w:t>model</w:t>
      </w:r>
      <w:r>
        <w:rPr>
          <w:rFonts w:cs="Times New Roman"/>
          <w:spacing w:val="5"/>
          <w:lang w:val="sq-AL"/>
        </w:rPr>
        <w:t xml:space="preserve"> </w:t>
      </w:r>
      <w:r>
        <w:rPr>
          <w:rFonts w:cs="Times New Roman"/>
          <w:lang w:val="sq-AL"/>
        </w:rPr>
        <w:t>të</w:t>
      </w:r>
      <w:r>
        <w:rPr>
          <w:rFonts w:cs="Times New Roman"/>
          <w:spacing w:val="2"/>
          <w:lang w:val="sq-AL"/>
        </w:rPr>
        <w:t xml:space="preserve"> </w:t>
      </w:r>
      <w:r>
        <w:rPr>
          <w:rFonts w:cs="Times New Roman"/>
          <w:lang w:val="sq-AL"/>
        </w:rPr>
        <w:t>përbashkët</w:t>
      </w:r>
      <w:r>
        <w:rPr>
          <w:rFonts w:cs="Times New Roman"/>
          <w:spacing w:val="8"/>
          <w:lang w:val="sq-AL"/>
        </w:rPr>
        <w:t xml:space="preserve"> </w:t>
      </w:r>
      <w:r>
        <w:rPr>
          <w:rFonts w:cs="Times New Roman"/>
          <w:lang w:val="sq-AL"/>
        </w:rPr>
        <w:t>të</w:t>
      </w:r>
      <w:r>
        <w:rPr>
          <w:rFonts w:cs="Times New Roman"/>
          <w:spacing w:val="2"/>
          <w:lang w:val="sq-AL"/>
        </w:rPr>
        <w:t xml:space="preserve"> </w:t>
      </w:r>
      <w:r>
        <w:rPr>
          <w:rFonts w:cs="Times New Roman"/>
          <w:lang w:val="sq-AL"/>
        </w:rPr>
        <w:t>rrjetit</w:t>
      </w:r>
      <w:r>
        <w:rPr>
          <w:rFonts w:cs="Times New Roman"/>
          <w:spacing w:val="4"/>
          <w:lang w:val="sq-AL"/>
        </w:rPr>
        <w:t xml:space="preserve"> </w:t>
      </w:r>
      <w:r>
        <w:rPr>
          <w:rFonts w:cs="Times New Roman"/>
          <w:lang w:val="sq-AL"/>
        </w:rPr>
        <w:t>për</w:t>
      </w:r>
      <w:r>
        <w:rPr>
          <w:rFonts w:cs="Times New Roman"/>
          <w:spacing w:val="3"/>
          <w:lang w:val="sq-AL"/>
        </w:rPr>
        <w:t xml:space="preserve"> </w:t>
      </w:r>
      <w:r>
        <w:rPr>
          <w:rFonts w:cs="Times New Roman"/>
          <w:lang w:val="sq-AL"/>
        </w:rPr>
        <w:t>tregun</w:t>
      </w:r>
      <w:r>
        <w:rPr>
          <w:rFonts w:cs="Times New Roman"/>
          <w:spacing w:val="5"/>
          <w:lang w:val="sq-AL"/>
        </w:rPr>
        <w:t xml:space="preserve"> </w:t>
      </w:r>
      <w:r>
        <w:rPr>
          <w:rFonts w:cs="Times New Roman"/>
          <w:lang w:val="sq-AL"/>
        </w:rPr>
        <w:t>afatgjatë,</w:t>
      </w:r>
      <w:r>
        <w:rPr>
          <w:rFonts w:cs="Times New Roman"/>
          <w:spacing w:val="7"/>
          <w:lang w:val="sq-AL"/>
        </w:rPr>
        <w:t xml:space="preserve"> të </w:t>
      </w:r>
      <w:r>
        <w:rPr>
          <w:rFonts w:cs="Times New Roman"/>
          <w:lang w:val="sq-AL"/>
        </w:rPr>
        <w:t>përdorur</w:t>
      </w:r>
      <w:r>
        <w:rPr>
          <w:rFonts w:cs="Times New Roman"/>
          <w:spacing w:val="7"/>
          <w:lang w:val="sq-AL"/>
        </w:rPr>
        <w:t xml:space="preserve"> </w:t>
      </w:r>
      <w:r>
        <w:rPr>
          <w:rFonts w:cs="Times New Roman"/>
          <w:lang w:val="sq-AL"/>
        </w:rPr>
        <w:t>vetëm në rajonet e llogaritjes së kapacitetit, ku analiza e sigurisë është aplikuar në bazë të skenarëve të shumëfishtë në pajtim me nenin 10 të Rregullores 2016/1719, i</w:t>
      </w:r>
      <w:r>
        <w:rPr>
          <w:rFonts w:cs="Times New Roman"/>
          <w:spacing w:val="-1"/>
          <w:lang w:val="sq-AL"/>
        </w:rPr>
        <w:t xml:space="preserve"> </w:t>
      </w:r>
      <w:r>
        <w:rPr>
          <w:rFonts w:cs="Times New Roman"/>
          <w:lang w:val="sq-AL"/>
        </w:rPr>
        <w:t>përgatitur</w:t>
      </w:r>
      <w:r>
        <w:rPr>
          <w:rFonts w:cs="Times New Roman"/>
          <w:spacing w:val="-8"/>
          <w:lang w:val="sq-AL"/>
        </w:rPr>
        <w:t xml:space="preserve"> </w:t>
      </w:r>
      <w:r>
        <w:rPr>
          <w:rFonts w:cs="Times New Roman"/>
          <w:lang w:val="sq-AL"/>
        </w:rPr>
        <w:t>mbi</w:t>
      </w:r>
      <w:r>
        <w:rPr>
          <w:rFonts w:cs="Times New Roman"/>
          <w:spacing w:val="-3"/>
          <w:lang w:val="sq-AL"/>
        </w:rPr>
        <w:t xml:space="preserve"> </w:t>
      </w:r>
      <w:r>
        <w:rPr>
          <w:rFonts w:cs="Times New Roman"/>
          <w:lang w:val="sq-AL"/>
        </w:rPr>
        <w:t>bazën</w:t>
      </w:r>
      <w:r>
        <w:rPr>
          <w:rFonts w:cs="Times New Roman"/>
          <w:spacing w:val="-4"/>
          <w:lang w:val="sq-AL"/>
        </w:rPr>
        <w:t xml:space="preserve"> </w:t>
      </w:r>
      <w:r>
        <w:rPr>
          <w:rFonts w:cs="Times New Roman"/>
          <w:lang w:val="sq-AL"/>
        </w:rPr>
        <w:t>e</w:t>
      </w:r>
      <w:r>
        <w:rPr>
          <w:rFonts w:cs="Times New Roman"/>
          <w:spacing w:val="-1"/>
          <w:lang w:val="sq-AL"/>
        </w:rPr>
        <w:t xml:space="preserve"> </w:t>
      </w:r>
      <w:r>
        <w:rPr>
          <w:rFonts w:cs="Times New Roman"/>
          <w:lang w:val="sq-AL"/>
        </w:rPr>
        <w:t>një</w:t>
      </w:r>
      <w:r>
        <w:rPr>
          <w:rFonts w:cs="Times New Roman"/>
          <w:spacing w:val="-2"/>
          <w:lang w:val="sq-AL"/>
        </w:rPr>
        <w:t xml:space="preserve"> </w:t>
      </w:r>
      <w:r>
        <w:rPr>
          <w:rFonts w:cs="Times New Roman"/>
          <w:lang w:val="sq-AL"/>
        </w:rPr>
        <w:t>metodologjie</w:t>
      </w:r>
      <w:r>
        <w:rPr>
          <w:rFonts w:cs="Times New Roman"/>
          <w:spacing w:val="-9"/>
          <w:lang w:val="sq-AL"/>
        </w:rPr>
        <w:t xml:space="preserve"> </w:t>
      </w:r>
      <w:r>
        <w:rPr>
          <w:rFonts w:cs="Times New Roman"/>
          <w:lang w:val="sq-AL"/>
        </w:rPr>
        <w:t>të</w:t>
      </w:r>
      <w:r>
        <w:rPr>
          <w:rFonts w:cs="Times New Roman"/>
          <w:spacing w:val="-1"/>
          <w:lang w:val="sq-AL"/>
        </w:rPr>
        <w:t xml:space="preserve"> </w:t>
      </w:r>
      <w:r>
        <w:rPr>
          <w:rFonts w:cs="Times New Roman"/>
          <w:lang w:val="sq-AL"/>
        </w:rPr>
        <w:t>përbashkët,</w:t>
      </w:r>
      <w:r>
        <w:rPr>
          <w:rFonts w:cs="Times New Roman"/>
          <w:spacing w:val="-8"/>
          <w:lang w:val="sq-AL"/>
        </w:rPr>
        <w:t xml:space="preserve"> </w:t>
      </w:r>
      <w:r>
        <w:rPr>
          <w:rFonts w:cs="Times New Roman"/>
          <w:lang w:val="sq-AL"/>
        </w:rPr>
        <w:t>të</w:t>
      </w:r>
      <w:r>
        <w:rPr>
          <w:rFonts w:cs="Times New Roman"/>
          <w:spacing w:val="-1"/>
          <w:lang w:val="sq-AL"/>
        </w:rPr>
        <w:t xml:space="preserve"> </w:t>
      </w:r>
      <w:r>
        <w:rPr>
          <w:rFonts w:cs="Times New Roman"/>
          <w:lang w:val="sq-AL"/>
        </w:rPr>
        <w:t>detyrueshme,</w:t>
      </w:r>
      <w:r>
        <w:rPr>
          <w:rFonts w:cs="Times New Roman"/>
          <w:spacing w:val="-10"/>
          <w:lang w:val="sq-AL"/>
        </w:rPr>
        <w:t xml:space="preserve"> </w:t>
      </w:r>
      <w:r>
        <w:rPr>
          <w:rFonts w:cs="Times New Roman"/>
          <w:lang w:val="sq-AL"/>
        </w:rPr>
        <w:t>propozimi</w:t>
      </w:r>
      <w:r>
        <w:rPr>
          <w:rFonts w:cs="Times New Roman"/>
          <w:spacing w:val="-7"/>
          <w:lang w:val="sq-AL"/>
        </w:rPr>
        <w:t xml:space="preserve"> i MMPRR-së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sigurojë</w:t>
      </w:r>
      <w:r>
        <w:rPr>
          <w:rFonts w:cs="Times New Roman"/>
          <w:spacing w:val="-6"/>
          <w:lang w:val="sq-AL"/>
        </w:rPr>
        <w:t xml:space="preserve"> </w:t>
      </w:r>
      <w:r>
        <w:rPr>
          <w:rFonts w:cs="Times New Roman"/>
          <w:lang w:val="sq-AL"/>
        </w:rPr>
        <w:t>që objektivi i trajtimit</w:t>
      </w:r>
      <w:r>
        <w:rPr>
          <w:rFonts w:cs="Times New Roman"/>
          <w:spacing w:val="-5"/>
          <w:lang w:val="sq-AL"/>
        </w:rPr>
        <w:t xml:space="preserve"> </w:t>
      </w:r>
      <w:r>
        <w:rPr>
          <w:rFonts w:cs="Times New Roman"/>
          <w:lang w:val="sq-AL"/>
        </w:rPr>
        <w:t>të</w:t>
      </w:r>
      <w:r>
        <w:rPr>
          <w:rFonts w:cs="Times New Roman"/>
          <w:spacing w:val="-1"/>
          <w:lang w:val="sq-AL"/>
        </w:rPr>
        <w:t xml:space="preserve"> </w:t>
      </w:r>
      <w:r>
        <w:rPr>
          <w:rFonts w:cs="Times New Roman"/>
          <w:lang w:val="sq-AL"/>
        </w:rPr>
        <w:t>drejtë</w:t>
      </w:r>
      <w:r>
        <w:rPr>
          <w:rFonts w:cs="Times New Roman"/>
          <w:spacing w:val="-4"/>
          <w:lang w:val="sq-AL"/>
        </w:rPr>
        <w:t xml:space="preserve"> </w:t>
      </w:r>
      <w:r>
        <w:rPr>
          <w:rFonts w:cs="Times New Roman"/>
          <w:lang w:val="sq-AL"/>
        </w:rPr>
        <w:t>dhe</w:t>
      </w:r>
      <w:r>
        <w:rPr>
          <w:rFonts w:cs="Times New Roman"/>
          <w:spacing w:val="-3"/>
          <w:lang w:val="sq-AL"/>
        </w:rPr>
        <w:t xml:space="preserve"> </w:t>
      </w:r>
      <w:r>
        <w:rPr>
          <w:rFonts w:cs="Times New Roman"/>
          <w:lang w:val="sq-AL"/>
        </w:rPr>
        <w:t>jodiskriminues</w:t>
      </w:r>
      <w:r>
        <w:rPr>
          <w:rFonts w:cs="Times New Roman"/>
          <w:spacing w:val="-11"/>
          <w:lang w:val="sq-AL"/>
        </w:rPr>
        <w:t xml:space="preserve"> i </w:t>
      </w:r>
      <w:r>
        <w:rPr>
          <w:rFonts w:cs="Times New Roman"/>
          <w:lang w:val="sq-AL"/>
        </w:rPr>
        <w:t>OST-ve,</w:t>
      </w:r>
      <w:r>
        <w:rPr>
          <w:rFonts w:cs="Times New Roman"/>
          <w:spacing w:val="-6"/>
          <w:lang w:val="sq-AL"/>
        </w:rPr>
        <w:t xml:space="preserve"> bursave</w:t>
      </w:r>
      <w:r>
        <w:rPr>
          <w:rFonts w:cs="Times New Roman"/>
          <w:lang w:val="sq-AL"/>
        </w:rPr>
        <w:t>, agjencive,</w:t>
      </w:r>
      <w:r>
        <w:rPr>
          <w:rFonts w:cs="Times New Roman"/>
          <w:spacing w:val="-7"/>
          <w:lang w:val="sq-AL"/>
        </w:rPr>
        <w:t xml:space="preserve"> </w:t>
      </w:r>
      <w:r>
        <w:rPr>
          <w:rFonts w:cs="Times New Roman"/>
          <w:lang w:val="sq-AL"/>
        </w:rPr>
        <w:t>autoriteteve</w:t>
      </w:r>
      <w:r>
        <w:rPr>
          <w:rFonts w:cs="Times New Roman"/>
          <w:spacing w:val="-7"/>
          <w:lang w:val="sq-AL"/>
        </w:rPr>
        <w:t xml:space="preserve"> </w:t>
      </w:r>
      <w:r>
        <w:rPr>
          <w:rFonts w:cs="Times New Roman"/>
          <w:lang w:val="sq-AL"/>
        </w:rPr>
        <w:t>rregullatore</w:t>
      </w:r>
      <w:r>
        <w:rPr>
          <w:rFonts w:cs="Times New Roman"/>
          <w:spacing w:val="-8"/>
          <w:lang w:val="sq-AL"/>
        </w:rPr>
        <w:t xml:space="preserve"> </w:t>
      </w:r>
      <w:r>
        <w:rPr>
          <w:rFonts w:cs="Times New Roman"/>
          <w:lang w:val="sq-AL"/>
        </w:rPr>
        <w:t>dhe</w:t>
      </w:r>
      <w:r>
        <w:rPr>
          <w:rFonts w:cs="Times New Roman"/>
          <w:spacing w:val="-3"/>
          <w:lang w:val="sq-AL"/>
        </w:rPr>
        <w:t xml:space="preserve"> </w:t>
      </w:r>
      <w:r>
        <w:rPr>
          <w:rFonts w:cs="Times New Roman"/>
          <w:lang w:val="sq-AL"/>
        </w:rPr>
        <w:t>pjesëmarrësve tregut</w:t>
      </w:r>
      <w:r>
        <w:rPr>
          <w:rFonts w:cs="Times New Roman"/>
          <w:spacing w:val="-4"/>
          <w:lang w:val="sq-AL"/>
        </w:rPr>
        <w:t xml:space="preserve"> </w:t>
      </w:r>
      <w:r>
        <w:rPr>
          <w:rFonts w:cs="Times New Roman"/>
          <w:lang w:val="sq-AL"/>
        </w:rPr>
        <w:t>është</w:t>
      </w:r>
      <w:r>
        <w:rPr>
          <w:rFonts w:cs="Times New Roman"/>
          <w:spacing w:val="-4"/>
          <w:lang w:val="sq-AL"/>
        </w:rPr>
        <w:t xml:space="preserve"> </w:t>
      </w:r>
      <w:r>
        <w:rPr>
          <w:rFonts w:cs="Times New Roman"/>
          <w:lang w:val="sq-AL"/>
        </w:rPr>
        <w:t>përmbushur</w:t>
      </w:r>
      <w:r>
        <w:rPr>
          <w:rFonts w:cs="Times New Roman"/>
          <w:spacing w:val="-9"/>
          <w:lang w:val="sq-AL"/>
        </w:rPr>
        <w:t xml:space="preserve"> po aq sa dhe </w:t>
      </w:r>
      <w:r>
        <w:rPr>
          <w:rFonts w:cs="Times New Roman"/>
          <w:lang w:val="sq-AL"/>
        </w:rPr>
        <w:t>krijimi</w:t>
      </w:r>
      <w:r>
        <w:rPr>
          <w:rFonts w:cs="Times New Roman"/>
          <w:spacing w:val="-4"/>
          <w:lang w:val="sq-AL"/>
        </w:rPr>
        <w:t xml:space="preserve"> </w:t>
      </w:r>
      <w:r>
        <w:rPr>
          <w:rFonts w:cs="Times New Roman"/>
          <w:lang w:val="sq-AL"/>
        </w:rPr>
        <w:t>i një</w:t>
      </w:r>
      <w:r>
        <w:rPr>
          <w:rFonts w:cs="Times New Roman"/>
          <w:spacing w:val="-2"/>
          <w:lang w:val="sq-AL"/>
        </w:rPr>
        <w:t xml:space="preserve"> </w:t>
      </w:r>
      <w:r>
        <w:rPr>
          <w:rFonts w:cs="Times New Roman"/>
          <w:lang w:val="sq-AL"/>
        </w:rPr>
        <w:t>modeli</w:t>
      </w:r>
      <w:r>
        <w:rPr>
          <w:rFonts w:cs="Times New Roman"/>
          <w:spacing w:val="-5"/>
          <w:lang w:val="sq-AL"/>
        </w:rPr>
        <w:t xml:space="preserve"> </w:t>
      </w:r>
      <w:r>
        <w:rPr>
          <w:rFonts w:cs="Times New Roman"/>
          <w:lang w:val="sq-AL"/>
        </w:rPr>
        <w:t>të</w:t>
      </w:r>
      <w:r>
        <w:rPr>
          <w:rFonts w:cs="Times New Roman"/>
          <w:spacing w:val="-1"/>
          <w:lang w:val="sq-AL"/>
        </w:rPr>
        <w:t xml:space="preserve"> </w:t>
      </w:r>
      <w:r>
        <w:rPr>
          <w:rFonts w:cs="Times New Roman"/>
          <w:lang w:val="sq-AL"/>
        </w:rPr>
        <w:t>përbashkët</w:t>
      </w:r>
      <w:r>
        <w:rPr>
          <w:rFonts w:cs="Times New Roman"/>
          <w:spacing w:val="-8"/>
          <w:lang w:val="sq-AL"/>
        </w:rPr>
        <w:t xml:space="preserve"> </w:t>
      </w:r>
      <w:r>
        <w:rPr>
          <w:rFonts w:cs="Times New Roman"/>
          <w:lang w:val="sq-AL"/>
        </w:rPr>
        <w:t>të</w:t>
      </w:r>
      <w:r>
        <w:rPr>
          <w:rFonts w:cs="Times New Roman"/>
          <w:spacing w:val="-1"/>
          <w:lang w:val="sq-AL"/>
        </w:rPr>
        <w:t xml:space="preserve"> </w:t>
      </w:r>
      <w:r>
        <w:rPr>
          <w:rFonts w:cs="Times New Roman"/>
          <w:lang w:val="sq-AL"/>
        </w:rPr>
        <w:t>rrjetit</w:t>
      </w:r>
      <w:r>
        <w:rPr>
          <w:rFonts w:cs="Times New Roman"/>
          <w:spacing w:val="-4"/>
          <w:lang w:val="sq-AL"/>
        </w:rPr>
        <w:t xml:space="preserve"> </w:t>
      </w:r>
      <w:r>
        <w:rPr>
          <w:rFonts w:cs="Times New Roman"/>
          <w:lang w:val="sq-AL"/>
        </w:rPr>
        <w:t>të bazuar</w:t>
      </w:r>
      <w:r>
        <w:rPr>
          <w:rFonts w:cs="Times New Roman"/>
          <w:spacing w:val="-5"/>
          <w:lang w:val="sq-AL"/>
        </w:rPr>
        <w:t xml:space="preserve"> </w:t>
      </w:r>
      <w:r>
        <w:rPr>
          <w:rFonts w:cs="Times New Roman"/>
          <w:lang w:val="sq-AL"/>
        </w:rPr>
        <w:t>në</w:t>
      </w:r>
      <w:r>
        <w:rPr>
          <w:rFonts w:cs="Times New Roman"/>
          <w:spacing w:val="-2"/>
          <w:lang w:val="sq-AL"/>
        </w:rPr>
        <w:t xml:space="preserve"> </w:t>
      </w:r>
      <w:r>
        <w:rPr>
          <w:rFonts w:cs="Times New Roman"/>
          <w:lang w:val="sq-AL"/>
        </w:rPr>
        <w:t>një</w:t>
      </w:r>
      <w:r>
        <w:rPr>
          <w:rFonts w:cs="Times New Roman"/>
          <w:spacing w:val="-2"/>
          <w:lang w:val="sq-AL"/>
        </w:rPr>
        <w:t xml:space="preserve"> </w:t>
      </w:r>
      <w:r>
        <w:rPr>
          <w:rFonts w:cs="Times New Roman"/>
          <w:lang w:val="sq-AL"/>
        </w:rPr>
        <w:t>metodologji</w:t>
      </w:r>
      <w:r>
        <w:rPr>
          <w:rFonts w:cs="Times New Roman"/>
          <w:spacing w:val="-8"/>
          <w:lang w:val="sq-AL"/>
        </w:rPr>
        <w:t xml:space="preserve"> </w:t>
      </w:r>
      <w:r>
        <w:rPr>
          <w:rFonts w:cs="Times New Roman"/>
          <w:lang w:val="sq-AL"/>
        </w:rPr>
        <w:t>të</w:t>
      </w:r>
      <w:r>
        <w:rPr>
          <w:rFonts w:cs="Times New Roman"/>
          <w:spacing w:val="-1"/>
          <w:lang w:val="sq-AL"/>
        </w:rPr>
        <w:t xml:space="preserve"> </w:t>
      </w:r>
      <w:r>
        <w:rPr>
          <w:rFonts w:cs="Times New Roman"/>
          <w:lang w:val="sq-AL"/>
        </w:rPr>
        <w:t>detyrueshme që</w:t>
      </w:r>
      <w:r>
        <w:rPr>
          <w:rFonts w:cs="Times New Roman"/>
          <w:spacing w:val="-2"/>
          <w:lang w:val="sq-AL"/>
        </w:rPr>
        <w:t xml:space="preserve"> </w:t>
      </w:r>
      <w:r>
        <w:rPr>
          <w:rFonts w:cs="Times New Roman"/>
          <w:lang w:val="sq-AL"/>
        </w:rPr>
        <w:t>ka</w:t>
      </w:r>
      <w:r>
        <w:rPr>
          <w:rFonts w:cs="Times New Roman"/>
          <w:spacing w:val="-2"/>
          <w:lang w:val="sq-AL"/>
        </w:rPr>
        <w:t xml:space="preserve"> </w:t>
      </w:r>
      <w:r>
        <w:rPr>
          <w:rFonts w:cs="Times New Roman"/>
          <w:lang w:val="sq-AL"/>
        </w:rPr>
        <w:t>qenë</w:t>
      </w:r>
      <w:r>
        <w:rPr>
          <w:rFonts w:cs="Times New Roman"/>
          <w:spacing w:val="-4"/>
          <w:lang w:val="sq-AL"/>
        </w:rPr>
        <w:t xml:space="preserve"> </w:t>
      </w:r>
      <w:r>
        <w:rPr>
          <w:rFonts w:cs="Times New Roman"/>
          <w:lang w:val="sq-AL"/>
        </w:rPr>
        <w:t>objekt</w:t>
      </w:r>
      <w:r>
        <w:rPr>
          <w:rFonts w:cs="Times New Roman"/>
          <w:spacing w:val="-4"/>
          <w:lang w:val="sq-AL"/>
        </w:rPr>
        <w:t xml:space="preserve"> </w:t>
      </w:r>
      <w:r>
        <w:rPr>
          <w:rFonts w:cs="Times New Roman"/>
          <w:lang w:val="sq-AL"/>
        </w:rPr>
        <w:t>i konsultimeve</w:t>
      </w:r>
      <w:r>
        <w:rPr>
          <w:rFonts w:cs="Times New Roman"/>
          <w:spacing w:val="-9"/>
          <w:lang w:val="sq-AL"/>
        </w:rPr>
        <w:t xml:space="preserve"> </w:t>
      </w:r>
      <w:r>
        <w:rPr>
          <w:rFonts w:cs="Times New Roman"/>
          <w:lang w:val="sq-AL"/>
        </w:rPr>
        <w:t>me</w:t>
      </w:r>
      <w:r>
        <w:rPr>
          <w:rFonts w:cs="Times New Roman"/>
          <w:spacing w:val="-2"/>
          <w:lang w:val="sq-AL"/>
        </w:rPr>
        <w:t xml:space="preserve"> </w:t>
      </w:r>
      <w:r>
        <w:rPr>
          <w:rFonts w:cs="Times New Roman"/>
          <w:lang w:val="sq-AL"/>
        </w:rPr>
        <w:t>palët</w:t>
      </w:r>
      <w:r>
        <w:rPr>
          <w:rFonts w:cs="Times New Roman"/>
          <w:spacing w:val="-3"/>
          <w:lang w:val="sq-AL"/>
        </w:rPr>
        <w:t xml:space="preserve"> </w:t>
      </w:r>
      <w:r>
        <w:rPr>
          <w:rFonts w:cs="Times New Roman"/>
          <w:lang w:val="sq-AL"/>
        </w:rPr>
        <w:t>e</w:t>
      </w:r>
      <w:r>
        <w:rPr>
          <w:rFonts w:cs="Times New Roman"/>
          <w:spacing w:val="-1"/>
          <w:lang w:val="sq-AL"/>
        </w:rPr>
        <w:t xml:space="preserve"> </w:t>
      </w:r>
      <w:r>
        <w:rPr>
          <w:rFonts w:cs="Times New Roman"/>
          <w:lang w:val="sq-AL"/>
        </w:rPr>
        <w:t>interesuara,</w:t>
      </w:r>
      <w:r>
        <w:rPr>
          <w:rFonts w:cs="Times New Roman"/>
          <w:spacing w:val="-8"/>
          <w:lang w:val="sq-AL"/>
        </w:rPr>
        <w:t xml:space="preserve"> </w:t>
      </w:r>
      <w:r>
        <w:rPr>
          <w:rFonts w:cs="Times New Roman"/>
          <w:lang w:val="sq-AL"/>
        </w:rPr>
        <w:t>në</w:t>
      </w:r>
      <w:r>
        <w:rPr>
          <w:rFonts w:cs="Times New Roman"/>
          <w:spacing w:val="-2"/>
          <w:lang w:val="sq-AL"/>
        </w:rPr>
        <w:t xml:space="preserve"> </w:t>
      </w:r>
      <w:r>
        <w:rPr>
          <w:rFonts w:cs="Times New Roman"/>
          <w:lang w:val="sq-AL"/>
        </w:rPr>
        <w:t>përputhje</w:t>
      </w:r>
      <w:r>
        <w:rPr>
          <w:rFonts w:cs="Times New Roman"/>
          <w:spacing w:val="-7"/>
          <w:lang w:val="sq-AL"/>
        </w:rPr>
        <w:t xml:space="preserve"> </w:t>
      </w:r>
      <w:r>
        <w:rPr>
          <w:rFonts w:cs="Times New Roman"/>
          <w:lang w:val="sq-AL"/>
        </w:rPr>
        <w:t>me</w:t>
      </w:r>
      <w:r>
        <w:rPr>
          <w:rFonts w:cs="Times New Roman"/>
          <w:spacing w:val="-2"/>
          <w:lang w:val="sq-AL"/>
        </w:rPr>
        <w:t xml:space="preserve"> </w:t>
      </w:r>
      <w:r>
        <w:rPr>
          <w:rFonts w:cs="Times New Roman"/>
          <w:lang w:val="sq-AL"/>
        </w:rPr>
        <w:t>Rregulloren</w:t>
      </w:r>
      <w:r>
        <w:rPr>
          <w:rFonts w:cs="Times New Roman"/>
          <w:spacing w:val="-8"/>
          <w:lang w:val="sq-AL"/>
        </w:rPr>
        <w:t xml:space="preserve"> </w:t>
      </w:r>
      <w:r>
        <w:rPr>
          <w:rFonts w:cs="Times New Roman"/>
          <w:lang w:val="sq-AL"/>
        </w:rPr>
        <w:t>2016/1719</w:t>
      </w:r>
      <w:r>
        <w:rPr>
          <w:rFonts w:cs="Times New Roman"/>
          <w:spacing w:val="-8"/>
          <w:lang w:val="sq-AL"/>
        </w:rPr>
        <w:t xml:space="preserve"> </w:t>
      </w:r>
      <w:r>
        <w:rPr>
          <w:rFonts w:cs="Times New Roman"/>
          <w:lang w:val="sq-AL"/>
        </w:rPr>
        <w:t>dhe</w:t>
      </w:r>
      <w:r>
        <w:rPr>
          <w:rFonts w:cs="Times New Roman"/>
          <w:spacing w:val="-3"/>
          <w:lang w:val="sq-AL"/>
        </w:rPr>
        <w:t xml:space="preserve"> </w:t>
      </w:r>
      <w:r>
        <w:rPr>
          <w:rFonts w:cs="Times New Roman"/>
          <w:lang w:val="sq-AL"/>
        </w:rPr>
        <w:t>që</w:t>
      </w:r>
      <w:r>
        <w:rPr>
          <w:rFonts w:cs="Times New Roman"/>
          <w:spacing w:val="-2"/>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miratohet nga</w:t>
      </w:r>
      <w:r>
        <w:rPr>
          <w:rFonts w:cs="Times New Roman"/>
          <w:spacing w:val="-3"/>
          <w:lang w:val="sq-AL"/>
        </w:rPr>
        <w:t xml:space="preserve"> </w:t>
      </w:r>
      <w:r>
        <w:rPr>
          <w:rFonts w:cs="Times New Roman"/>
          <w:lang w:val="sq-AL"/>
        </w:rPr>
        <w:t>autoritetet</w:t>
      </w:r>
      <w:r>
        <w:rPr>
          <w:rFonts w:cs="Times New Roman"/>
          <w:spacing w:val="-7"/>
          <w:lang w:val="sq-AL"/>
        </w:rPr>
        <w:t xml:space="preserve"> </w:t>
      </w:r>
      <w:r>
        <w:rPr>
          <w:rFonts w:cs="Times New Roman"/>
          <w:lang w:val="sq-AL"/>
        </w:rPr>
        <w:t>rregullatore</w:t>
      </w:r>
      <w:r>
        <w:rPr>
          <w:rFonts w:cs="Times New Roman"/>
          <w:spacing w:val="-8"/>
          <w:lang w:val="sq-AL"/>
        </w:rPr>
        <w:t xml:space="preserve"> </w:t>
      </w:r>
      <w:r>
        <w:rPr>
          <w:rFonts w:cs="Times New Roman"/>
          <w:lang w:val="sq-AL"/>
        </w:rPr>
        <w:t>para</w:t>
      </w:r>
      <w:r>
        <w:rPr>
          <w:rFonts w:cs="Times New Roman"/>
          <w:spacing w:val="-3"/>
          <w:lang w:val="sq-AL"/>
        </w:rPr>
        <w:t xml:space="preserve"> </w:t>
      </w:r>
      <w:r>
        <w:rPr>
          <w:rFonts w:cs="Times New Roman"/>
          <w:lang w:val="sq-AL"/>
        </w:rPr>
        <w:t>zbatimit.</w:t>
      </w:r>
      <w:r>
        <w:rPr>
          <w:rFonts w:cs="Times New Roman"/>
          <w:spacing w:val="-8"/>
          <w:lang w:val="sq-AL"/>
        </w:rPr>
        <w:t xml:space="preserve"> </w:t>
      </w:r>
    </w:p>
    <w:p w:rsidR="002F02C2" w:rsidRDefault="002F02C2" w:rsidP="002F02C2">
      <w:pPr>
        <w:pStyle w:val="Paragrafi"/>
        <w:rPr>
          <w:rFonts w:cs="Times New Roman"/>
          <w:lang w:val="sq-AL"/>
        </w:rPr>
      </w:pPr>
      <w:r>
        <w:rPr>
          <w:rFonts w:cs="Times New Roman"/>
          <w:lang w:val="sq-AL"/>
        </w:rPr>
        <w:t xml:space="preserve"> 22. Metodologjia e</w:t>
      </w:r>
      <w:r>
        <w:rPr>
          <w:rFonts w:cs="Times New Roman"/>
          <w:spacing w:val="-9"/>
          <w:lang w:val="sq-AL"/>
        </w:rPr>
        <w:t xml:space="preserve"> MPRR-së </w:t>
      </w:r>
      <w:r>
        <w:rPr>
          <w:rFonts w:cs="Times New Roman"/>
          <w:lang w:val="sq-AL"/>
        </w:rPr>
        <w:t>siguron</w:t>
      </w:r>
      <w:r>
        <w:rPr>
          <w:rFonts w:cs="Times New Roman"/>
          <w:spacing w:val="-5"/>
          <w:lang w:val="sq-AL"/>
        </w:rPr>
        <w:t xml:space="preserve"> </w:t>
      </w:r>
      <w:r>
        <w:rPr>
          <w:rFonts w:cs="Times New Roman"/>
          <w:lang w:val="sq-AL"/>
        </w:rPr>
        <w:t>dhe</w:t>
      </w:r>
      <w:r>
        <w:rPr>
          <w:rFonts w:cs="Times New Roman"/>
          <w:spacing w:val="-3"/>
          <w:lang w:val="sq-AL"/>
        </w:rPr>
        <w:t xml:space="preserve"> </w:t>
      </w:r>
      <w:r>
        <w:rPr>
          <w:rFonts w:cs="Times New Roman"/>
          <w:lang w:val="sq-AL"/>
        </w:rPr>
        <w:t>rrit</w:t>
      </w:r>
      <w:r>
        <w:rPr>
          <w:rFonts w:cs="Times New Roman"/>
          <w:spacing w:val="-2"/>
          <w:lang w:val="sq-AL"/>
        </w:rPr>
        <w:t xml:space="preserve"> </w:t>
      </w:r>
      <w:r>
        <w:rPr>
          <w:rFonts w:cs="Times New Roman"/>
          <w:lang w:val="sq-AL"/>
        </w:rPr>
        <w:t>transparencën</w:t>
      </w:r>
      <w:r>
        <w:rPr>
          <w:rFonts w:cs="Times New Roman"/>
          <w:spacing w:val="-10"/>
          <w:lang w:val="sq-AL"/>
        </w:rPr>
        <w:t xml:space="preserve"> </w:t>
      </w:r>
      <w:r>
        <w:rPr>
          <w:rFonts w:cs="Times New Roman"/>
          <w:lang w:val="sq-AL"/>
        </w:rPr>
        <w:t>dhe besueshmërinë</w:t>
      </w:r>
      <w:r>
        <w:rPr>
          <w:rFonts w:cs="Times New Roman"/>
          <w:spacing w:val="-11"/>
          <w:lang w:val="sq-AL"/>
        </w:rPr>
        <w:t xml:space="preserve"> </w:t>
      </w:r>
      <w:r>
        <w:rPr>
          <w:rFonts w:cs="Times New Roman"/>
          <w:lang w:val="sq-AL"/>
        </w:rPr>
        <w:t>e</w:t>
      </w:r>
      <w:r>
        <w:rPr>
          <w:rFonts w:cs="Times New Roman"/>
          <w:spacing w:val="-1"/>
          <w:lang w:val="sq-AL"/>
        </w:rPr>
        <w:t xml:space="preserve"> </w:t>
      </w:r>
      <w:r>
        <w:rPr>
          <w:rFonts w:cs="Times New Roman"/>
          <w:lang w:val="sq-AL"/>
        </w:rPr>
        <w:t>informacionit më</w:t>
      </w:r>
      <w:r>
        <w:rPr>
          <w:rFonts w:cs="Times New Roman"/>
          <w:spacing w:val="-2"/>
          <w:lang w:val="sq-AL"/>
        </w:rPr>
        <w:t xml:space="preserve"> </w:t>
      </w:r>
      <w:r>
        <w:rPr>
          <w:rFonts w:cs="Times New Roman"/>
          <w:lang w:val="sq-AL"/>
        </w:rPr>
        <w:lastRenderedPageBreak/>
        <w:t>tej</w:t>
      </w:r>
      <w:r>
        <w:rPr>
          <w:rFonts w:cs="Times New Roman"/>
          <w:spacing w:val="-2"/>
          <w:lang w:val="sq-AL"/>
        </w:rPr>
        <w:t xml:space="preserve"> </w:t>
      </w:r>
      <w:r>
        <w:rPr>
          <w:rFonts w:cs="Times New Roman"/>
          <w:lang w:val="sq-AL"/>
        </w:rPr>
        <w:t>në</w:t>
      </w:r>
      <w:r>
        <w:rPr>
          <w:rFonts w:cs="Times New Roman"/>
          <w:spacing w:val="-2"/>
          <w:lang w:val="sq-AL"/>
        </w:rPr>
        <w:t xml:space="preserve"> </w:t>
      </w:r>
      <w:r>
        <w:rPr>
          <w:rFonts w:cs="Times New Roman"/>
          <w:lang w:val="sq-AL"/>
        </w:rPr>
        <w:t>nenin</w:t>
      </w:r>
      <w:r>
        <w:rPr>
          <w:rFonts w:cs="Times New Roman"/>
          <w:spacing w:val="-4"/>
          <w:lang w:val="sq-AL"/>
        </w:rPr>
        <w:t xml:space="preserve"> </w:t>
      </w:r>
      <w:r>
        <w:rPr>
          <w:rFonts w:cs="Times New Roman"/>
          <w:lang w:val="sq-AL"/>
        </w:rPr>
        <w:t>3(f)</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Rregullores</w:t>
      </w:r>
      <w:r>
        <w:rPr>
          <w:rFonts w:cs="Times New Roman"/>
          <w:spacing w:val="-8"/>
          <w:lang w:val="sq-AL"/>
        </w:rPr>
        <w:t xml:space="preserve"> </w:t>
      </w:r>
      <w:r>
        <w:rPr>
          <w:rFonts w:cs="Times New Roman"/>
          <w:lang w:val="sq-AL"/>
        </w:rPr>
        <w:t>2016/1719,</w:t>
      </w:r>
      <w:r>
        <w:rPr>
          <w:rFonts w:cs="Times New Roman"/>
          <w:spacing w:val="-8"/>
          <w:lang w:val="sq-AL"/>
        </w:rPr>
        <w:t xml:space="preserve"> </w:t>
      </w:r>
      <w:r>
        <w:rPr>
          <w:rFonts w:cs="Times New Roman"/>
          <w:lang w:val="sq-AL"/>
        </w:rPr>
        <w:t>duke</w:t>
      </w:r>
      <w:r>
        <w:rPr>
          <w:rFonts w:cs="Times New Roman"/>
          <w:spacing w:val="-3"/>
          <w:lang w:val="sq-AL"/>
        </w:rPr>
        <w:t xml:space="preserve"> </w:t>
      </w:r>
      <w:r>
        <w:rPr>
          <w:rFonts w:cs="Times New Roman"/>
          <w:lang w:val="sq-AL"/>
        </w:rPr>
        <w:t>ofruar</w:t>
      </w:r>
      <w:r>
        <w:rPr>
          <w:rFonts w:cs="Times New Roman"/>
          <w:spacing w:val="-4"/>
          <w:lang w:val="sq-AL"/>
        </w:rPr>
        <w:t xml:space="preserve"> </w:t>
      </w:r>
      <w:r>
        <w:rPr>
          <w:rFonts w:cs="Times New Roman"/>
          <w:lang w:val="sq-AL"/>
        </w:rPr>
        <w:t>për</w:t>
      </w:r>
      <w:r>
        <w:rPr>
          <w:rFonts w:cs="Times New Roman"/>
          <w:spacing w:val="-2"/>
          <w:lang w:val="sq-AL"/>
        </w:rPr>
        <w:t xml:space="preserve"> </w:t>
      </w:r>
      <w:r>
        <w:rPr>
          <w:rFonts w:cs="Times New Roman"/>
          <w:lang w:val="sq-AL"/>
        </w:rPr>
        <w:t>monitorim</w:t>
      </w:r>
      <w:r>
        <w:rPr>
          <w:rFonts w:cs="Times New Roman"/>
          <w:spacing w:val="-1"/>
          <w:lang w:val="sq-AL"/>
        </w:rPr>
        <w:t xml:space="preserve"> </w:t>
      </w:r>
      <w:r>
        <w:rPr>
          <w:rFonts w:cs="Times New Roman"/>
          <w:lang w:val="sq-AL"/>
        </w:rPr>
        <w:t>treguesit</w:t>
      </w:r>
      <w:r>
        <w:rPr>
          <w:rFonts w:cs="Times New Roman"/>
          <w:spacing w:val="-7"/>
          <w:lang w:val="sq-AL"/>
        </w:rPr>
        <w:t xml:space="preserve"> </w:t>
      </w:r>
      <w:r>
        <w:rPr>
          <w:rFonts w:cs="Times New Roman"/>
          <w:lang w:val="sq-AL"/>
        </w:rPr>
        <w:t>e</w:t>
      </w:r>
      <w:r>
        <w:rPr>
          <w:rFonts w:cs="Times New Roman"/>
          <w:spacing w:val="-1"/>
          <w:lang w:val="sq-AL"/>
        </w:rPr>
        <w:t xml:space="preserve"> </w:t>
      </w:r>
      <w:r>
        <w:rPr>
          <w:rFonts w:cs="Times New Roman"/>
          <w:lang w:val="sq-AL"/>
        </w:rPr>
        <w:t>cilësisë</w:t>
      </w:r>
      <w:r>
        <w:rPr>
          <w:rFonts w:cs="Times New Roman"/>
          <w:spacing w:val="-5"/>
          <w:lang w:val="sq-AL"/>
        </w:rPr>
        <w:t xml:space="preserve"> </w:t>
      </w:r>
      <w:r>
        <w:rPr>
          <w:rFonts w:cs="Times New Roman"/>
          <w:lang w:val="sq-AL"/>
        </w:rPr>
        <w:t>dhe</w:t>
      </w:r>
      <w:r>
        <w:rPr>
          <w:rFonts w:cs="Times New Roman"/>
          <w:spacing w:val="-3"/>
          <w:lang w:val="sq-AL"/>
        </w:rPr>
        <w:t xml:space="preserve"> </w:t>
      </w:r>
      <w:r>
        <w:rPr>
          <w:rFonts w:cs="Times New Roman"/>
          <w:lang w:val="sq-AL"/>
        </w:rPr>
        <w:t>publikimin</w:t>
      </w:r>
      <w:r>
        <w:rPr>
          <w:rFonts w:cs="Times New Roman"/>
          <w:spacing w:val="-7"/>
          <w:lang w:val="sq-AL"/>
        </w:rPr>
        <w:t xml:space="preserve"> </w:t>
      </w:r>
      <w:r>
        <w:rPr>
          <w:rFonts w:cs="Times New Roman"/>
          <w:lang w:val="sq-AL"/>
        </w:rPr>
        <w:t>e treguesve</w:t>
      </w:r>
      <w:r>
        <w:rPr>
          <w:rFonts w:cs="Times New Roman"/>
          <w:spacing w:val="-6"/>
          <w:lang w:val="sq-AL"/>
        </w:rPr>
        <w:t xml:space="preserve"> </w:t>
      </w:r>
      <w:r>
        <w:rPr>
          <w:rFonts w:cs="Times New Roman"/>
          <w:lang w:val="sq-AL"/>
        </w:rPr>
        <w:t>dhe</w:t>
      </w:r>
      <w:r>
        <w:rPr>
          <w:rFonts w:cs="Times New Roman"/>
          <w:spacing w:val="-3"/>
          <w:lang w:val="sq-AL"/>
        </w:rPr>
        <w:t xml:space="preserve"> </w:t>
      </w:r>
      <w:r>
        <w:rPr>
          <w:rFonts w:cs="Times New Roman"/>
          <w:lang w:val="sq-AL"/>
        </w:rPr>
        <w:t>rezultateve</w:t>
      </w:r>
      <w:r>
        <w:rPr>
          <w:rFonts w:cs="Times New Roman"/>
          <w:spacing w:val="-7"/>
          <w:lang w:val="sq-AL"/>
        </w:rPr>
        <w:t xml:space="preserve"> të</w:t>
      </w:r>
      <w:r>
        <w:rPr>
          <w:rFonts w:cs="Times New Roman"/>
          <w:spacing w:val="-1"/>
          <w:lang w:val="sq-AL"/>
        </w:rPr>
        <w:t xml:space="preserve"> </w:t>
      </w:r>
      <w:r>
        <w:rPr>
          <w:rFonts w:cs="Times New Roman"/>
          <w:lang w:val="sq-AL"/>
        </w:rPr>
        <w:t>monitorimit,</w:t>
      </w:r>
      <w:r>
        <w:rPr>
          <w:rFonts w:cs="Times New Roman"/>
          <w:spacing w:val="-8"/>
          <w:lang w:val="sq-AL"/>
        </w:rPr>
        <w:t xml:space="preserve"> </w:t>
      </w:r>
      <w:r>
        <w:rPr>
          <w:rFonts w:cs="Times New Roman"/>
          <w:lang w:val="sq-AL"/>
        </w:rPr>
        <w:t>si</w:t>
      </w:r>
      <w:r>
        <w:rPr>
          <w:rFonts w:cs="Times New Roman"/>
          <w:spacing w:val="-1"/>
          <w:lang w:val="sq-AL"/>
        </w:rPr>
        <w:t xml:space="preserve"> </w:t>
      </w:r>
      <w:r>
        <w:rPr>
          <w:rFonts w:cs="Times New Roman"/>
          <w:lang w:val="sq-AL"/>
        </w:rPr>
        <w:t>pjesë</w:t>
      </w:r>
      <w:r>
        <w:rPr>
          <w:rFonts w:cs="Times New Roman"/>
          <w:spacing w:val="-4"/>
          <w:lang w:val="sq-AL"/>
        </w:rPr>
        <w:t xml:space="preserve"> </w:t>
      </w:r>
      <w:r>
        <w:rPr>
          <w:rFonts w:cs="Times New Roman"/>
          <w:lang w:val="sq-AL"/>
        </w:rPr>
        <w:t>e</w:t>
      </w:r>
      <w:r>
        <w:rPr>
          <w:rFonts w:cs="Times New Roman"/>
          <w:spacing w:val="-1"/>
          <w:lang w:val="sq-AL"/>
        </w:rPr>
        <w:t xml:space="preserve"> </w:t>
      </w:r>
      <w:r>
        <w:rPr>
          <w:rFonts w:cs="Times New Roman"/>
          <w:lang w:val="sq-AL"/>
        </w:rPr>
        <w:t>të</w:t>
      </w:r>
      <w:r>
        <w:rPr>
          <w:rFonts w:cs="Times New Roman"/>
          <w:spacing w:val="-1"/>
          <w:lang w:val="sq-AL"/>
        </w:rPr>
        <w:t xml:space="preserve"> </w:t>
      </w:r>
      <w:r>
        <w:rPr>
          <w:rFonts w:cs="Times New Roman"/>
          <w:lang w:val="sq-AL"/>
        </w:rPr>
        <w:t>dhënave</w:t>
      </w:r>
      <w:r>
        <w:rPr>
          <w:rFonts w:cs="Times New Roman"/>
          <w:spacing w:val="-6"/>
          <w:lang w:val="sq-AL"/>
        </w:rPr>
        <w:t xml:space="preserve"> </w:t>
      </w:r>
      <w:r>
        <w:rPr>
          <w:rFonts w:cs="Times New Roman"/>
          <w:lang w:val="sq-AL"/>
        </w:rPr>
        <w:t>që</w:t>
      </w:r>
      <w:r>
        <w:rPr>
          <w:rFonts w:cs="Times New Roman"/>
          <w:spacing w:val="-2"/>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ofrohen,</w:t>
      </w:r>
      <w:r>
        <w:rPr>
          <w:rFonts w:cs="Times New Roman"/>
          <w:spacing w:val="-5"/>
          <w:lang w:val="sq-AL"/>
        </w:rPr>
        <w:t xml:space="preserve"> </w:t>
      </w:r>
      <w:r>
        <w:rPr>
          <w:rFonts w:cs="Times New Roman"/>
          <w:lang w:val="sq-AL"/>
        </w:rPr>
        <w:t>në</w:t>
      </w:r>
      <w:r>
        <w:rPr>
          <w:rFonts w:cs="Times New Roman"/>
          <w:spacing w:val="-2"/>
          <w:lang w:val="sq-AL"/>
        </w:rPr>
        <w:t xml:space="preserve"> </w:t>
      </w:r>
      <w:r>
        <w:rPr>
          <w:rFonts w:cs="Times New Roman"/>
          <w:lang w:val="sq-AL"/>
        </w:rPr>
        <w:t>përputhje</w:t>
      </w:r>
      <w:r>
        <w:rPr>
          <w:rFonts w:cs="Times New Roman"/>
          <w:spacing w:val="-7"/>
          <w:lang w:val="sq-AL"/>
        </w:rPr>
        <w:t xml:space="preserve"> </w:t>
      </w:r>
      <w:r>
        <w:rPr>
          <w:rFonts w:cs="Times New Roman"/>
          <w:lang w:val="sq-AL"/>
        </w:rPr>
        <w:t>me nenin</w:t>
      </w:r>
      <w:r>
        <w:rPr>
          <w:rFonts w:cs="Times New Roman"/>
          <w:spacing w:val="-4"/>
          <w:lang w:val="sq-AL"/>
        </w:rPr>
        <w:t xml:space="preserve"> </w:t>
      </w:r>
      <w:r>
        <w:rPr>
          <w:rFonts w:cs="Times New Roman"/>
          <w:lang w:val="sq-AL"/>
        </w:rPr>
        <w:t>26(3)</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Rregullores 2016/1719.</w:t>
      </w:r>
      <w:r>
        <w:rPr>
          <w:rFonts w:cs="Times New Roman"/>
          <w:spacing w:val="-8"/>
          <w:lang w:val="sq-AL"/>
        </w:rPr>
        <w:t xml:space="preserve"> </w:t>
      </w:r>
    </w:p>
    <w:p w:rsidR="002F02C2" w:rsidRDefault="002F02C2" w:rsidP="002F02C2">
      <w:pPr>
        <w:pStyle w:val="Paragrafi"/>
        <w:rPr>
          <w:rFonts w:cs="Times New Roman"/>
          <w:lang w:val="sq-AL"/>
        </w:rPr>
      </w:pPr>
      <w:r>
        <w:rPr>
          <w:rFonts w:cs="Times New Roman"/>
          <w:lang w:val="sq-AL"/>
        </w:rPr>
        <w:t xml:space="preserve"> 23. Propozimi</w:t>
      </w:r>
      <w:r>
        <w:rPr>
          <w:rFonts w:cs="Times New Roman"/>
          <w:spacing w:val="-7"/>
          <w:lang w:val="sq-AL"/>
        </w:rPr>
        <w:t xml:space="preserve"> i MMPRR-së, </w:t>
      </w:r>
      <w:r>
        <w:rPr>
          <w:rFonts w:cs="Times New Roman"/>
          <w:lang w:val="sq-AL"/>
        </w:rPr>
        <w:t>gjithashtu,</w:t>
      </w:r>
      <w:r>
        <w:rPr>
          <w:rFonts w:cs="Times New Roman"/>
          <w:spacing w:val="-7"/>
          <w:lang w:val="sq-AL"/>
        </w:rPr>
        <w:t xml:space="preserve"> </w:t>
      </w:r>
      <w:r>
        <w:rPr>
          <w:rFonts w:cs="Times New Roman"/>
          <w:lang w:val="sq-AL"/>
        </w:rPr>
        <w:t>kontribuon</w:t>
      </w:r>
      <w:r>
        <w:rPr>
          <w:rFonts w:cs="Times New Roman"/>
          <w:spacing w:val="-7"/>
          <w:lang w:val="sq-AL"/>
        </w:rPr>
        <w:t xml:space="preserve"> </w:t>
      </w:r>
      <w:r>
        <w:rPr>
          <w:rFonts w:cs="Times New Roman"/>
          <w:lang w:val="sq-AL"/>
        </w:rPr>
        <w:t>në</w:t>
      </w:r>
      <w:r>
        <w:rPr>
          <w:rFonts w:cs="Times New Roman"/>
          <w:spacing w:val="-2"/>
          <w:lang w:val="sq-AL"/>
        </w:rPr>
        <w:t xml:space="preserve"> </w:t>
      </w:r>
      <w:r>
        <w:rPr>
          <w:rFonts w:cs="Times New Roman"/>
          <w:lang w:val="sq-AL"/>
        </w:rPr>
        <w:t>objektivin</w:t>
      </w:r>
      <w:r>
        <w:rPr>
          <w:rFonts w:cs="Times New Roman"/>
          <w:spacing w:val="-7"/>
          <w:lang w:val="sq-AL"/>
        </w:rPr>
        <w:t xml:space="preserve"> </w:t>
      </w:r>
      <w:r>
        <w:rPr>
          <w:rFonts w:cs="Times New Roman"/>
          <w:lang w:val="sq-AL"/>
        </w:rPr>
        <w:t>e</w:t>
      </w:r>
      <w:r>
        <w:rPr>
          <w:rFonts w:cs="Times New Roman"/>
          <w:spacing w:val="-1"/>
          <w:lang w:val="sq-AL"/>
        </w:rPr>
        <w:t xml:space="preserve"> </w:t>
      </w:r>
      <w:r>
        <w:rPr>
          <w:rFonts w:cs="Times New Roman"/>
          <w:lang w:val="sq-AL"/>
        </w:rPr>
        <w:t>respektimit</w:t>
      </w:r>
      <w:r>
        <w:rPr>
          <w:rFonts w:cs="Times New Roman"/>
          <w:spacing w:val="-8"/>
          <w:lang w:val="sq-AL"/>
        </w:rPr>
        <w:t xml:space="preserve"> të </w:t>
      </w:r>
      <w:r>
        <w:rPr>
          <w:rFonts w:cs="Times New Roman"/>
          <w:lang w:val="sq-AL"/>
        </w:rPr>
        <w:t>nevojës</w:t>
      </w:r>
      <w:r>
        <w:rPr>
          <w:rFonts w:cs="Times New Roman"/>
          <w:spacing w:val="-6"/>
          <w:lang w:val="sq-AL"/>
        </w:rPr>
        <w:t xml:space="preserve"> </w:t>
      </w:r>
      <w:r>
        <w:rPr>
          <w:rFonts w:cs="Times New Roman"/>
          <w:lang w:val="sq-AL"/>
        </w:rPr>
        <w:t>për</w:t>
      </w:r>
      <w:r>
        <w:rPr>
          <w:rFonts w:cs="Times New Roman"/>
          <w:spacing w:val="-2"/>
          <w:lang w:val="sq-AL"/>
        </w:rPr>
        <w:t xml:space="preserve"> alokimin afatgjatë të kapacitetit </w:t>
      </w:r>
      <w:r>
        <w:rPr>
          <w:rFonts w:cs="Times New Roman"/>
          <w:lang w:val="sq-AL"/>
        </w:rPr>
        <w:t>në mënyrë të</w:t>
      </w:r>
      <w:r>
        <w:rPr>
          <w:rFonts w:cs="Times New Roman"/>
          <w:spacing w:val="-1"/>
          <w:lang w:val="sq-AL"/>
        </w:rPr>
        <w:t xml:space="preserve"> ndershme</w:t>
      </w:r>
      <w:r>
        <w:rPr>
          <w:rFonts w:cs="Times New Roman"/>
          <w:spacing w:val="-4"/>
          <w:lang w:val="sq-AL"/>
        </w:rPr>
        <w:t xml:space="preserve"> </w:t>
      </w:r>
      <w:r>
        <w:rPr>
          <w:rFonts w:cs="Times New Roman"/>
          <w:lang w:val="sq-AL"/>
        </w:rPr>
        <w:t xml:space="preserve">(neni 3(e) i Rregullores 2016/1719) përmes ofrimit të një modeli të përbashkët të rrjetit që do të përdoret në procesin e llogaritjes së kapacitetit në tregjet afatgjata, </w:t>
      </w:r>
      <w:r>
        <w:rPr>
          <w:rFonts w:cs="Times New Roman"/>
          <w:spacing w:val="7"/>
          <w:lang w:val="sq-AL"/>
        </w:rPr>
        <w:t xml:space="preserve">i </w:t>
      </w:r>
      <w:r>
        <w:rPr>
          <w:rFonts w:cs="Times New Roman"/>
          <w:lang w:val="sq-AL"/>
        </w:rPr>
        <w:t>përdorur</w:t>
      </w:r>
      <w:r>
        <w:rPr>
          <w:rFonts w:cs="Times New Roman"/>
          <w:spacing w:val="7"/>
          <w:lang w:val="sq-AL"/>
        </w:rPr>
        <w:t xml:space="preserve"> </w:t>
      </w:r>
      <w:r>
        <w:rPr>
          <w:rFonts w:cs="Times New Roman"/>
          <w:lang w:val="sq-AL"/>
        </w:rPr>
        <w:t>vetëm në rajonet e llogaritjes të kapacitetit, ku analiza e sigurisë është aplikuar në bazë të skenarëve të shumëfishtë, në pajtim me nenin 10 të Rregullores 2016/1719, në bazë të një metodologjie të përbashkët, duke specifikuar të dhënat hyrëse për përgatitjen e modeleve të veçanta të rrjetit të bashkuar në modelin e përbashkët të rrjetit panevropian.</w:t>
      </w:r>
    </w:p>
    <w:p w:rsidR="002F02C2" w:rsidRDefault="002F02C2" w:rsidP="002F02C2">
      <w:pPr>
        <w:pStyle w:val="Paragrafi"/>
        <w:rPr>
          <w:rFonts w:cs="Times New Roman"/>
          <w:lang w:val="sq-AL"/>
        </w:rPr>
      </w:pPr>
      <w:r>
        <w:rPr>
          <w:rFonts w:cs="Times New Roman"/>
          <w:lang w:val="sq-AL"/>
        </w:rPr>
        <w:t xml:space="preserve"> 24. Propozimi i MMPRR-së do të kontribuojë në funksionimin efikas afatgjatë dhe zhvillimin e sistemit të transmetimit të energjisë elektrike, si dhe sektorit të energjisë elektrike në EU me anë të një modeli të përbashkët të rrjetit panevropian, që do të përdoret në mënyrë të koordinuar në të gjithë EU-në (neni 3(g) i Rregullores 2016/1719). </w:t>
      </w:r>
    </w:p>
    <w:p w:rsidR="002F02C2" w:rsidRDefault="002F02C2" w:rsidP="002F02C2">
      <w:pPr>
        <w:pStyle w:val="Paragrafi"/>
        <w:rPr>
          <w:rFonts w:cs="Times New Roman"/>
          <w:lang w:val="sq-AL"/>
        </w:rPr>
      </w:pPr>
      <w:r>
        <w:rPr>
          <w:rFonts w:cs="Times New Roman"/>
          <w:lang w:val="sq-AL"/>
        </w:rPr>
        <w:t xml:space="preserve"> 25. Së fundi, propozimi i MMPRR-së kontribuon në objektivin e së drejtës jodiskriminuese</w:t>
      </w:r>
      <w:r>
        <w:rPr>
          <w:rFonts w:cs="Times New Roman"/>
          <w:spacing w:val="7"/>
          <w:lang w:val="sq-AL"/>
        </w:rPr>
        <w:t xml:space="preserve"> për sigurimin e kapacitetit </w:t>
      </w:r>
      <w:r>
        <w:rPr>
          <w:rFonts w:cs="Times New Roman"/>
          <w:lang w:val="sq-AL"/>
        </w:rPr>
        <w:t>afatgjatë</w:t>
      </w:r>
      <w:r>
        <w:rPr>
          <w:rFonts w:cs="Times New Roman"/>
          <w:spacing w:val="18"/>
          <w:lang w:val="sq-AL"/>
        </w:rPr>
        <w:t xml:space="preserve"> </w:t>
      </w:r>
      <w:r>
        <w:rPr>
          <w:rFonts w:cs="Times New Roman"/>
          <w:lang w:val="sq-AL"/>
        </w:rPr>
        <w:t>ndërrajonal</w:t>
      </w:r>
      <w:r>
        <w:rPr>
          <w:rFonts w:cs="Times New Roman"/>
          <w:spacing w:val="23"/>
          <w:lang w:val="sq-AL"/>
        </w:rPr>
        <w:t xml:space="preserve"> </w:t>
      </w:r>
      <w:r>
        <w:rPr>
          <w:rFonts w:cs="Times New Roman"/>
          <w:lang w:val="sq-AL"/>
        </w:rPr>
        <w:t>(neni</w:t>
      </w:r>
      <w:r>
        <w:rPr>
          <w:rFonts w:cs="Times New Roman"/>
          <w:spacing w:val="11"/>
          <w:lang w:val="sq-AL"/>
        </w:rPr>
        <w:t xml:space="preserve"> </w:t>
      </w:r>
      <w:r>
        <w:rPr>
          <w:rFonts w:cs="Times New Roman"/>
          <w:lang w:val="sq-AL"/>
        </w:rPr>
        <w:t>3(c)</w:t>
      </w:r>
      <w:r>
        <w:rPr>
          <w:rFonts w:cs="Times New Roman"/>
          <w:spacing w:val="6"/>
          <w:lang w:val="sq-AL"/>
        </w:rPr>
        <w:t xml:space="preserve"> </w:t>
      </w:r>
      <w:r>
        <w:rPr>
          <w:rFonts w:cs="Times New Roman"/>
          <w:lang w:val="sq-AL"/>
        </w:rPr>
        <w:t>i</w:t>
      </w:r>
      <w:r>
        <w:rPr>
          <w:rFonts w:cs="Times New Roman"/>
          <w:spacing w:val="4"/>
          <w:lang w:val="sq-AL"/>
        </w:rPr>
        <w:t xml:space="preserve"> </w:t>
      </w:r>
      <w:r>
        <w:rPr>
          <w:rFonts w:cs="Times New Roman"/>
          <w:lang w:val="sq-AL"/>
        </w:rPr>
        <w:t>Rregullores</w:t>
      </w:r>
      <w:r>
        <w:rPr>
          <w:rFonts w:cs="Times New Roman"/>
          <w:spacing w:val="22"/>
          <w:lang w:val="sq-AL"/>
        </w:rPr>
        <w:t xml:space="preserve"> </w:t>
      </w:r>
      <w:r>
        <w:rPr>
          <w:rFonts w:cs="Times New Roman"/>
          <w:lang w:val="sq-AL"/>
        </w:rPr>
        <w:t>2016/1719),</w:t>
      </w:r>
      <w:r>
        <w:rPr>
          <w:rFonts w:cs="Times New Roman"/>
          <w:spacing w:val="22"/>
          <w:lang w:val="sq-AL"/>
        </w:rPr>
        <w:t xml:space="preserve"> </w:t>
      </w:r>
      <w:r>
        <w:rPr>
          <w:rFonts w:cs="Times New Roman"/>
          <w:lang w:val="sq-AL"/>
        </w:rPr>
        <w:t>përsëri</w:t>
      </w:r>
      <w:r>
        <w:rPr>
          <w:rFonts w:cs="Times New Roman"/>
          <w:spacing w:val="14"/>
          <w:lang w:val="sq-AL"/>
        </w:rPr>
        <w:t xml:space="preserve"> nëpërmjet </w:t>
      </w:r>
      <w:r>
        <w:rPr>
          <w:rFonts w:cs="Times New Roman"/>
          <w:lang w:val="sq-AL"/>
        </w:rPr>
        <w:t>ofrimit</w:t>
      </w:r>
      <w:r>
        <w:rPr>
          <w:rFonts w:cs="Times New Roman"/>
          <w:spacing w:val="14"/>
          <w:lang w:val="sq-AL"/>
        </w:rPr>
        <w:t xml:space="preserve"> të</w:t>
      </w:r>
      <w:r>
        <w:rPr>
          <w:rFonts w:cs="Times New Roman"/>
          <w:spacing w:val="3"/>
          <w:lang w:val="sq-AL"/>
        </w:rPr>
        <w:t xml:space="preserve"> </w:t>
      </w:r>
      <w:r>
        <w:rPr>
          <w:rFonts w:cs="Times New Roman"/>
          <w:lang w:val="sq-AL"/>
        </w:rPr>
        <w:t>një</w:t>
      </w:r>
      <w:r>
        <w:rPr>
          <w:rFonts w:cs="Times New Roman"/>
          <w:spacing w:val="7"/>
          <w:lang w:val="sq-AL"/>
        </w:rPr>
        <w:t xml:space="preserve"> </w:t>
      </w:r>
      <w:r>
        <w:rPr>
          <w:rFonts w:cs="Times New Roman"/>
          <w:lang w:val="sq-AL"/>
        </w:rPr>
        <w:t>modeli</w:t>
      </w:r>
      <w:r>
        <w:rPr>
          <w:rFonts w:cs="Times New Roman"/>
          <w:spacing w:val="13"/>
          <w:lang w:val="sq-AL"/>
        </w:rPr>
        <w:t xml:space="preserve"> </w:t>
      </w:r>
      <w:r>
        <w:rPr>
          <w:rFonts w:cs="Times New Roman"/>
          <w:lang w:val="sq-AL"/>
        </w:rPr>
        <w:t>të</w:t>
      </w:r>
      <w:r>
        <w:rPr>
          <w:rFonts w:cs="Times New Roman"/>
          <w:spacing w:val="4"/>
          <w:lang w:val="sq-AL"/>
        </w:rPr>
        <w:t xml:space="preserve"> </w:t>
      </w:r>
      <w:r>
        <w:rPr>
          <w:rFonts w:cs="Times New Roman"/>
          <w:lang w:val="sq-AL"/>
        </w:rPr>
        <w:t>përbashkët</w:t>
      </w:r>
      <w:r>
        <w:rPr>
          <w:rFonts w:cs="Times New Roman"/>
          <w:spacing w:val="22"/>
          <w:lang w:val="sq-AL"/>
        </w:rPr>
        <w:t xml:space="preserve"> </w:t>
      </w:r>
      <w:r>
        <w:rPr>
          <w:rFonts w:cs="Times New Roman"/>
          <w:lang w:val="sq-AL"/>
        </w:rPr>
        <w:t>të</w:t>
      </w:r>
      <w:r>
        <w:rPr>
          <w:rFonts w:cs="Times New Roman"/>
          <w:spacing w:val="4"/>
          <w:lang w:val="sq-AL"/>
        </w:rPr>
        <w:t xml:space="preserve"> </w:t>
      </w:r>
      <w:r>
        <w:rPr>
          <w:rFonts w:cs="Times New Roman"/>
          <w:w w:val="103"/>
          <w:lang w:val="sq-AL"/>
        </w:rPr>
        <w:t xml:space="preserve">rrjetit, </w:t>
      </w:r>
      <w:r>
        <w:rPr>
          <w:rFonts w:cs="Times New Roman"/>
          <w:lang w:val="sq-AL"/>
        </w:rPr>
        <w:t>bazuar</w:t>
      </w:r>
      <w:r>
        <w:rPr>
          <w:rFonts w:cs="Times New Roman"/>
          <w:spacing w:val="14"/>
          <w:lang w:val="sq-AL"/>
        </w:rPr>
        <w:t xml:space="preserve"> </w:t>
      </w:r>
      <w:r>
        <w:rPr>
          <w:rFonts w:cs="Times New Roman"/>
          <w:lang w:val="sq-AL"/>
        </w:rPr>
        <w:t>në</w:t>
      </w:r>
      <w:r>
        <w:rPr>
          <w:rFonts w:cs="Times New Roman"/>
          <w:spacing w:val="6"/>
          <w:lang w:val="sq-AL"/>
        </w:rPr>
        <w:t xml:space="preserve"> </w:t>
      </w:r>
      <w:r>
        <w:rPr>
          <w:rFonts w:cs="Times New Roman"/>
          <w:lang w:val="sq-AL"/>
        </w:rPr>
        <w:t>një</w:t>
      </w:r>
      <w:r>
        <w:rPr>
          <w:rFonts w:cs="Times New Roman"/>
          <w:spacing w:val="7"/>
          <w:lang w:val="sq-AL"/>
        </w:rPr>
        <w:t xml:space="preserve"> </w:t>
      </w:r>
      <w:r>
        <w:rPr>
          <w:rFonts w:cs="Times New Roman"/>
          <w:lang w:val="sq-AL"/>
        </w:rPr>
        <w:t>metodologji</w:t>
      </w:r>
      <w:r>
        <w:rPr>
          <w:rFonts w:cs="Times New Roman"/>
          <w:spacing w:val="22"/>
          <w:lang w:val="sq-AL"/>
        </w:rPr>
        <w:t xml:space="preserve"> </w:t>
      </w:r>
      <w:r>
        <w:rPr>
          <w:rFonts w:cs="Times New Roman"/>
          <w:lang w:val="sq-AL"/>
        </w:rPr>
        <w:t>të</w:t>
      </w:r>
      <w:r>
        <w:rPr>
          <w:rFonts w:cs="Times New Roman"/>
          <w:spacing w:val="4"/>
          <w:lang w:val="sq-AL"/>
        </w:rPr>
        <w:t xml:space="preserve"> </w:t>
      </w:r>
      <w:r>
        <w:rPr>
          <w:rFonts w:cs="Times New Roman"/>
          <w:lang w:val="sq-AL"/>
        </w:rPr>
        <w:t>përbashkët</w:t>
      </w:r>
      <w:r>
        <w:rPr>
          <w:rFonts w:cs="Times New Roman"/>
          <w:spacing w:val="22"/>
          <w:lang w:val="sq-AL"/>
        </w:rPr>
        <w:t xml:space="preserve"> </w:t>
      </w:r>
      <w:r>
        <w:rPr>
          <w:rFonts w:cs="Times New Roman"/>
          <w:lang w:val="sq-AL"/>
        </w:rPr>
        <w:t>të</w:t>
      </w:r>
      <w:r>
        <w:rPr>
          <w:rFonts w:cs="Times New Roman"/>
          <w:spacing w:val="4"/>
          <w:lang w:val="sq-AL"/>
        </w:rPr>
        <w:t xml:space="preserve"> </w:t>
      </w:r>
      <w:r>
        <w:rPr>
          <w:rFonts w:cs="Times New Roman"/>
          <w:lang w:val="sq-AL"/>
        </w:rPr>
        <w:t>detyrueshme,</w:t>
      </w:r>
      <w:r>
        <w:rPr>
          <w:rFonts w:cs="Times New Roman"/>
          <w:spacing w:val="26"/>
          <w:lang w:val="sq-AL"/>
        </w:rPr>
        <w:t xml:space="preserve"> </w:t>
      </w:r>
      <w:r>
        <w:rPr>
          <w:rFonts w:cs="Times New Roman"/>
          <w:lang w:val="sq-AL"/>
        </w:rPr>
        <w:t>që</w:t>
      </w:r>
      <w:r>
        <w:rPr>
          <w:rFonts w:cs="Times New Roman"/>
          <w:spacing w:val="6"/>
          <w:lang w:val="sq-AL"/>
        </w:rPr>
        <w:t xml:space="preserve"> </w:t>
      </w:r>
      <w:r>
        <w:rPr>
          <w:rFonts w:cs="Times New Roman"/>
          <w:lang w:val="sq-AL"/>
        </w:rPr>
        <w:t>do</w:t>
      </w:r>
      <w:r>
        <w:rPr>
          <w:rFonts w:cs="Times New Roman"/>
          <w:spacing w:val="6"/>
          <w:lang w:val="sq-AL"/>
        </w:rPr>
        <w:t xml:space="preserve"> </w:t>
      </w:r>
      <w:r>
        <w:rPr>
          <w:rFonts w:cs="Times New Roman"/>
          <w:lang w:val="sq-AL"/>
        </w:rPr>
        <w:t>të</w:t>
      </w:r>
      <w:r>
        <w:rPr>
          <w:rFonts w:cs="Times New Roman"/>
          <w:spacing w:val="4"/>
          <w:lang w:val="sq-AL"/>
        </w:rPr>
        <w:t xml:space="preserve"> </w:t>
      </w:r>
      <w:r>
        <w:rPr>
          <w:rFonts w:cs="Times New Roman"/>
          <w:lang w:val="sq-AL"/>
        </w:rPr>
        <w:t>përdoret</w:t>
      </w:r>
      <w:r>
        <w:rPr>
          <w:rFonts w:cs="Times New Roman"/>
          <w:spacing w:val="18"/>
          <w:lang w:val="sq-AL"/>
        </w:rPr>
        <w:t xml:space="preserve"> </w:t>
      </w:r>
      <w:r>
        <w:rPr>
          <w:rFonts w:cs="Times New Roman"/>
          <w:lang w:val="sq-AL"/>
        </w:rPr>
        <w:t>në</w:t>
      </w:r>
      <w:r>
        <w:rPr>
          <w:rFonts w:cs="Times New Roman"/>
          <w:spacing w:val="6"/>
          <w:lang w:val="sq-AL"/>
        </w:rPr>
        <w:t xml:space="preserve"> </w:t>
      </w:r>
      <w:r>
        <w:rPr>
          <w:rFonts w:cs="Times New Roman"/>
          <w:lang w:val="sq-AL"/>
        </w:rPr>
        <w:t>procesin</w:t>
      </w:r>
      <w:r>
        <w:rPr>
          <w:rFonts w:cs="Times New Roman"/>
          <w:spacing w:val="17"/>
          <w:lang w:val="sq-AL"/>
        </w:rPr>
        <w:t xml:space="preserve"> </w:t>
      </w:r>
      <w:r>
        <w:rPr>
          <w:rFonts w:cs="Times New Roman"/>
          <w:lang w:val="sq-AL"/>
        </w:rPr>
        <w:t>e</w:t>
      </w:r>
      <w:r>
        <w:rPr>
          <w:rFonts w:cs="Times New Roman"/>
          <w:spacing w:val="3"/>
          <w:lang w:val="sq-AL"/>
        </w:rPr>
        <w:t xml:space="preserve"> </w:t>
      </w:r>
      <w:r>
        <w:rPr>
          <w:rFonts w:cs="Times New Roman"/>
          <w:lang w:val="sq-AL"/>
        </w:rPr>
        <w:t>llogaritjes</w:t>
      </w:r>
      <w:r>
        <w:rPr>
          <w:rFonts w:cs="Times New Roman"/>
          <w:spacing w:val="19"/>
          <w:lang w:val="sq-AL"/>
        </w:rPr>
        <w:t xml:space="preserve"> </w:t>
      </w:r>
      <w:r>
        <w:rPr>
          <w:rFonts w:cs="Times New Roman"/>
          <w:lang w:val="sq-AL"/>
        </w:rPr>
        <w:t>së</w:t>
      </w:r>
      <w:r>
        <w:rPr>
          <w:rFonts w:cs="Times New Roman"/>
          <w:spacing w:val="5"/>
          <w:lang w:val="sq-AL"/>
        </w:rPr>
        <w:t xml:space="preserve"> </w:t>
      </w:r>
      <w:r>
        <w:rPr>
          <w:rFonts w:cs="Times New Roman"/>
          <w:lang w:val="sq-AL"/>
        </w:rPr>
        <w:t>kapacitetit</w:t>
      </w:r>
      <w:r>
        <w:rPr>
          <w:rFonts w:cs="Times New Roman"/>
          <w:spacing w:val="25"/>
          <w:lang w:val="sq-AL"/>
        </w:rPr>
        <w:t xml:space="preserve"> </w:t>
      </w:r>
      <w:r>
        <w:rPr>
          <w:rFonts w:cs="Times New Roman"/>
          <w:lang w:val="sq-AL"/>
        </w:rPr>
        <w:t>për</w:t>
      </w:r>
      <w:r>
        <w:rPr>
          <w:rFonts w:cs="Times New Roman"/>
          <w:spacing w:val="7"/>
          <w:lang w:val="sq-AL"/>
        </w:rPr>
        <w:t xml:space="preserve"> </w:t>
      </w:r>
      <w:r>
        <w:rPr>
          <w:rFonts w:cs="Times New Roman"/>
          <w:lang w:val="sq-AL"/>
        </w:rPr>
        <w:t>tregjet</w:t>
      </w:r>
      <w:r>
        <w:rPr>
          <w:rFonts w:cs="Times New Roman"/>
          <w:spacing w:val="13"/>
          <w:lang w:val="sq-AL"/>
        </w:rPr>
        <w:t xml:space="preserve"> </w:t>
      </w:r>
      <w:r>
        <w:rPr>
          <w:rFonts w:cs="Times New Roman"/>
          <w:w w:val="103"/>
          <w:lang w:val="sq-AL"/>
        </w:rPr>
        <w:t>afatgjata</w:t>
      </w:r>
      <w:r>
        <w:rPr>
          <w:rFonts w:cs="Times New Roman"/>
          <w:spacing w:val="2"/>
          <w:lang w:val="sq-AL"/>
        </w:rPr>
        <w:t xml:space="preserve"> </w:t>
      </w:r>
      <w:r>
        <w:rPr>
          <w:rFonts w:cs="Times New Roman"/>
          <w:lang w:val="sq-AL"/>
        </w:rPr>
        <w:t>vetëm në rajonet e llogaritjes të kapacitetit, ku analiza e sigurisë është aplikuar në bazë të skenarëve të shumëfishtë në pajtim me nenin 10 të Rregullores 2016/1719.</w:t>
      </w:r>
      <w:r>
        <w:rPr>
          <w:rFonts w:cs="Times New Roman"/>
          <w:spacing w:val="17"/>
          <w:lang w:val="sq-AL"/>
        </w:rPr>
        <w:t xml:space="preserve"> </w:t>
      </w:r>
    </w:p>
    <w:p w:rsidR="002F02C2" w:rsidRDefault="002F02C2" w:rsidP="002F02C2">
      <w:pPr>
        <w:pStyle w:val="Paragrafi"/>
        <w:rPr>
          <w:rFonts w:cs="Times New Roman"/>
          <w:lang w:val="sq-AL"/>
        </w:rPr>
      </w:pPr>
      <w:r>
        <w:rPr>
          <w:rFonts w:cs="Times New Roman"/>
          <w:lang w:val="sq-AL"/>
        </w:rPr>
        <w:t xml:space="preserve"> 26. Në përfundim, propozimi i MMPRR-së kontribuon në objektivat e përgjithshëm të Rregullores 2016/1719, në dobi të të gjithë OST-ve, bursave, agjencive, autoriteteve rregullatore dhe pjesëmarrësve të tregut.</w:t>
      </w:r>
    </w:p>
    <w:p w:rsidR="002F02C2" w:rsidRDefault="002F02C2" w:rsidP="002F02C2">
      <w:pPr>
        <w:pStyle w:val="Paragrafi"/>
        <w:rPr>
          <w:lang w:val="sq-AL"/>
        </w:rPr>
      </w:pPr>
      <w:r>
        <w:rPr>
          <w:lang w:val="sq-AL"/>
        </w:rPr>
        <w:t xml:space="preserve">Paraqesin këtë propozim mbi MMPRR-në për të gjitha ERE-t: </w:t>
      </w:r>
    </w:p>
    <w:p w:rsidR="002F02C2" w:rsidRPr="002F02C2" w:rsidRDefault="002F02C2" w:rsidP="002F02C2">
      <w:pPr>
        <w:pStyle w:val="Paragrafi"/>
        <w:rPr>
          <w:sz w:val="14"/>
          <w:lang w:val="sq-AL"/>
        </w:rPr>
      </w:pPr>
    </w:p>
    <w:p w:rsidR="002F02C2" w:rsidRDefault="002F02C2" w:rsidP="002F02C2">
      <w:pPr>
        <w:pStyle w:val="NeniNr"/>
        <w:rPr>
          <w:lang w:val="sq-AL"/>
        </w:rPr>
      </w:pPr>
      <w:r>
        <w:rPr>
          <w:lang w:val="sq-AL"/>
        </w:rPr>
        <w:t>Neni 1</w:t>
      </w:r>
    </w:p>
    <w:p w:rsidR="002F02C2" w:rsidRDefault="002F02C2" w:rsidP="002F02C2">
      <w:pPr>
        <w:pStyle w:val="NeniNr"/>
        <w:rPr>
          <w:b/>
          <w:lang w:val="sq-AL"/>
        </w:rPr>
      </w:pPr>
      <w:r>
        <w:rPr>
          <w:b/>
          <w:lang w:val="sq-AL"/>
        </w:rPr>
        <w:t>Lënda dhe fushëveprimi</w:t>
      </w:r>
    </w:p>
    <w:p w:rsidR="002F02C2" w:rsidRDefault="002F02C2" w:rsidP="002F02C2">
      <w:pPr>
        <w:pStyle w:val="Hapesira7"/>
        <w:rPr>
          <w:w w:val="103"/>
          <w:lang w:val="sq-AL"/>
        </w:rPr>
      </w:pPr>
    </w:p>
    <w:p w:rsidR="002F02C2" w:rsidRDefault="002F02C2" w:rsidP="002F02C2">
      <w:pPr>
        <w:pStyle w:val="Paragrafi"/>
        <w:rPr>
          <w:rFonts w:cs="Times New Roman"/>
          <w:lang w:val="sq-AL"/>
        </w:rPr>
      </w:pPr>
      <w:r>
        <w:rPr>
          <w:rFonts w:cs="Times New Roman"/>
          <w:lang w:val="sq-AL"/>
        </w:rPr>
        <w:t>1. Metodologjia e modelit të</w:t>
      </w:r>
      <w:r>
        <w:rPr>
          <w:rFonts w:cs="Times New Roman"/>
          <w:spacing w:val="-2"/>
          <w:lang w:val="sq-AL"/>
        </w:rPr>
        <w:t xml:space="preserve"> </w:t>
      </w:r>
      <w:r>
        <w:rPr>
          <w:rFonts w:cs="Times New Roman"/>
          <w:lang w:val="sq-AL"/>
        </w:rPr>
        <w:t>përbashkët</w:t>
      </w:r>
      <w:r>
        <w:rPr>
          <w:rFonts w:cs="Times New Roman"/>
          <w:spacing w:val="-10"/>
          <w:lang w:val="sq-AL"/>
        </w:rPr>
        <w:t xml:space="preserve"> të rrjetit, e </w:t>
      </w:r>
      <w:r>
        <w:rPr>
          <w:rFonts w:cs="Times New Roman"/>
          <w:lang w:val="sq-AL"/>
        </w:rPr>
        <w:t>përshkruar</w:t>
      </w:r>
      <w:r>
        <w:rPr>
          <w:rFonts w:cs="Times New Roman"/>
          <w:spacing w:val="15"/>
          <w:lang w:val="sq-AL"/>
        </w:rPr>
        <w:t xml:space="preserve"> </w:t>
      </w:r>
      <w:r>
        <w:rPr>
          <w:rFonts w:cs="Times New Roman"/>
          <w:lang w:val="sq-AL"/>
        </w:rPr>
        <w:t>në</w:t>
      </w:r>
      <w:r>
        <w:rPr>
          <w:rFonts w:cs="Times New Roman"/>
          <w:spacing w:val="4"/>
          <w:lang w:val="sq-AL"/>
        </w:rPr>
        <w:t xml:space="preserve"> </w:t>
      </w:r>
      <w:r>
        <w:rPr>
          <w:rFonts w:cs="Times New Roman"/>
          <w:lang w:val="sq-AL"/>
        </w:rPr>
        <w:t>këtë</w:t>
      </w:r>
      <w:r>
        <w:rPr>
          <w:rFonts w:cs="Times New Roman"/>
          <w:spacing w:val="7"/>
          <w:lang w:val="sq-AL"/>
        </w:rPr>
        <w:t xml:space="preserve"> </w:t>
      </w:r>
      <w:r>
        <w:rPr>
          <w:rFonts w:cs="Times New Roman"/>
          <w:lang w:val="sq-AL"/>
        </w:rPr>
        <w:t>propozim</w:t>
      </w:r>
      <w:r>
        <w:rPr>
          <w:rFonts w:cs="Times New Roman"/>
          <w:spacing w:val="13"/>
          <w:lang w:val="sq-AL"/>
        </w:rPr>
        <w:t xml:space="preserve"> </w:t>
      </w:r>
      <w:r>
        <w:rPr>
          <w:rFonts w:cs="Times New Roman"/>
          <w:lang w:val="sq-AL"/>
        </w:rPr>
        <w:t>është</w:t>
      </w:r>
      <w:r>
        <w:rPr>
          <w:rFonts w:cs="Times New Roman"/>
          <w:spacing w:val="8"/>
          <w:lang w:val="sq-AL"/>
        </w:rPr>
        <w:t xml:space="preserve"> </w:t>
      </w:r>
      <w:r>
        <w:rPr>
          <w:rFonts w:cs="Times New Roman"/>
          <w:lang w:val="sq-AL"/>
        </w:rPr>
        <w:t>propozimi</w:t>
      </w:r>
      <w:r>
        <w:rPr>
          <w:rFonts w:cs="Times New Roman"/>
          <w:spacing w:val="14"/>
          <w:lang w:val="sq-AL"/>
        </w:rPr>
        <w:t xml:space="preserve"> </w:t>
      </w:r>
      <w:r>
        <w:rPr>
          <w:rFonts w:cs="Times New Roman"/>
          <w:lang w:val="sq-AL"/>
        </w:rPr>
        <w:t>i</w:t>
      </w:r>
      <w:r>
        <w:rPr>
          <w:rFonts w:cs="Times New Roman"/>
          <w:spacing w:val="2"/>
          <w:lang w:val="sq-AL"/>
        </w:rPr>
        <w:t xml:space="preserve"> </w:t>
      </w:r>
      <w:r>
        <w:rPr>
          <w:rFonts w:cs="Times New Roman"/>
          <w:lang w:val="sq-AL"/>
        </w:rPr>
        <w:t>përbashkët</w:t>
      </w:r>
      <w:r>
        <w:rPr>
          <w:rFonts w:cs="Times New Roman"/>
          <w:spacing w:val="16"/>
          <w:lang w:val="sq-AL"/>
        </w:rPr>
        <w:t xml:space="preserve"> </w:t>
      </w:r>
      <w:r>
        <w:rPr>
          <w:rFonts w:cs="Times New Roman"/>
          <w:lang w:val="sq-AL"/>
        </w:rPr>
        <w:t>i</w:t>
      </w:r>
      <w:r>
        <w:rPr>
          <w:rFonts w:cs="Times New Roman"/>
          <w:spacing w:val="2"/>
          <w:lang w:val="sq-AL"/>
        </w:rPr>
        <w:t xml:space="preserve"> </w:t>
      </w:r>
      <w:r>
        <w:rPr>
          <w:rFonts w:cs="Times New Roman"/>
          <w:lang w:val="sq-AL"/>
        </w:rPr>
        <w:t>të</w:t>
      </w:r>
      <w:r>
        <w:rPr>
          <w:rFonts w:cs="Times New Roman"/>
          <w:spacing w:val="3"/>
          <w:lang w:val="sq-AL"/>
        </w:rPr>
        <w:t xml:space="preserve"> </w:t>
      </w:r>
      <w:r>
        <w:rPr>
          <w:rFonts w:cs="Times New Roman"/>
          <w:lang w:val="sq-AL"/>
        </w:rPr>
        <w:t>gjithë</w:t>
      </w:r>
      <w:r>
        <w:rPr>
          <w:rFonts w:cs="Times New Roman"/>
          <w:spacing w:val="8"/>
          <w:lang w:val="sq-AL"/>
        </w:rPr>
        <w:t xml:space="preserve"> </w:t>
      </w:r>
      <w:r>
        <w:rPr>
          <w:rFonts w:cs="Times New Roman"/>
          <w:lang w:val="sq-AL"/>
        </w:rPr>
        <w:t>OST-ve,</w:t>
      </w:r>
      <w:r>
        <w:rPr>
          <w:rFonts w:cs="Times New Roman"/>
          <w:spacing w:val="11"/>
          <w:lang w:val="sq-AL"/>
        </w:rPr>
        <w:t xml:space="preserve"> </w:t>
      </w:r>
      <w:r>
        <w:rPr>
          <w:rFonts w:cs="Times New Roman"/>
          <w:lang w:val="sq-AL"/>
        </w:rPr>
        <w:t>në</w:t>
      </w:r>
      <w:r>
        <w:rPr>
          <w:rFonts w:cs="Times New Roman"/>
          <w:spacing w:val="4"/>
          <w:lang w:val="sq-AL"/>
        </w:rPr>
        <w:t xml:space="preserve"> </w:t>
      </w:r>
      <w:r>
        <w:rPr>
          <w:rFonts w:cs="Times New Roman"/>
          <w:w w:val="102"/>
          <w:lang w:val="sq-AL"/>
        </w:rPr>
        <w:t xml:space="preserve">përputhje </w:t>
      </w:r>
      <w:r>
        <w:rPr>
          <w:rFonts w:cs="Times New Roman"/>
          <w:lang w:val="sq-AL"/>
        </w:rPr>
        <w:t>me nenin</w:t>
      </w:r>
      <w:r>
        <w:rPr>
          <w:rFonts w:cs="Times New Roman"/>
          <w:spacing w:val="8"/>
          <w:lang w:val="sq-AL"/>
        </w:rPr>
        <w:t xml:space="preserve"> </w:t>
      </w:r>
      <w:r>
        <w:rPr>
          <w:rFonts w:cs="Times New Roman"/>
          <w:lang w:val="sq-AL"/>
        </w:rPr>
        <w:t>18</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Rregullores</w:t>
      </w:r>
      <w:r>
        <w:rPr>
          <w:rFonts w:cs="Times New Roman"/>
          <w:spacing w:val="16"/>
          <w:lang w:val="sq-AL"/>
        </w:rPr>
        <w:t xml:space="preserve"> </w:t>
      </w:r>
      <w:r>
        <w:rPr>
          <w:rFonts w:cs="Times New Roman"/>
          <w:w w:val="102"/>
          <w:lang w:val="sq-AL"/>
        </w:rPr>
        <w:t>2016/1719.</w:t>
      </w:r>
    </w:p>
    <w:p w:rsidR="002F02C2" w:rsidRDefault="002F02C2" w:rsidP="002F02C2">
      <w:pPr>
        <w:pStyle w:val="Paragrafi"/>
        <w:rPr>
          <w:rFonts w:cs="Times New Roman"/>
          <w:lang w:val="sq-AL"/>
        </w:rPr>
      </w:pPr>
      <w:r>
        <w:rPr>
          <w:rFonts w:cs="Times New Roman"/>
          <w:lang w:val="sq-AL"/>
        </w:rPr>
        <w:t>2. Kjo</w:t>
      </w:r>
      <w:r>
        <w:rPr>
          <w:rFonts w:cs="Times New Roman"/>
          <w:spacing w:val="-6"/>
          <w:lang w:val="sq-AL"/>
        </w:rPr>
        <w:t xml:space="preserve"> </w:t>
      </w:r>
      <w:r>
        <w:rPr>
          <w:rFonts w:cs="Times New Roman"/>
          <w:lang w:val="sq-AL"/>
        </w:rPr>
        <w:t>metodologji</w:t>
      </w:r>
      <w:r>
        <w:rPr>
          <w:rFonts w:cs="Times New Roman"/>
          <w:spacing w:val="-17"/>
          <w:lang w:val="sq-AL"/>
        </w:rPr>
        <w:t xml:space="preserve"> </w:t>
      </w:r>
      <w:r>
        <w:rPr>
          <w:rFonts w:cs="Times New Roman"/>
          <w:lang w:val="sq-AL"/>
        </w:rPr>
        <w:t>do</w:t>
      </w:r>
      <w:r>
        <w:rPr>
          <w:rFonts w:cs="Times New Roman"/>
          <w:spacing w:val="-5"/>
          <w:lang w:val="sq-AL"/>
        </w:rPr>
        <w:t xml:space="preserve"> </w:t>
      </w:r>
      <w:r>
        <w:rPr>
          <w:rFonts w:cs="Times New Roman"/>
          <w:lang w:val="sq-AL"/>
        </w:rPr>
        <w:t>të</w:t>
      </w:r>
      <w:r>
        <w:rPr>
          <w:rFonts w:cs="Times New Roman"/>
          <w:spacing w:val="-4"/>
          <w:lang w:val="sq-AL"/>
        </w:rPr>
        <w:t xml:space="preserve"> </w:t>
      </w:r>
      <w:r>
        <w:rPr>
          <w:rFonts w:cs="Times New Roman"/>
          <w:lang w:val="sq-AL"/>
        </w:rPr>
        <w:t>zbatohet</w:t>
      </w:r>
      <w:r>
        <w:rPr>
          <w:rFonts w:cs="Times New Roman"/>
          <w:spacing w:val="-13"/>
          <w:lang w:val="sq-AL"/>
        </w:rPr>
        <w:t xml:space="preserve"> </w:t>
      </w:r>
      <w:r>
        <w:rPr>
          <w:rFonts w:cs="Times New Roman"/>
          <w:lang w:val="sq-AL"/>
        </w:rPr>
        <w:t>në të gjithë OST-të</w:t>
      </w:r>
      <w:r>
        <w:rPr>
          <w:rFonts w:cs="Times New Roman"/>
          <w:spacing w:val="-8"/>
          <w:lang w:val="sq-AL"/>
        </w:rPr>
        <w:t xml:space="preserve"> </w:t>
      </w:r>
      <w:r>
        <w:rPr>
          <w:rFonts w:cs="Times New Roman"/>
          <w:lang w:val="sq-AL"/>
        </w:rPr>
        <w:t>në</w:t>
      </w:r>
      <w:r>
        <w:rPr>
          <w:rFonts w:cs="Times New Roman"/>
          <w:spacing w:val="-5"/>
          <w:lang w:val="sq-AL"/>
        </w:rPr>
        <w:t xml:space="preserve"> </w:t>
      </w:r>
      <w:r>
        <w:rPr>
          <w:rFonts w:cs="Times New Roman"/>
          <w:lang w:val="sq-AL"/>
        </w:rPr>
        <w:t>zonën</w:t>
      </w:r>
      <w:r>
        <w:rPr>
          <w:rFonts w:cs="Times New Roman"/>
          <w:spacing w:val="-10"/>
          <w:lang w:val="sq-AL"/>
        </w:rPr>
        <w:t xml:space="preserve"> </w:t>
      </w:r>
      <w:r>
        <w:rPr>
          <w:rFonts w:cs="Times New Roman"/>
          <w:lang w:val="sq-AL"/>
        </w:rPr>
        <w:t>e</w:t>
      </w:r>
      <w:r>
        <w:rPr>
          <w:rFonts w:cs="Times New Roman"/>
          <w:spacing w:val="-3"/>
          <w:lang w:val="sq-AL"/>
        </w:rPr>
        <w:t xml:space="preserve"> </w:t>
      </w:r>
      <w:r>
        <w:rPr>
          <w:rFonts w:cs="Times New Roman"/>
          <w:lang w:val="sq-AL"/>
        </w:rPr>
        <w:t>përmendur</w:t>
      </w:r>
      <w:r>
        <w:rPr>
          <w:rFonts w:cs="Times New Roman"/>
          <w:spacing w:val="-16"/>
          <w:lang w:val="sq-AL"/>
        </w:rPr>
        <w:t xml:space="preserve"> </w:t>
      </w:r>
      <w:r>
        <w:rPr>
          <w:rFonts w:cs="Times New Roman"/>
          <w:lang w:val="sq-AL"/>
        </w:rPr>
        <w:t>në</w:t>
      </w:r>
      <w:r>
        <w:rPr>
          <w:rFonts w:cs="Times New Roman"/>
          <w:spacing w:val="-5"/>
          <w:lang w:val="sq-AL"/>
        </w:rPr>
        <w:t xml:space="preserve"> </w:t>
      </w:r>
      <w:r>
        <w:rPr>
          <w:rFonts w:cs="Times New Roman"/>
          <w:lang w:val="sq-AL"/>
        </w:rPr>
        <w:t>nenin</w:t>
      </w:r>
      <w:r>
        <w:rPr>
          <w:rFonts w:cs="Times New Roman"/>
          <w:spacing w:val="-9"/>
          <w:lang w:val="sq-AL"/>
        </w:rPr>
        <w:t xml:space="preserve"> </w:t>
      </w:r>
      <w:r>
        <w:rPr>
          <w:rFonts w:cs="Times New Roman"/>
          <w:lang w:val="sq-AL"/>
        </w:rPr>
        <w:t>1</w:t>
      </w:r>
      <w:r>
        <w:rPr>
          <w:rFonts w:cs="Times New Roman"/>
          <w:spacing w:val="-3"/>
          <w:lang w:val="sq-AL"/>
        </w:rPr>
        <w:t xml:space="preserve"> </w:t>
      </w:r>
      <w:r>
        <w:rPr>
          <w:rFonts w:cs="Times New Roman"/>
          <w:lang w:val="sq-AL"/>
        </w:rPr>
        <w:t>(2)</w:t>
      </w:r>
      <w:r>
        <w:rPr>
          <w:rFonts w:cs="Times New Roman"/>
          <w:spacing w:val="-5"/>
          <w:lang w:val="sq-AL"/>
        </w:rPr>
        <w:t xml:space="preserve"> </w:t>
      </w:r>
      <w:r>
        <w:rPr>
          <w:rFonts w:cs="Times New Roman"/>
          <w:lang w:val="sq-AL"/>
        </w:rPr>
        <w:t>të</w:t>
      </w:r>
      <w:r>
        <w:rPr>
          <w:rFonts w:cs="Times New Roman"/>
          <w:spacing w:val="-4"/>
          <w:lang w:val="sq-AL"/>
        </w:rPr>
        <w:t xml:space="preserve"> </w:t>
      </w:r>
      <w:r>
        <w:rPr>
          <w:rFonts w:cs="Times New Roman"/>
          <w:lang w:val="sq-AL"/>
        </w:rPr>
        <w:t>Rregullores</w:t>
      </w:r>
      <w:r>
        <w:rPr>
          <w:rFonts w:cs="Times New Roman"/>
          <w:spacing w:val="-17"/>
          <w:lang w:val="sq-AL"/>
        </w:rPr>
        <w:t xml:space="preserve"> </w:t>
      </w:r>
      <w:r>
        <w:rPr>
          <w:rFonts w:cs="Times New Roman"/>
          <w:lang w:val="sq-AL"/>
        </w:rPr>
        <w:t>2016/1719.</w:t>
      </w:r>
    </w:p>
    <w:p w:rsidR="002F02C2" w:rsidRDefault="002F02C2" w:rsidP="002F02C2">
      <w:pPr>
        <w:pStyle w:val="Paragrafi"/>
        <w:rPr>
          <w:rFonts w:cs="Times New Roman"/>
          <w:lang w:val="sq-AL"/>
        </w:rPr>
      </w:pPr>
      <w:r>
        <w:rPr>
          <w:rFonts w:cs="Times New Roman"/>
          <w:lang w:val="sq-AL"/>
        </w:rPr>
        <w:t>3. OST-të jashtë</w:t>
      </w:r>
      <w:r>
        <w:rPr>
          <w:rFonts w:cs="Times New Roman"/>
          <w:spacing w:val="-13"/>
          <w:lang w:val="sq-AL"/>
        </w:rPr>
        <w:t xml:space="preserve"> </w:t>
      </w:r>
      <w:r>
        <w:rPr>
          <w:rFonts w:cs="Times New Roman"/>
          <w:lang w:val="sq-AL"/>
        </w:rPr>
        <w:t>juridiksionit të zonës</w:t>
      </w:r>
      <w:r>
        <w:rPr>
          <w:rFonts w:cs="Times New Roman"/>
          <w:spacing w:val="-9"/>
          <w:lang w:val="sq-AL"/>
        </w:rPr>
        <w:t xml:space="preserve"> </w:t>
      </w:r>
      <w:r>
        <w:rPr>
          <w:rFonts w:cs="Times New Roman"/>
          <w:lang w:val="sq-AL"/>
        </w:rPr>
        <w:t>referuar</w:t>
      </w:r>
      <w:r>
        <w:rPr>
          <w:rFonts w:cs="Times New Roman"/>
          <w:spacing w:val="-11"/>
          <w:lang w:val="sq-AL"/>
        </w:rPr>
        <w:t xml:space="preserve"> </w:t>
      </w:r>
      <w:r>
        <w:rPr>
          <w:rFonts w:cs="Times New Roman"/>
          <w:lang w:val="sq-AL"/>
        </w:rPr>
        <w:t>në</w:t>
      </w:r>
      <w:r>
        <w:rPr>
          <w:rFonts w:cs="Times New Roman"/>
          <w:spacing w:val="-4"/>
          <w:lang w:val="sq-AL"/>
        </w:rPr>
        <w:t xml:space="preserve"> </w:t>
      </w:r>
      <w:r>
        <w:rPr>
          <w:rFonts w:cs="Times New Roman"/>
          <w:lang w:val="sq-AL"/>
        </w:rPr>
        <w:t>nenin</w:t>
      </w:r>
      <w:r>
        <w:rPr>
          <w:rFonts w:cs="Times New Roman"/>
          <w:spacing w:val="-8"/>
          <w:lang w:val="sq-AL"/>
        </w:rPr>
        <w:t xml:space="preserve"> </w:t>
      </w:r>
      <w:r>
        <w:rPr>
          <w:rFonts w:cs="Times New Roman"/>
          <w:lang w:val="sq-AL"/>
        </w:rPr>
        <w:t>1(2)</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Rregullores</w:t>
      </w:r>
      <w:r>
        <w:rPr>
          <w:rFonts w:cs="Times New Roman"/>
          <w:spacing w:val="-16"/>
          <w:lang w:val="sq-AL"/>
        </w:rPr>
        <w:t xml:space="preserve"> </w:t>
      </w:r>
      <w:r>
        <w:rPr>
          <w:rFonts w:cs="Times New Roman"/>
          <w:lang w:val="sq-AL"/>
        </w:rPr>
        <w:t>2016/1719</w:t>
      </w:r>
      <w:r>
        <w:rPr>
          <w:rFonts w:cs="Times New Roman"/>
          <w:spacing w:val="-15"/>
          <w:lang w:val="sq-AL"/>
        </w:rPr>
        <w:t xml:space="preserve"> </w:t>
      </w:r>
      <w:r>
        <w:rPr>
          <w:rFonts w:cs="Times New Roman"/>
          <w:lang w:val="sq-AL"/>
        </w:rPr>
        <w:t>mund</w:t>
      </w:r>
      <w:r>
        <w:rPr>
          <w:rFonts w:cs="Times New Roman"/>
          <w:spacing w:val="-8"/>
          <w:lang w:val="sq-AL"/>
        </w:rPr>
        <w:t xml:space="preserve"> </w:t>
      </w:r>
      <w:r>
        <w:rPr>
          <w:rFonts w:cs="Times New Roman"/>
          <w:lang w:val="sq-AL"/>
        </w:rPr>
        <w:t>të</w:t>
      </w:r>
      <w:r>
        <w:rPr>
          <w:rFonts w:cs="Times New Roman"/>
          <w:spacing w:val="-3"/>
          <w:lang w:val="sq-AL"/>
        </w:rPr>
        <w:t xml:space="preserve"> </w:t>
      </w:r>
      <w:r>
        <w:rPr>
          <w:rFonts w:cs="Times New Roman"/>
          <w:lang w:val="sq-AL"/>
        </w:rPr>
        <w:t>krijojnë dhe dërgojnë</w:t>
      </w:r>
      <w:r>
        <w:rPr>
          <w:rFonts w:cs="Times New Roman"/>
          <w:spacing w:val="-11"/>
          <w:lang w:val="sq-AL"/>
        </w:rPr>
        <w:t xml:space="preserve"> MIRR-të e</w:t>
      </w:r>
      <w:r>
        <w:rPr>
          <w:rFonts w:cs="Times New Roman"/>
          <w:spacing w:val="-2"/>
          <w:lang w:val="sq-AL"/>
        </w:rPr>
        <w:t xml:space="preserve"> </w:t>
      </w:r>
      <w:r>
        <w:rPr>
          <w:rFonts w:cs="Times New Roman"/>
          <w:lang w:val="sq-AL"/>
        </w:rPr>
        <w:t>tyre,</w:t>
      </w:r>
      <w:r>
        <w:rPr>
          <w:rFonts w:cs="Times New Roman"/>
          <w:spacing w:val="-6"/>
          <w:lang w:val="sq-AL"/>
        </w:rPr>
        <w:t xml:space="preserve"> </w:t>
      </w:r>
      <w:r>
        <w:rPr>
          <w:rFonts w:cs="Times New Roman"/>
          <w:lang w:val="sq-AL"/>
        </w:rPr>
        <w:t>të</w:t>
      </w:r>
      <w:r>
        <w:rPr>
          <w:rFonts w:cs="Times New Roman"/>
          <w:spacing w:val="-3"/>
          <w:lang w:val="sq-AL"/>
        </w:rPr>
        <w:t xml:space="preserve"> </w:t>
      </w:r>
      <w:r>
        <w:rPr>
          <w:rFonts w:cs="Times New Roman"/>
          <w:lang w:val="sq-AL"/>
        </w:rPr>
        <w:t>lejojnë</w:t>
      </w:r>
      <w:r>
        <w:rPr>
          <w:rFonts w:cs="Times New Roman"/>
          <w:spacing w:val="-7"/>
          <w:lang w:val="sq-AL"/>
        </w:rPr>
        <w:t xml:space="preserve"> </w:t>
      </w:r>
      <w:r>
        <w:rPr>
          <w:rFonts w:cs="Times New Roman"/>
          <w:lang w:val="sq-AL"/>
        </w:rPr>
        <w:t>që ai</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bashkohet</w:t>
      </w:r>
      <w:r>
        <w:rPr>
          <w:rFonts w:cs="Times New Roman"/>
          <w:spacing w:val="-10"/>
          <w:lang w:val="sq-AL"/>
        </w:rPr>
        <w:t xml:space="preserve"> </w:t>
      </w:r>
      <w:r>
        <w:rPr>
          <w:rFonts w:cs="Times New Roman"/>
          <w:lang w:val="sq-AL"/>
        </w:rPr>
        <w:t>në</w:t>
      </w:r>
      <w:r>
        <w:rPr>
          <w:rFonts w:cs="Times New Roman"/>
          <w:spacing w:val="-4"/>
          <w:lang w:val="sq-AL"/>
        </w:rPr>
        <w:t xml:space="preserve"> MPRR,</w:t>
      </w:r>
      <w:r>
        <w:rPr>
          <w:rFonts w:cs="Times New Roman"/>
          <w:spacing w:val="-8"/>
          <w:lang w:val="sq-AL"/>
        </w:rPr>
        <w:t xml:space="preserve"> </w:t>
      </w:r>
      <w:r>
        <w:rPr>
          <w:rFonts w:cs="Times New Roman"/>
          <w:lang w:val="sq-AL"/>
        </w:rPr>
        <w:t>dhe</w:t>
      </w:r>
      <w:r>
        <w:rPr>
          <w:rFonts w:cs="Times New Roman"/>
          <w:spacing w:val="-5"/>
          <w:lang w:val="sq-AL"/>
        </w:rPr>
        <w:t xml:space="preserve"> </w:t>
      </w:r>
      <w:r>
        <w:rPr>
          <w:rFonts w:cs="Times New Roman"/>
          <w:lang w:val="sq-AL"/>
        </w:rPr>
        <w:t>të</w:t>
      </w:r>
      <w:r>
        <w:rPr>
          <w:rFonts w:cs="Times New Roman"/>
          <w:spacing w:val="-3"/>
          <w:lang w:val="sq-AL"/>
        </w:rPr>
        <w:t xml:space="preserve"> </w:t>
      </w:r>
      <w:r>
        <w:rPr>
          <w:rFonts w:cs="Times New Roman"/>
          <w:lang w:val="sq-AL"/>
        </w:rPr>
        <w:t>bashkohen</w:t>
      </w:r>
      <w:r>
        <w:rPr>
          <w:rFonts w:cs="Times New Roman"/>
          <w:spacing w:val="-15"/>
          <w:lang w:val="sq-AL"/>
        </w:rPr>
        <w:t xml:space="preserve"> </w:t>
      </w:r>
      <w:r>
        <w:rPr>
          <w:rFonts w:cs="Times New Roman"/>
          <w:lang w:val="sq-AL"/>
        </w:rPr>
        <w:t>në</w:t>
      </w:r>
      <w:r>
        <w:rPr>
          <w:rFonts w:cs="Times New Roman"/>
          <w:spacing w:val="-4"/>
          <w:lang w:val="sq-AL"/>
        </w:rPr>
        <w:t xml:space="preserve"> </w:t>
      </w:r>
      <w:r>
        <w:rPr>
          <w:rFonts w:cs="Times New Roman"/>
          <w:lang w:val="sq-AL"/>
        </w:rPr>
        <w:t>procesin</w:t>
      </w:r>
      <w:r>
        <w:rPr>
          <w:rFonts w:cs="Times New Roman"/>
          <w:spacing w:val="-12"/>
          <w:lang w:val="sq-AL"/>
        </w:rPr>
        <w:t xml:space="preserve"> MPRR </w:t>
      </w:r>
      <w:r>
        <w:rPr>
          <w:rFonts w:cs="Times New Roman"/>
          <w:lang w:val="sq-AL"/>
        </w:rPr>
        <w:t>mbi</w:t>
      </w:r>
      <w:r>
        <w:rPr>
          <w:rFonts w:cs="Times New Roman"/>
          <w:spacing w:val="-5"/>
          <w:lang w:val="sq-AL"/>
        </w:rPr>
        <w:t xml:space="preserve"> </w:t>
      </w:r>
      <w:r>
        <w:rPr>
          <w:rFonts w:cs="Times New Roman"/>
          <w:lang w:val="sq-AL"/>
        </w:rPr>
        <w:t>baza</w:t>
      </w:r>
      <w:r>
        <w:rPr>
          <w:rFonts w:cs="Times New Roman"/>
          <w:spacing w:val="-7"/>
          <w:lang w:val="sq-AL"/>
        </w:rPr>
        <w:t xml:space="preserve"> </w:t>
      </w:r>
      <w:r>
        <w:rPr>
          <w:rFonts w:cs="Times New Roman"/>
          <w:lang w:val="sq-AL"/>
        </w:rPr>
        <w:t>vullnetare,</w:t>
      </w:r>
      <w:r>
        <w:rPr>
          <w:rFonts w:cs="Times New Roman"/>
          <w:spacing w:val="-15"/>
          <w:lang w:val="sq-AL"/>
        </w:rPr>
        <w:t xml:space="preserve"> </w:t>
      </w:r>
      <w:r>
        <w:rPr>
          <w:rFonts w:cs="Times New Roman"/>
          <w:lang w:val="sq-AL"/>
        </w:rPr>
        <w:t>me</w:t>
      </w:r>
      <w:r>
        <w:rPr>
          <w:rFonts w:cs="Times New Roman"/>
          <w:spacing w:val="-4"/>
          <w:lang w:val="sq-AL"/>
        </w:rPr>
        <w:t xml:space="preserve"> </w:t>
      </w:r>
      <w:r>
        <w:rPr>
          <w:rFonts w:cs="Times New Roman"/>
          <w:lang w:val="sq-AL"/>
        </w:rPr>
        <w:t>kusht</w:t>
      </w:r>
      <w:r>
        <w:rPr>
          <w:rFonts w:cs="Times New Roman"/>
          <w:spacing w:val="-8"/>
          <w:lang w:val="sq-AL"/>
        </w:rPr>
        <w:t xml:space="preserve"> </w:t>
      </w:r>
      <w:r>
        <w:rPr>
          <w:rFonts w:cs="Times New Roman"/>
          <w:lang w:val="sq-AL"/>
        </w:rPr>
        <w:t>që:</w:t>
      </w:r>
    </w:p>
    <w:p w:rsidR="002F02C2" w:rsidRDefault="002F02C2" w:rsidP="002F02C2">
      <w:pPr>
        <w:pStyle w:val="Paragrafi"/>
        <w:rPr>
          <w:rFonts w:cs="Times New Roman"/>
          <w:lang w:val="sq-AL"/>
        </w:rPr>
      </w:pPr>
      <w:r>
        <w:rPr>
          <w:rFonts w:cs="Times New Roman"/>
          <w:lang w:val="sq-AL"/>
        </w:rPr>
        <w:t>a) Të jetë teknikisht e mundur dhe në përputhje me kërkesat e Rregullores 2016/1719;</w:t>
      </w:r>
    </w:p>
    <w:p w:rsidR="002F02C2" w:rsidRDefault="002F02C2" w:rsidP="002F02C2">
      <w:pPr>
        <w:pStyle w:val="Paragrafi"/>
        <w:rPr>
          <w:rFonts w:cs="Times New Roman"/>
          <w:lang w:val="sq-AL"/>
        </w:rPr>
      </w:pPr>
      <w:r>
        <w:rPr>
          <w:rFonts w:cs="Times New Roman"/>
          <w:lang w:val="sq-AL"/>
        </w:rPr>
        <w:t>b) Të bien</w:t>
      </w:r>
      <w:r>
        <w:rPr>
          <w:rFonts w:cs="Times New Roman"/>
          <w:spacing w:val="13"/>
          <w:lang w:val="sq-AL"/>
        </w:rPr>
        <w:t xml:space="preserve"> </w:t>
      </w:r>
      <w:r>
        <w:rPr>
          <w:rFonts w:cs="Times New Roman"/>
          <w:lang w:val="sq-AL"/>
        </w:rPr>
        <w:t>dakord</w:t>
      </w:r>
      <w:r>
        <w:rPr>
          <w:rFonts w:cs="Times New Roman"/>
          <w:spacing w:val="20"/>
          <w:lang w:val="sq-AL"/>
        </w:rPr>
        <w:t xml:space="preserve"> </w:t>
      </w:r>
      <w:r>
        <w:rPr>
          <w:rFonts w:cs="Times New Roman"/>
          <w:lang w:val="sq-AL"/>
        </w:rPr>
        <w:t>që</w:t>
      </w:r>
      <w:r>
        <w:rPr>
          <w:rFonts w:cs="Times New Roman"/>
          <w:spacing w:val="9"/>
          <w:lang w:val="sq-AL"/>
        </w:rPr>
        <w:t xml:space="preserve"> </w:t>
      </w:r>
      <w:r>
        <w:rPr>
          <w:rFonts w:cs="Times New Roman"/>
          <w:lang w:val="sq-AL"/>
        </w:rPr>
        <w:t>do</w:t>
      </w:r>
      <w:r>
        <w:rPr>
          <w:rFonts w:cs="Times New Roman"/>
          <w:spacing w:val="9"/>
          <w:lang w:val="sq-AL"/>
        </w:rPr>
        <w:t xml:space="preserve"> </w:t>
      </w:r>
      <w:r>
        <w:rPr>
          <w:rFonts w:cs="Times New Roman"/>
          <w:lang w:val="sq-AL"/>
        </w:rPr>
        <w:t>të</w:t>
      </w:r>
      <w:r>
        <w:rPr>
          <w:rFonts w:cs="Times New Roman"/>
          <w:spacing w:val="7"/>
          <w:lang w:val="sq-AL"/>
        </w:rPr>
        <w:t xml:space="preserve"> </w:t>
      </w:r>
      <w:r>
        <w:rPr>
          <w:rFonts w:cs="Times New Roman"/>
          <w:lang w:val="sq-AL"/>
        </w:rPr>
        <w:t>kenë</w:t>
      </w:r>
      <w:r>
        <w:rPr>
          <w:rFonts w:cs="Times New Roman"/>
          <w:spacing w:val="15"/>
          <w:lang w:val="sq-AL"/>
        </w:rPr>
        <w:t xml:space="preserve"> </w:t>
      </w:r>
      <w:r>
        <w:rPr>
          <w:rFonts w:cs="Times New Roman"/>
          <w:lang w:val="sq-AL"/>
        </w:rPr>
        <w:t>të</w:t>
      </w:r>
      <w:r>
        <w:rPr>
          <w:rFonts w:cs="Times New Roman"/>
          <w:spacing w:val="7"/>
          <w:lang w:val="sq-AL"/>
        </w:rPr>
        <w:t xml:space="preserve"> </w:t>
      </w:r>
      <w:r>
        <w:rPr>
          <w:rFonts w:cs="Times New Roman"/>
          <w:lang w:val="sq-AL"/>
        </w:rPr>
        <w:t>njëjtat</w:t>
      </w:r>
      <w:r>
        <w:rPr>
          <w:rFonts w:cs="Times New Roman"/>
          <w:spacing w:val="18"/>
          <w:lang w:val="sq-AL"/>
        </w:rPr>
        <w:t xml:space="preserve"> </w:t>
      </w:r>
      <w:r>
        <w:rPr>
          <w:rFonts w:cs="Times New Roman"/>
          <w:lang w:val="sq-AL"/>
        </w:rPr>
        <w:t>të</w:t>
      </w:r>
      <w:r>
        <w:rPr>
          <w:rFonts w:cs="Times New Roman"/>
          <w:spacing w:val="7"/>
          <w:lang w:val="sq-AL"/>
        </w:rPr>
        <w:t xml:space="preserve"> </w:t>
      </w:r>
      <w:r>
        <w:rPr>
          <w:rFonts w:cs="Times New Roman"/>
          <w:lang w:val="sq-AL"/>
        </w:rPr>
        <w:t>drejta</w:t>
      </w:r>
      <w:r>
        <w:rPr>
          <w:rFonts w:cs="Times New Roman"/>
          <w:spacing w:val="17"/>
          <w:lang w:val="sq-AL"/>
        </w:rPr>
        <w:t xml:space="preserve"> </w:t>
      </w:r>
      <w:r>
        <w:rPr>
          <w:rFonts w:cs="Times New Roman"/>
          <w:lang w:val="sq-AL"/>
        </w:rPr>
        <w:t>dhe</w:t>
      </w:r>
      <w:r>
        <w:rPr>
          <w:rFonts w:cs="Times New Roman"/>
          <w:spacing w:val="12"/>
          <w:lang w:val="sq-AL"/>
        </w:rPr>
        <w:t xml:space="preserve"> </w:t>
      </w:r>
      <w:r>
        <w:rPr>
          <w:rFonts w:cs="Times New Roman"/>
          <w:lang w:val="sq-AL"/>
        </w:rPr>
        <w:t>përgjegjësi</w:t>
      </w:r>
      <w:r>
        <w:rPr>
          <w:rFonts w:cs="Times New Roman"/>
          <w:spacing w:val="31"/>
          <w:lang w:val="sq-AL"/>
        </w:rPr>
        <w:t xml:space="preserve"> </w:t>
      </w:r>
      <w:r>
        <w:rPr>
          <w:rFonts w:cs="Times New Roman"/>
          <w:lang w:val="sq-AL"/>
        </w:rPr>
        <w:t>me</w:t>
      </w:r>
      <w:r>
        <w:rPr>
          <w:rFonts w:cs="Times New Roman"/>
          <w:spacing w:val="10"/>
          <w:lang w:val="sq-AL"/>
        </w:rPr>
        <w:t xml:space="preserve"> </w:t>
      </w:r>
      <w:r>
        <w:rPr>
          <w:rFonts w:cs="Times New Roman"/>
          <w:lang w:val="sq-AL"/>
        </w:rPr>
        <w:t>lidhje</w:t>
      </w:r>
      <w:r>
        <w:rPr>
          <w:rFonts w:cs="Times New Roman"/>
          <w:spacing w:val="16"/>
          <w:lang w:val="sq-AL"/>
        </w:rPr>
        <w:t xml:space="preserve"> </w:t>
      </w:r>
      <w:r>
        <w:rPr>
          <w:rFonts w:cs="Times New Roman"/>
          <w:lang w:val="sq-AL"/>
        </w:rPr>
        <w:t>me</w:t>
      </w:r>
      <w:r>
        <w:rPr>
          <w:rFonts w:cs="Times New Roman"/>
          <w:spacing w:val="10"/>
          <w:lang w:val="sq-AL"/>
        </w:rPr>
        <w:t xml:space="preserve"> </w:t>
      </w:r>
      <w:r>
        <w:rPr>
          <w:rFonts w:cs="Times New Roman"/>
          <w:lang w:val="sq-AL"/>
        </w:rPr>
        <w:t>procesin</w:t>
      </w:r>
      <w:r>
        <w:rPr>
          <w:rFonts w:cs="Times New Roman"/>
          <w:spacing w:val="25"/>
          <w:lang w:val="sq-AL"/>
        </w:rPr>
        <w:t xml:space="preserve"> </w:t>
      </w:r>
      <w:r>
        <w:rPr>
          <w:rFonts w:cs="Times New Roman"/>
          <w:lang w:val="sq-AL"/>
        </w:rPr>
        <w:t>e</w:t>
      </w:r>
      <w:r>
        <w:rPr>
          <w:rFonts w:cs="Times New Roman"/>
          <w:spacing w:val="5"/>
          <w:lang w:val="sq-AL"/>
        </w:rPr>
        <w:t xml:space="preserve"> </w:t>
      </w:r>
      <w:r>
        <w:rPr>
          <w:rFonts w:cs="Times New Roman"/>
          <w:lang w:val="sq-AL"/>
        </w:rPr>
        <w:t>MPRR-ve</w:t>
      </w:r>
      <w:r>
        <w:rPr>
          <w:rFonts w:cs="Times New Roman"/>
          <w:spacing w:val="16"/>
          <w:lang w:val="sq-AL"/>
        </w:rPr>
        <w:t xml:space="preserve"> </w:t>
      </w:r>
      <w:r>
        <w:rPr>
          <w:rFonts w:cs="Times New Roman"/>
          <w:lang w:val="sq-AL"/>
        </w:rPr>
        <w:t>si</w:t>
      </w:r>
      <w:r>
        <w:rPr>
          <w:rFonts w:cs="Times New Roman"/>
          <w:spacing w:val="6"/>
          <w:lang w:val="sq-AL"/>
        </w:rPr>
        <w:t xml:space="preserve"> </w:t>
      </w:r>
      <w:r>
        <w:rPr>
          <w:rFonts w:cs="Times New Roman"/>
          <w:w w:val="104"/>
          <w:lang w:val="sq-AL"/>
        </w:rPr>
        <w:t xml:space="preserve">OST-të e </w:t>
      </w:r>
      <w:r>
        <w:rPr>
          <w:rFonts w:cs="Times New Roman"/>
          <w:lang w:val="sq-AL"/>
        </w:rPr>
        <w:t>përmendur</w:t>
      </w:r>
      <w:r>
        <w:rPr>
          <w:rFonts w:cs="Times New Roman"/>
          <w:spacing w:val="31"/>
          <w:lang w:val="sq-AL"/>
        </w:rPr>
        <w:t xml:space="preserve"> </w:t>
      </w:r>
      <w:r>
        <w:rPr>
          <w:rFonts w:cs="Times New Roman"/>
          <w:lang w:val="sq-AL"/>
        </w:rPr>
        <w:t>në</w:t>
      </w:r>
      <w:r>
        <w:rPr>
          <w:rFonts w:cs="Times New Roman"/>
          <w:spacing w:val="9"/>
          <w:lang w:val="sq-AL"/>
        </w:rPr>
        <w:t xml:space="preserve"> </w:t>
      </w:r>
      <w:r>
        <w:rPr>
          <w:rFonts w:cs="Times New Roman"/>
          <w:lang w:val="sq-AL"/>
        </w:rPr>
        <w:t>paragrafin</w:t>
      </w:r>
      <w:r>
        <w:rPr>
          <w:rFonts w:cs="Times New Roman"/>
          <w:spacing w:val="29"/>
          <w:lang w:val="sq-AL"/>
        </w:rPr>
        <w:t xml:space="preserve"> </w:t>
      </w:r>
      <w:r>
        <w:rPr>
          <w:rFonts w:cs="Times New Roman"/>
          <w:lang w:val="sq-AL"/>
        </w:rPr>
        <w:t>1;</w:t>
      </w:r>
      <w:r>
        <w:rPr>
          <w:rFonts w:cs="Times New Roman"/>
          <w:spacing w:val="7"/>
          <w:lang w:val="sq-AL"/>
        </w:rPr>
        <w:t xml:space="preserve"> </w:t>
      </w:r>
      <w:r>
        <w:rPr>
          <w:rFonts w:cs="Times New Roman"/>
          <w:lang w:val="sq-AL"/>
        </w:rPr>
        <w:t>në</w:t>
      </w:r>
      <w:r>
        <w:rPr>
          <w:rFonts w:cs="Times New Roman"/>
          <w:spacing w:val="9"/>
          <w:lang w:val="sq-AL"/>
        </w:rPr>
        <w:t xml:space="preserve"> </w:t>
      </w:r>
      <w:r>
        <w:rPr>
          <w:rFonts w:cs="Times New Roman"/>
          <w:lang w:val="sq-AL"/>
        </w:rPr>
        <w:t>mënyrë</w:t>
      </w:r>
      <w:r>
        <w:rPr>
          <w:rFonts w:cs="Times New Roman"/>
          <w:spacing w:val="22"/>
          <w:lang w:val="sq-AL"/>
        </w:rPr>
        <w:t xml:space="preserve"> </w:t>
      </w:r>
      <w:r>
        <w:rPr>
          <w:rFonts w:cs="Times New Roman"/>
          <w:lang w:val="sq-AL"/>
        </w:rPr>
        <w:t>të</w:t>
      </w:r>
      <w:r>
        <w:rPr>
          <w:rFonts w:cs="Times New Roman"/>
          <w:spacing w:val="7"/>
          <w:lang w:val="sq-AL"/>
        </w:rPr>
        <w:t xml:space="preserve"> </w:t>
      </w:r>
      <w:r>
        <w:rPr>
          <w:rFonts w:cs="Times New Roman"/>
          <w:lang w:val="sq-AL"/>
        </w:rPr>
        <w:t>veçantë,</w:t>
      </w:r>
      <w:r>
        <w:rPr>
          <w:rFonts w:cs="Times New Roman"/>
          <w:spacing w:val="25"/>
          <w:lang w:val="sq-AL"/>
        </w:rPr>
        <w:t xml:space="preserve"> </w:t>
      </w:r>
      <w:r>
        <w:rPr>
          <w:rFonts w:cs="Times New Roman"/>
          <w:lang w:val="sq-AL"/>
        </w:rPr>
        <w:t>të</w:t>
      </w:r>
      <w:r>
        <w:rPr>
          <w:rFonts w:cs="Times New Roman"/>
          <w:spacing w:val="7"/>
          <w:lang w:val="sq-AL"/>
        </w:rPr>
        <w:t xml:space="preserve"> </w:t>
      </w:r>
      <w:r>
        <w:rPr>
          <w:rFonts w:cs="Times New Roman"/>
          <w:lang w:val="sq-AL"/>
        </w:rPr>
        <w:t>pranojnë</w:t>
      </w:r>
      <w:r>
        <w:rPr>
          <w:rFonts w:cs="Times New Roman"/>
          <w:spacing w:val="25"/>
          <w:lang w:val="sq-AL"/>
        </w:rPr>
        <w:t xml:space="preserve"> </w:t>
      </w:r>
      <w:r>
        <w:rPr>
          <w:rFonts w:cs="Times New Roman"/>
          <w:lang w:val="sq-AL"/>
        </w:rPr>
        <w:t>se</w:t>
      </w:r>
      <w:r>
        <w:rPr>
          <w:rFonts w:cs="Times New Roman"/>
          <w:spacing w:val="8"/>
          <w:lang w:val="sq-AL"/>
        </w:rPr>
        <w:t xml:space="preserve"> </w:t>
      </w:r>
      <w:r>
        <w:rPr>
          <w:rFonts w:cs="Times New Roman"/>
          <w:lang w:val="sq-AL"/>
        </w:rPr>
        <w:t>kjo</w:t>
      </w:r>
      <w:r>
        <w:rPr>
          <w:rFonts w:cs="Times New Roman"/>
          <w:spacing w:val="10"/>
          <w:lang w:val="sq-AL"/>
        </w:rPr>
        <w:t xml:space="preserve"> </w:t>
      </w:r>
      <w:r>
        <w:rPr>
          <w:rFonts w:cs="Times New Roman"/>
          <w:lang w:val="sq-AL"/>
        </w:rPr>
        <w:t>metodologji</w:t>
      </w:r>
      <w:r>
        <w:rPr>
          <w:rFonts w:cs="Times New Roman"/>
          <w:spacing w:val="33"/>
          <w:lang w:val="sq-AL"/>
        </w:rPr>
        <w:t xml:space="preserve"> </w:t>
      </w:r>
      <w:r>
        <w:rPr>
          <w:rFonts w:cs="Times New Roman"/>
          <w:lang w:val="sq-AL"/>
        </w:rPr>
        <w:t>dhe</w:t>
      </w:r>
      <w:r>
        <w:rPr>
          <w:rFonts w:cs="Times New Roman"/>
          <w:spacing w:val="12"/>
          <w:lang w:val="sq-AL"/>
        </w:rPr>
        <w:t xml:space="preserve"> metodologjia e sigurimit të të dhënave të gjenerimit dhe ngarkesës </w:t>
      </w:r>
      <w:r>
        <w:rPr>
          <w:rFonts w:cs="Times New Roman"/>
          <w:lang w:val="sq-AL"/>
        </w:rPr>
        <w:t>në</w:t>
      </w:r>
      <w:r>
        <w:rPr>
          <w:rFonts w:cs="Times New Roman"/>
          <w:spacing w:val="9"/>
          <w:lang w:val="sq-AL"/>
        </w:rPr>
        <w:t xml:space="preserve"> pajtim</w:t>
      </w:r>
      <w:r>
        <w:rPr>
          <w:rFonts w:cs="Times New Roman"/>
          <w:spacing w:val="15"/>
          <w:lang w:val="sq-AL"/>
        </w:rPr>
        <w:t xml:space="preserve"> </w:t>
      </w:r>
      <w:r>
        <w:rPr>
          <w:rFonts w:cs="Times New Roman"/>
          <w:lang w:val="sq-AL"/>
        </w:rPr>
        <w:t>të</w:t>
      </w:r>
      <w:r>
        <w:rPr>
          <w:rFonts w:cs="Times New Roman"/>
          <w:spacing w:val="7"/>
          <w:lang w:val="sq-AL"/>
        </w:rPr>
        <w:t xml:space="preserve"> </w:t>
      </w:r>
      <w:r>
        <w:rPr>
          <w:rFonts w:cs="Times New Roman"/>
          <w:lang w:val="sq-AL"/>
        </w:rPr>
        <w:t>nenit</w:t>
      </w:r>
      <w:r>
        <w:rPr>
          <w:rFonts w:cs="Times New Roman"/>
          <w:spacing w:val="15"/>
          <w:lang w:val="sq-AL"/>
        </w:rPr>
        <w:t xml:space="preserve"> </w:t>
      </w:r>
      <w:r>
        <w:rPr>
          <w:rFonts w:cs="Times New Roman"/>
          <w:lang w:val="sq-AL"/>
        </w:rPr>
        <w:t>17</w:t>
      </w:r>
      <w:r>
        <w:rPr>
          <w:rFonts w:cs="Times New Roman"/>
          <w:spacing w:val="9"/>
          <w:lang w:val="sq-AL"/>
        </w:rPr>
        <w:t xml:space="preserve"> </w:t>
      </w:r>
      <w:r>
        <w:rPr>
          <w:rFonts w:cs="Times New Roman"/>
          <w:lang w:val="sq-AL"/>
        </w:rPr>
        <w:t>të</w:t>
      </w:r>
      <w:r>
        <w:rPr>
          <w:rFonts w:cs="Times New Roman"/>
          <w:spacing w:val="7"/>
          <w:lang w:val="sq-AL"/>
        </w:rPr>
        <w:t xml:space="preserve"> </w:t>
      </w:r>
      <w:r>
        <w:rPr>
          <w:rFonts w:cs="Times New Roman"/>
          <w:lang w:val="sq-AL"/>
        </w:rPr>
        <w:t>Rregullores</w:t>
      </w:r>
      <w:r>
        <w:rPr>
          <w:rFonts w:cs="Times New Roman"/>
          <w:spacing w:val="33"/>
          <w:lang w:val="sq-AL"/>
        </w:rPr>
        <w:t xml:space="preserve"> </w:t>
      </w:r>
      <w:r>
        <w:rPr>
          <w:rFonts w:cs="Times New Roman"/>
          <w:lang w:val="sq-AL"/>
        </w:rPr>
        <w:t>2016/1719 zbatohet, gjithashtu, edhe për palët përkatëse në</w:t>
      </w:r>
      <w:r>
        <w:rPr>
          <w:rFonts w:cs="Times New Roman"/>
          <w:spacing w:val="9"/>
          <w:lang w:val="sq-AL"/>
        </w:rPr>
        <w:t xml:space="preserve"> </w:t>
      </w:r>
      <w:r>
        <w:rPr>
          <w:rFonts w:cs="Times New Roman"/>
          <w:w w:val="104"/>
          <w:lang w:val="sq-AL"/>
        </w:rPr>
        <w:t>zonën e</w:t>
      </w:r>
      <w:r>
        <w:rPr>
          <w:rFonts w:cs="Times New Roman"/>
          <w:spacing w:val="2"/>
          <w:lang w:val="sq-AL"/>
        </w:rPr>
        <w:t xml:space="preserve"> </w:t>
      </w:r>
      <w:r>
        <w:rPr>
          <w:rFonts w:cs="Times New Roman"/>
          <w:lang w:val="sq-AL"/>
        </w:rPr>
        <w:t>tyre</w:t>
      </w:r>
      <w:r>
        <w:rPr>
          <w:rFonts w:cs="Times New Roman"/>
          <w:spacing w:val="12"/>
          <w:lang w:val="sq-AL"/>
        </w:rPr>
        <w:t xml:space="preserve"> </w:t>
      </w:r>
      <w:r>
        <w:rPr>
          <w:rFonts w:cs="Times New Roman"/>
          <w:lang w:val="sq-AL"/>
        </w:rPr>
        <w:t>të</w:t>
      </w:r>
      <w:r>
        <w:rPr>
          <w:rFonts w:cs="Times New Roman"/>
          <w:spacing w:val="7"/>
          <w:lang w:val="sq-AL"/>
        </w:rPr>
        <w:t xml:space="preserve"> </w:t>
      </w:r>
      <w:r>
        <w:rPr>
          <w:rFonts w:cs="Times New Roman"/>
          <w:lang w:val="sq-AL"/>
        </w:rPr>
        <w:t>kontrollit</w:t>
      </w:r>
      <w:r>
        <w:rPr>
          <w:rFonts w:cs="Times New Roman"/>
          <w:w w:val="104"/>
          <w:lang w:val="sq-AL"/>
        </w:rPr>
        <w:t>;</w:t>
      </w:r>
    </w:p>
    <w:p w:rsidR="002F02C2" w:rsidRDefault="002F02C2" w:rsidP="002F02C2">
      <w:pPr>
        <w:pStyle w:val="Paragrafi"/>
        <w:rPr>
          <w:rFonts w:cs="Times New Roman"/>
          <w:lang w:val="sq-AL"/>
        </w:rPr>
      </w:pPr>
      <w:r>
        <w:rPr>
          <w:rFonts w:cs="Times New Roman"/>
          <w:lang w:val="sq-AL"/>
        </w:rPr>
        <w:t>c) Të</w:t>
      </w:r>
      <w:r>
        <w:rPr>
          <w:rFonts w:cs="Times New Roman"/>
          <w:spacing w:val="-2"/>
          <w:lang w:val="sq-AL"/>
        </w:rPr>
        <w:t xml:space="preserve"> </w:t>
      </w:r>
      <w:r>
        <w:rPr>
          <w:rFonts w:cs="Times New Roman"/>
          <w:lang w:val="sq-AL"/>
        </w:rPr>
        <w:t>pranojnë</w:t>
      </w:r>
      <w:r>
        <w:rPr>
          <w:rFonts w:cs="Times New Roman"/>
          <w:spacing w:val="-6"/>
          <w:lang w:val="sq-AL"/>
        </w:rPr>
        <w:t xml:space="preserve"> </w:t>
      </w:r>
      <w:r>
        <w:rPr>
          <w:rFonts w:cs="Times New Roman"/>
          <w:lang w:val="sq-AL"/>
        </w:rPr>
        <w:t>çfarëdo</w:t>
      </w:r>
      <w:r>
        <w:rPr>
          <w:rFonts w:cs="Times New Roman"/>
          <w:spacing w:val="-5"/>
          <w:lang w:val="sq-AL"/>
        </w:rPr>
        <w:t xml:space="preserve"> </w:t>
      </w:r>
      <w:r>
        <w:rPr>
          <w:rFonts w:cs="Times New Roman"/>
          <w:lang w:val="sq-AL"/>
        </w:rPr>
        <w:t>kushtesh</w:t>
      </w:r>
      <w:r>
        <w:rPr>
          <w:rFonts w:cs="Times New Roman"/>
          <w:spacing w:val="-4"/>
          <w:lang w:val="sq-AL"/>
        </w:rPr>
        <w:t xml:space="preserve"> </w:t>
      </w:r>
      <w:r>
        <w:rPr>
          <w:rFonts w:cs="Times New Roman"/>
          <w:lang w:val="sq-AL"/>
        </w:rPr>
        <w:t>të</w:t>
      </w:r>
      <w:r>
        <w:rPr>
          <w:rFonts w:cs="Times New Roman"/>
          <w:spacing w:val="-1"/>
          <w:lang w:val="sq-AL"/>
        </w:rPr>
        <w:t xml:space="preserve"> </w:t>
      </w:r>
      <w:r>
        <w:rPr>
          <w:rFonts w:cs="Times New Roman"/>
          <w:lang w:val="sq-AL"/>
        </w:rPr>
        <w:t>tjera</w:t>
      </w:r>
      <w:r>
        <w:rPr>
          <w:rFonts w:cs="Times New Roman"/>
          <w:spacing w:val="-3"/>
          <w:lang w:val="sq-AL"/>
        </w:rPr>
        <w:t xml:space="preserve"> </w:t>
      </w:r>
      <w:r>
        <w:rPr>
          <w:rFonts w:cs="Times New Roman"/>
          <w:lang w:val="sq-AL"/>
        </w:rPr>
        <w:t>që</w:t>
      </w:r>
      <w:r>
        <w:rPr>
          <w:rFonts w:cs="Times New Roman"/>
          <w:spacing w:val="-2"/>
          <w:lang w:val="sq-AL"/>
        </w:rPr>
        <w:t xml:space="preserve"> </w:t>
      </w:r>
      <w:r>
        <w:rPr>
          <w:rFonts w:cs="Times New Roman"/>
          <w:lang w:val="sq-AL"/>
        </w:rPr>
        <w:t>lidhen</w:t>
      </w:r>
      <w:r>
        <w:rPr>
          <w:rFonts w:cs="Times New Roman"/>
          <w:spacing w:val="-4"/>
          <w:lang w:val="sq-AL"/>
        </w:rPr>
        <w:t xml:space="preserve"> </w:t>
      </w:r>
      <w:r>
        <w:rPr>
          <w:rFonts w:cs="Times New Roman"/>
          <w:lang w:val="sq-AL"/>
        </w:rPr>
        <w:t>me</w:t>
      </w:r>
      <w:r>
        <w:rPr>
          <w:rFonts w:cs="Times New Roman"/>
          <w:spacing w:val="-2"/>
          <w:lang w:val="sq-AL"/>
        </w:rPr>
        <w:t xml:space="preserve"> </w:t>
      </w:r>
      <w:r>
        <w:rPr>
          <w:rFonts w:cs="Times New Roman"/>
          <w:lang w:val="sq-AL"/>
        </w:rPr>
        <w:t>natyrën</w:t>
      </w:r>
      <w:r>
        <w:rPr>
          <w:rFonts w:cs="Times New Roman"/>
          <w:spacing w:val="-5"/>
          <w:lang w:val="sq-AL"/>
        </w:rPr>
        <w:t xml:space="preserve"> </w:t>
      </w:r>
      <w:r>
        <w:rPr>
          <w:rFonts w:cs="Times New Roman"/>
          <w:lang w:val="sq-AL"/>
        </w:rPr>
        <w:t>vullnetare</w:t>
      </w:r>
      <w:r>
        <w:rPr>
          <w:rFonts w:cs="Times New Roman"/>
          <w:spacing w:val="-6"/>
          <w:lang w:val="sq-AL"/>
        </w:rPr>
        <w:t xml:space="preserve"> </w:t>
      </w:r>
      <w:r>
        <w:rPr>
          <w:rFonts w:cs="Times New Roman"/>
          <w:lang w:val="sq-AL"/>
        </w:rPr>
        <w:t>të</w:t>
      </w:r>
      <w:r>
        <w:rPr>
          <w:rFonts w:cs="Times New Roman"/>
          <w:spacing w:val="-1"/>
          <w:lang w:val="sq-AL"/>
        </w:rPr>
        <w:t xml:space="preserve"> </w:t>
      </w:r>
      <w:r>
        <w:rPr>
          <w:rFonts w:cs="Times New Roman"/>
          <w:lang w:val="sq-AL"/>
        </w:rPr>
        <w:t>pjesëmarrjes</w:t>
      </w:r>
      <w:r>
        <w:rPr>
          <w:rFonts w:cs="Times New Roman"/>
          <w:spacing w:val="-9"/>
          <w:lang w:val="sq-AL"/>
        </w:rPr>
        <w:t xml:space="preserve"> </w:t>
      </w:r>
      <w:r>
        <w:rPr>
          <w:rFonts w:cs="Times New Roman"/>
          <w:lang w:val="sq-AL"/>
        </w:rPr>
        <w:t>së</w:t>
      </w:r>
      <w:r>
        <w:rPr>
          <w:rFonts w:cs="Times New Roman"/>
          <w:spacing w:val="-2"/>
          <w:lang w:val="sq-AL"/>
        </w:rPr>
        <w:t xml:space="preserve"> </w:t>
      </w:r>
      <w:r>
        <w:rPr>
          <w:rFonts w:cs="Times New Roman"/>
          <w:lang w:val="sq-AL"/>
        </w:rPr>
        <w:t>tyre</w:t>
      </w:r>
      <w:r>
        <w:rPr>
          <w:rFonts w:cs="Times New Roman"/>
          <w:spacing w:val="-3"/>
          <w:lang w:val="sq-AL"/>
        </w:rPr>
        <w:t xml:space="preserve"> </w:t>
      </w:r>
      <w:r>
        <w:rPr>
          <w:rFonts w:cs="Times New Roman"/>
          <w:lang w:val="sq-AL"/>
        </w:rPr>
        <w:t>në</w:t>
      </w:r>
      <w:r>
        <w:rPr>
          <w:rFonts w:cs="Times New Roman"/>
          <w:spacing w:val="-2"/>
          <w:lang w:val="sq-AL"/>
        </w:rPr>
        <w:t xml:space="preserve"> </w:t>
      </w:r>
      <w:r>
        <w:rPr>
          <w:rFonts w:cs="Times New Roman"/>
          <w:lang w:val="sq-AL"/>
        </w:rPr>
        <w:t>procesin e</w:t>
      </w:r>
      <w:r>
        <w:rPr>
          <w:rFonts w:cs="Times New Roman"/>
          <w:spacing w:val="-6"/>
          <w:lang w:val="sq-AL"/>
        </w:rPr>
        <w:t xml:space="preserve"> MPRR-së </w:t>
      </w:r>
      <w:r>
        <w:rPr>
          <w:rFonts w:cs="Times New Roman"/>
          <w:spacing w:val="-3"/>
          <w:lang w:val="sq-AL"/>
        </w:rPr>
        <w:t xml:space="preserve">që mund të vendosen nga OST-të e </w:t>
      </w:r>
      <w:r>
        <w:rPr>
          <w:rFonts w:cs="Times New Roman"/>
          <w:lang w:val="sq-AL"/>
        </w:rPr>
        <w:t>përmendur</w:t>
      </w:r>
      <w:r>
        <w:rPr>
          <w:rFonts w:cs="Times New Roman"/>
          <w:spacing w:val="-7"/>
          <w:lang w:val="sq-AL"/>
        </w:rPr>
        <w:t xml:space="preserve"> </w:t>
      </w:r>
      <w:r>
        <w:rPr>
          <w:rFonts w:cs="Times New Roman"/>
          <w:lang w:val="sq-AL"/>
        </w:rPr>
        <w:t>në</w:t>
      </w:r>
      <w:r>
        <w:rPr>
          <w:rFonts w:cs="Times New Roman"/>
          <w:spacing w:val="-2"/>
          <w:lang w:val="sq-AL"/>
        </w:rPr>
        <w:t xml:space="preserve"> </w:t>
      </w:r>
      <w:r>
        <w:rPr>
          <w:rFonts w:cs="Times New Roman"/>
          <w:lang w:val="sq-AL"/>
        </w:rPr>
        <w:t>paragrafin</w:t>
      </w:r>
      <w:r>
        <w:rPr>
          <w:rFonts w:cs="Times New Roman"/>
          <w:spacing w:val="-7"/>
          <w:lang w:val="sq-AL"/>
        </w:rPr>
        <w:t xml:space="preserve"> </w:t>
      </w:r>
      <w:r>
        <w:rPr>
          <w:rFonts w:cs="Times New Roman"/>
          <w:lang w:val="sq-AL"/>
        </w:rPr>
        <w:t>1;</w:t>
      </w:r>
    </w:p>
    <w:p w:rsidR="002F02C2" w:rsidRDefault="002F02C2" w:rsidP="002F02C2">
      <w:pPr>
        <w:pStyle w:val="Paragrafi"/>
        <w:rPr>
          <w:rFonts w:cs="Times New Roman"/>
          <w:lang w:val="sq-AL"/>
        </w:rPr>
      </w:pPr>
      <w:r>
        <w:rPr>
          <w:rFonts w:cs="Times New Roman"/>
          <w:lang w:val="sq-AL"/>
        </w:rPr>
        <w:t>d) OST-të e përmendur në paragrafin 1 kanë lidhur një marrëveshje që rregullon kushtet e pjesëmarrjes vullnetare me TSO-të e referuara në këtë paragraf;</w:t>
      </w:r>
    </w:p>
    <w:p w:rsidR="002F02C2" w:rsidRDefault="002F02C2" w:rsidP="002F02C2">
      <w:pPr>
        <w:pStyle w:val="Paragrafi"/>
        <w:rPr>
          <w:rFonts w:cs="Times New Roman"/>
          <w:lang w:val="sq-AL"/>
        </w:rPr>
      </w:pPr>
      <w:r>
        <w:rPr>
          <w:rFonts w:cs="Times New Roman"/>
          <w:lang w:val="sq-AL"/>
        </w:rPr>
        <w:t xml:space="preserve">e) Kur OST-të pjesëmarrëse mbi baza vullnetare në procesin e MPRR-së kanë treguar pajtueshmëri objektive me kërkesat e përcaktuara në “a”, “b”, “c” dhe “d”, OST-të e përmendur në paragrafin 1, pas verifikimit të plotësimit të kritereve në “a”, “b”, “c” dhe “d”, miratojnë kërkesën e OST-së që </w:t>
      </w:r>
      <w:r>
        <w:rPr>
          <w:rFonts w:cs="Times New Roman"/>
          <w:lang w:val="sq-AL"/>
        </w:rPr>
        <w:lastRenderedPageBreak/>
        <w:t>dëshiron t’i bashkohet procesit të MPRR-së, në përputhje me procedurën e përcaktuar në nenin 4(2) të Rregullores 2016/1719.</w:t>
      </w:r>
    </w:p>
    <w:p w:rsidR="002F02C2" w:rsidRDefault="002F02C2" w:rsidP="002F02C2">
      <w:pPr>
        <w:pStyle w:val="Paragrafi"/>
        <w:rPr>
          <w:rFonts w:cs="Times New Roman"/>
          <w:lang w:val="sq-AL"/>
        </w:rPr>
      </w:pPr>
      <w:r>
        <w:rPr>
          <w:rFonts w:cs="Times New Roman"/>
          <w:lang w:val="sq-AL"/>
        </w:rPr>
        <w:t>4. OST-të e</w:t>
      </w:r>
      <w:r>
        <w:rPr>
          <w:rFonts w:cs="Times New Roman"/>
          <w:spacing w:val="18"/>
          <w:lang w:val="sq-AL"/>
        </w:rPr>
        <w:t xml:space="preserve"> </w:t>
      </w:r>
      <w:r>
        <w:rPr>
          <w:rFonts w:cs="Times New Roman"/>
          <w:lang w:val="sq-AL"/>
        </w:rPr>
        <w:t>përmendur</w:t>
      </w:r>
      <w:r>
        <w:rPr>
          <w:rFonts w:cs="Times New Roman"/>
          <w:spacing w:val="31"/>
          <w:lang w:val="sq-AL"/>
        </w:rPr>
        <w:t xml:space="preserve"> </w:t>
      </w:r>
      <w:r>
        <w:rPr>
          <w:rFonts w:cs="Times New Roman"/>
          <w:lang w:val="sq-AL"/>
        </w:rPr>
        <w:t>në</w:t>
      </w:r>
      <w:r>
        <w:rPr>
          <w:rFonts w:cs="Times New Roman"/>
          <w:spacing w:val="9"/>
          <w:lang w:val="sq-AL"/>
        </w:rPr>
        <w:t xml:space="preserve"> </w:t>
      </w:r>
      <w:r>
        <w:rPr>
          <w:rFonts w:cs="Times New Roman"/>
          <w:lang w:val="sq-AL"/>
        </w:rPr>
        <w:t>paragrafin</w:t>
      </w:r>
      <w:r>
        <w:rPr>
          <w:rFonts w:cs="Times New Roman"/>
          <w:spacing w:val="29"/>
          <w:lang w:val="sq-AL"/>
        </w:rPr>
        <w:t xml:space="preserve"> </w:t>
      </w:r>
      <w:r>
        <w:rPr>
          <w:rFonts w:cs="Times New Roman"/>
          <w:lang w:val="sq-AL"/>
        </w:rPr>
        <w:t>1</w:t>
      </w:r>
      <w:r>
        <w:rPr>
          <w:rFonts w:cs="Times New Roman"/>
          <w:spacing w:val="5"/>
          <w:lang w:val="sq-AL"/>
        </w:rPr>
        <w:t xml:space="preserve"> </w:t>
      </w:r>
      <w:r>
        <w:rPr>
          <w:rFonts w:cs="Times New Roman"/>
          <w:lang w:val="sq-AL"/>
        </w:rPr>
        <w:t>do</w:t>
      </w:r>
      <w:r>
        <w:rPr>
          <w:rFonts w:cs="Times New Roman"/>
          <w:spacing w:val="9"/>
          <w:lang w:val="sq-AL"/>
        </w:rPr>
        <w:t xml:space="preserve"> </w:t>
      </w:r>
      <w:r>
        <w:rPr>
          <w:rFonts w:cs="Times New Roman"/>
          <w:lang w:val="sq-AL"/>
        </w:rPr>
        <w:t>të</w:t>
      </w:r>
      <w:r>
        <w:rPr>
          <w:rFonts w:cs="Times New Roman"/>
          <w:spacing w:val="7"/>
          <w:lang w:val="sq-AL"/>
        </w:rPr>
        <w:t xml:space="preserve"> </w:t>
      </w:r>
      <w:r>
        <w:rPr>
          <w:rFonts w:cs="Times New Roman"/>
          <w:lang w:val="sq-AL"/>
        </w:rPr>
        <w:t>monitorojnë</w:t>
      </w:r>
      <w:r>
        <w:rPr>
          <w:rFonts w:cs="Times New Roman"/>
          <w:spacing w:val="30"/>
          <w:lang w:val="sq-AL"/>
        </w:rPr>
        <w:t xml:space="preserve"> </w:t>
      </w:r>
      <w:r>
        <w:rPr>
          <w:rFonts w:cs="Times New Roman"/>
          <w:lang w:val="sq-AL"/>
        </w:rPr>
        <w:t>nëse</w:t>
      </w:r>
      <w:r>
        <w:rPr>
          <w:rFonts w:cs="Times New Roman"/>
          <w:spacing w:val="8"/>
          <w:lang w:val="sq-AL"/>
        </w:rPr>
        <w:t xml:space="preserve"> </w:t>
      </w:r>
      <w:r>
        <w:rPr>
          <w:rFonts w:cs="Times New Roman"/>
          <w:w w:val="104"/>
          <w:lang w:val="sq-AL"/>
        </w:rPr>
        <w:t xml:space="preserve">OST-të pjesëmarrëse </w:t>
      </w:r>
      <w:r>
        <w:rPr>
          <w:rFonts w:cs="Times New Roman"/>
          <w:lang w:val="sq-AL"/>
        </w:rPr>
        <w:t>në</w:t>
      </w:r>
      <w:r>
        <w:rPr>
          <w:rFonts w:cs="Times New Roman"/>
          <w:spacing w:val="9"/>
          <w:lang w:val="sq-AL"/>
        </w:rPr>
        <w:t xml:space="preserve"> </w:t>
      </w:r>
      <w:r>
        <w:rPr>
          <w:rFonts w:cs="Times New Roman"/>
          <w:lang w:val="sq-AL"/>
        </w:rPr>
        <w:t>procesin</w:t>
      </w:r>
      <w:r>
        <w:rPr>
          <w:rFonts w:cs="Times New Roman"/>
          <w:spacing w:val="25"/>
          <w:lang w:val="sq-AL"/>
        </w:rPr>
        <w:t xml:space="preserve"> </w:t>
      </w:r>
      <w:r>
        <w:rPr>
          <w:lang w:val="sq-AL"/>
        </w:rPr>
        <w:t>MPRR</w:t>
      </w:r>
      <w:r>
        <w:rPr>
          <w:rFonts w:cs="Times New Roman"/>
          <w:spacing w:val="25"/>
          <w:lang w:val="sq-AL"/>
        </w:rPr>
        <w:t xml:space="preserve"> </w:t>
      </w:r>
      <w:r>
        <w:rPr>
          <w:rFonts w:cs="Times New Roman"/>
          <w:lang w:val="sq-AL"/>
        </w:rPr>
        <w:t>mbi</w:t>
      </w:r>
      <w:r>
        <w:rPr>
          <w:rFonts w:cs="Times New Roman"/>
          <w:spacing w:val="12"/>
          <w:lang w:val="sq-AL"/>
        </w:rPr>
        <w:t xml:space="preserve"> </w:t>
      </w:r>
      <w:r>
        <w:rPr>
          <w:rFonts w:cs="Times New Roman"/>
          <w:lang w:val="sq-AL"/>
        </w:rPr>
        <w:t>baza</w:t>
      </w:r>
      <w:r>
        <w:rPr>
          <w:rFonts w:cs="Times New Roman"/>
          <w:spacing w:val="15"/>
          <w:lang w:val="sq-AL"/>
        </w:rPr>
        <w:t xml:space="preserve"> </w:t>
      </w:r>
      <w:r>
        <w:rPr>
          <w:rFonts w:cs="Times New Roman"/>
          <w:lang w:val="sq-AL"/>
        </w:rPr>
        <w:t>vullnetare</w:t>
      </w:r>
      <w:r>
        <w:rPr>
          <w:rFonts w:cs="Times New Roman"/>
          <w:spacing w:val="28"/>
          <w:lang w:val="sq-AL"/>
        </w:rPr>
        <w:t xml:space="preserve"> </w:t>
      </w:r>
      <w:r>
        <w:rPr>
          <w:rFonts w:cs="Times New Roman"/>
          <w:lang w:val="sq-AL"/>
        </w:rPr>
        <w:t>në</w:t>
      </w:r>
      <w:r>
        <w:rPr>
          <w:rFonts w:cs="Times New Roman"/>
          <w:spacing w:val="9"/>
          <w:lang w:val="sq-AL"/>
        </w:rPr>
        <w:t xml:space="preserve"> </w:t>
      </w:r>
      <w:r>
        <w:rPr>
          <w:rFonts w:cs="Times New Roman"/>
          <w:lang w:val="sq-AL"/>
        </w:rPr>
        <w:t>pajtim</w:t>
      </w:r>
      <w:r>
        <w:rPr>
          <w:rFonts w:cs="Times New Roman"/>
          <w:spacing w:val="18"/>
          <w:lang w:val="sq-AL"/>
        </w:rPr>
        <w:t xml:space="preserve"> </w:t>
      </w:r>
      <w:r>
        <w:rPr>
          <w:rFonts w:cs="Times New Roman"/>
          <w:w w:val="104"/>
          <w:lang w:val="sq-AL"/>
        </w:rPr>
        <w:t xml:space="preserve">me </w:t>
      </w:r>
      <w:r>
        <w:rPr>
          <w:rFonts w:cs="Times New Roman"/>
          <w:lang w:val="sq-AL"/>
        </w:rPr>
        <w:t>paragrafin</w:t>
      </w:r>
      <w:r>
        <w:rPr>
          <w:rFonts w:cs="Times New Roman"/>
          <w:spacing w:val="29"/>
          <w:lang w:val="sq-AL"/>
        </w:rPr>
        <w:t xml:space="preserve"> </w:t>
      </w:r>
      <w:r>
        <w:rPr>
          <w:rFonts w:cs="Times New Roman"/>
          <w:lang w:val="sq-AL"/>
        </w:rPr>
        <w:t>3</w:t>
      </w:r>
      <w:r>
        <w:rPr>
          <w:rFonts w:cs="Times New Roman"/>
          <w:spacing w:val="7"/>
          <w:lang w:val="sq-AL"/>
        </w:rPr>
        <w:t xml:space="preserve"> </w:t>
      </w:r>
      <w:r>
        <w:rPr>
          <w:rFonts w:cs="Times New Roman"/>
          <w:lang w:val="sq-AL"/>
        </w:rPr>
        <w:t>respektojnë</w:t>
      </w:r>
      <w:r>
        <w:rPr>
          <w:rFonts w:cs="Times New Roman"/>
          <w:spacing w:val="33"/>
          <w:lang w:val="sq-AL"/>
        </w:rPr>
        <w:t xml:space="preserve"> </w:t>
      </w:r>
      <w:r>
        <w:rPr>
          <w:rFonts w:cs="Times New Roman"/>
          <w:lang w:val="sq-AL"/>
        </w:rPr>
        <w:t>detyrimet</w:t>
      </w:r>
      <w:r>
        <w:rPr>
          <w:rFonts w:cs="Times New Roman"/>
          <w:spacing w:val="27"/>
          <w:lang w:val="sq-AL"/>
        </w:rPr>
        <w:t xml:space="preserve"> </w:t>
      </w:r>
      <w:r>
        <w:rPr>
          <w:rFonts w:cs="Times New Roman"/>
          <w:lang w:val="sq-AL"/>
        </w:rPr>
        <w:t>e</w:t>
      </w:r>
      <w:r>
        <w:rPr>
          <w:rFonts w:cs="Times New Roman"/>
          <w:spacing w:val="5"/>
          <w:lang w:val="sq-AL"/>
        </w:rPr>
        <w:t xml:space="preserve"> </w:t>
      </w:r>
      <w:r>
        <w:rPr>
          <w:rFonts w:cs="Times New Roman"/>
          <w:lang w:val="sq-AL"/>
        </w:rPr>
        <w:t>tyre.</w:t>
      </w:r>
      <w:r>
        <w:rPr>
          <w:rFonts w:cs="Times New Roman"/>
          <w:spacing w:val="14"/>
          <w:lang w:val="sq-AL"/>
        </w:rPr>
        <w:t xml:space="preserve"> </w:t>
      </w:r>
      <w:r>
        <w:rPr>
          <w:rFonts w:cs="Times New Roman"/>
          <w:lang w:val="sq-AL"/>
        </w:rPr>
        <w:t>Nëse</w:t>
      </w:r>
      <w:r>
        <w:rPr>
          <w:rFonts w:cs="Times New Roman"/>
          <w:spacing w:val="16"/>
          <w:lang w:val="sq-AL"/>
        </w:rPr>
        <w:t xml:space="preserve"> </w:t>
      </w:r>
      <w:r>
        <w:rPr>
          <w:rFonts w:cs="Times New Roman"/>
          <w:lang w:val="sq-AL"/>
        </w:rPr>
        <w:t>një</w:t>
      </w:r>
      <w:r>
        <w:rPr>
          <w:rFonts w:cs="Times New Roman"/>
          <w:spacing w:val="10"/>
          <w:lang w:val="sq-AL"/>
        </w:rPr>
        <w:t xml:space="preserve"> </w:t>
      </w:r>
      <w:r>
        <w:rPr>
          <w:rFonts w:cs="Times New Roman"/>
          <w:lang w:val="sq-AL"/>
        </w:rPr>
        <w:t>OST</w:t>
      </w:r>
      <w:r>
        <w:rPr>
          <w:rFonts w:cs="Times New Roman"/>
          <w:spacing w:val="14"/>
          <w:lang w:val="sq-AL"/>
        </w:rPr>
        <w:t xml:space="preserve"> që </w:t>
      </w:r>
      <w:r>
        <w:rPr>
          <w:rFonts w:cs="Times New Roman"/>
          <w:lang w:val="sq-AL"/>
        </w:rPr>
        <w:t>merr</w:t>
      </w:r>
      <w:r>
        <w:rPr>
          <w:rFonts w:cs="Times New Roman"/>
          <w:spacing w:val="14"/>
          <w:lang w:val="sq-AL"/>
        </w:rPr>
        <w:t xml:space="preserve"> </w:t>
      </w:r>
      <w:r>
        <w:rPr>
          <w:rFonts w:cs="Times New Roman"/>
          <w:lang w:val="sq-AL"/>
        </w:rPr>
        <w:t>pjesë</w:t>
      </w:r>
      <w:r>
        <w:rPr>
          <w:rFonts w:cs="Times New Roman"/>
          <w:spacing w:val="16"/>
          <w:lang w:val="sq-AL"/>
        </w:rPr>
        <w:t xml:space="preserve"> </w:t>
      </w:r>
      <w:r>
        <w:rPr>
          <w:rFonts w:cs="Times New Roman"/>
          <w:lang w:val="sq-AL"/>
        </w:rPr>
        <w:t>në</w:t>
      </w:r>
      <w:r>
        <w:rPr>
          <w:rFonts w:cs="Times New Roman"/>
          <w:spacing w:val="9"/>
          <w:lang w:val="sq-AL"/>
        </w:rPr>
        <w:t xml:space="preserve"> </w:t>
      </w:r>
      <w:r>
        <w:rPr>
          <w:rFonts w:cs="Times New Roman"/>
          <w:lang w:val="sq-AL"/>
        </w:rPr>
        <w:t>procesin</w:t>
      </w:r>
      <w:r>
        <w:rPr>
          <w:rFonts w:cs="Times New Roman"/>
          <w:spacing w:val="25"/>
          <w:lang w:val="sq-AL"/>
        </w:rPr>
        <w:t xml:space="preserve"> </w:t>
      </w:r>
      <w:r>
        <w:rPr>
          <w:rFonts w:cs="Times New Roman"/>
          <w:lang w:val="sq-AL"/>
        </w:rPr>
        <w:t>e</w:t>
      </w:r>
      <w:r>
        <w:rPr>
          <w:rFonts w:cs="Times New Roman"/>
          <w:spacing w:val="5"/>
          <w:lang w:val="sq-AL"/>
        </w:rPr>
        <w:t xml:space="preserve"> MPRR-së </w:t>
      </w:r>
      <w:r>
        <w:rPr>
          <w:rFonts w:cs="Times New Roman"/>
          <w:lang w:val="sq-AL"/>
        </w:rPr>
        <w:t>në</w:t>
      </w:r>
      <w:r>
        <w:rPr>
          <w:rFonts w:cs="Times New Roman"/>
          <w:spacing w:val="9"/>
          <w:lang w:val="sq-AL"/>
        </w:rPr>
        <w:t xml:space="preserve"> </w:t>
      </w:r>
      <w:r>
        <w:rPr>
          <w:rFonts w:cs="Times New Roman"/>
          <w:lang w:val="sq-AL"/>
        </w:rPr>
        <w:t>pajtim</w:t>
      </w:r>
      <w:r>
        <w:rPr>
          <w:rFonts w:cs="Times New Roman"/>
          <w:spacing w:val="18"/>
          <w:lang w:val="sq-AL"/>
        </w:rPr>
        <w:t xml:space="preserve"> </w:t>
      </w:r>
      <w:r>
        <w:rPr>
          <w:rFonts w:cs="Times New Roman"/>
          <w:lang w:val="sq-AL"/>
        </w:rPr>
        <w:t>me</w:t>
      </w:r>
      <w:r>
        <w:rPr>
          <w:rFonts w:cs="Times New Roman"/>
          <w:spacing w:val="10"/>
          <w:lang w:val="sq-AL"/>
        </w:rPr>
        <w:t xml:space="preserve"> </w:t>
      </w:r>
      <w:r>
        <w:rPr>
          <w:rFonts w:cs="Times New Roman"/>
          <w:lang w:val="sq-AL"/>
        </w:rPr>
        <w:t>paragrafin</w:t>
      </w:r>
      <w:r>
        <w:rPr>
          <w:rFonts w:cs="Times New Roman"/>
          <w:spacing w:val="29"/>
          <w:lang w:val="sq-AL"/>
        </w:rPr>
        <w:t xml:space="preserve"> </w:t>
      </w:r>
      <w:r>
        <w:rPr>
          <w:rFonts w:cs="Times New Roman"/>
          <w:lang w:val="sq-AL"/>
        </w:rPr>
        <w:t>3,</w:t>
      </w:r>
      <w:r>
        <w:rPr>
          <w:rFonts w:cs="Times New Roman"/>
          <w:spacing w:val="5"/>
          <w:lang w:val="sq-AL"/>
        </w:rPr>
        <w:t xml:space="preserve"> </w:t>
      </w:r>
      <w:r>
        <w:rPr>
          <w:rFonts w:cs="Times New Roman"/>
          <w:w w:val="104"/>
          <w:lang w:val="sq-AL"/>
        </w:rPr>
        <w:t xml:space="preserve">nuk </w:t>
      </w:r>
      <w:r>
        <w:rPr>
          <w:rFonts w:cs="Times New Roman"/>
          <w:lang w:val="sq-AL"/>
        </w:rPr>
        <w:t>respekton</w:t>
      </w:r>
      <w:r>
        <w:rPr>
          <w:rFonts w:cs="Times New Roman"/>
          <w:spacing w:val="28"/>
          <w:lang w:val="sq-AL"/>
        </w:rPr>
        <w:t xml:space="preserve"> </w:t>
      </w:r>
      <w:r>
        <w:rPr>
          <w:rFonts w:cs="Times New Roman"/>
          <w:lang w:val="sq-AL"/>
        </w:rPr>
        <w:t>detyrimet</w:t>
      </w:r>
      <w:r>
        <w:rPr>
          <w:rFonts w:cs="Times New Roman"/>
          <w:spacing w:val="10"/>
          <w:lang w:val="sq-AL"/>
        </w:rPr>
        <w:t xml:space="preserve"> </w:t>
      </w:r>
      <w:r>
        <w:rPr>
          <w:rFonts w:cs="Times New Roman"/>
          <w:lang w:val="sq-AL"/>
        </w:rPr>
        <w:t>thelbësore</w:t>
      </w:r>
      <w:r>
        <w:rPr>
          <w:rFonts w:cs="Times New Roman"/>
          <w:spacing w:val="30"/>
          <w:lang w:val="sq-AL"/>
        </w:rPr>
        <w:t xml:space="preserve"> </w:t>
      </w:r>
      <w:r>
        <w:rPr>
          <w:rFonts w:cs="Times New Roman"/>
          <w:lang w:val="sq-AL"/>
        </w:rPr>
        <w:t>në</w:t>
      </w:r>
      <w:r>
        <w:rPr>
          <w:rFonts w:cs="Times New Roman"/>
          <w:spacing w:val="9"/>
          <w:lang w:val="sq-AL"/>
        </w:rPr>
        <w:t xml:space="preserve"> </w:t>
      </w:r>
      <w:r>
        <w:rPr>
          <w:rFonts w:cs="Times New Roman"/>
          <w:lang w:val="sq-AL"/>
        </w:rPr>
        <w:t>mënyrë</w:t>
      </w:r>
      <w:r>
        <w:rPr>
          <w:rFonts w:cs="Times New Roman"/>
          <w:spacing w:val="22"/>
          <w:lang w:val="sq-AL"/>
        </w:rPr>
        <w:t xml:space="preserve"> </w:t>
      </w:r>
      <w:r>
        <w:rPr>
          <w:rFonts w:cs="Times New Roman"/>
          <w:lang w:val="sq-AL"/>
        </w:rPr>
        <w:t>që</w:t>
      </w:r>
      <w:r>
        <w:rPr>
          <w:rFonts w:cs="Times New Roman"/>
          <w:spacing w:val="9"/>
          <w:lang w:val="sq-AL"/>
        </w:rPr>
        <w:t xml:space="preserve"> </w:t>
      </w:r>
      <w:r>
        <w:rPr>
          <w:rFonts w:cs="Times New Roman"/>
          <w:lang w:val="sq-AL"/>
        </w:rPr>
        <w:t>rrezikon</w:t>
      </w:r>
      <w:r>
        <w:rPr>
          <w:rFonts w:cs="Times New Roman"/>
          <w:spacing w:val="23"/>
          <w:lang w:val="sq-AL"/>
        </w:rPr>
        <w:t xml:space="preserve"> </w:t>
      </w:r>
      <w:r>
        <w:rPr>
          <w:lang w:val="sq-AL"/>
        </w:rPr>
        <w:t>dukshëm</w:t>
      </w:r>
      <w:r>
        <w:rPr>
          <w:rFonts w:cs="Times New Roman"/>
          <w:spacing w:val="23"/>
          <w:lang w:val="sq-AL"/>
        </w:rPr>
        <w:t xml:space="preserve"> </w:t>
      </w:r>
      <w:r>
        <w:rPr>
          <w:rFonts w:cs="Times New Roman"/>
          <w:lang w:val="sq-AL"/>
        </w:rPr>
        <w:t>zbatimin</w:t>
      </w:r>
      <w:r>
        <w:rPr>
          <w:rFonts w:cs="Times New Roman"/>
          <w:spacing w:val="24"/>
          <w:lang w:val="sq-AL"/>
        </w:rPr>
        <w:t xml:space="preserve"> </w:t>
      </w:r>
      <w:r>
        <w:rPr>
          <w:rFonts w:cs="Times New Roman"/>
          <w:lang w:val="sq-AL"/>
        </w:rPr>
        <w:t>dhe</w:t>
      </w:r>
      <w:r>
        <w:rPr>
          <w:rFonts w:cs="Times New Roman"/>
          <w:spacing w:val="12"/>
          <w:lang w:val="sq-AL"/>
        </w:rPr>
        <w:t xml:space="preserve"> </w:t>
      </w:r>
      <w:r>
        <w:rPr>
          <w:rFonts w:cs="Times New Roman"/>
          <w:lang w:val="sq-AL"/>
        </w:rPr>
        <w:t>funksionimin</w:t>
      </w:r>
      <w:r>
        <w:rPr>
          <w:rFonts w:cs="Times New Roman"/>
          <w:spacing w:val="35"/>
          <w:lang w:val="sq-AL"/>
        </w:rPr>
        <w:t xml:space="preserve"> </w:t>
      </w:r>
      <w:r>
        <w:rPr>
          <w:rFonts w:cs="Times New Roman"/>
          <w:w w:val="104"/>
          <w:lang w:val="sq-AL"/>
        </w:rPr>
        <w:t xml:space="preserve">e </w:t>
      </w:r>
      <w:r>
        <w:rPr>
          <w:rFonts w:cs="Times New Roman"/>
          <w:lang w:val="sq-AL"/>
        </w:rPr>
        <w:t>Rregullores</w:t>
      </w:r>
      <w:r>
        <w:rPr>
          <w:rFonts w:cs="Times New Roman"/>
          <w:spacing w:val="33"/>
          <w:lang w:val="sq-AL"/>
        </w:rPr>
        <w:t xml:space="preserve"> </w:t>
      </w:r>
      <w:r>
        <w:rPr>
          <w:rFonts w:cs="Times New Roman"/>
          <w:lang w:val="sq-AL"/>
        </w:rPr>
        <w:t>2016/1719,</w:t>
      </w:r>
      <w:r>
        <w:rPr>
          <w:rFonts w:cs="Times New Roman"/>
          <w:spacing w:val="32"/>
          <w:lang w:val="sq-AL"/>
        </w:rPr>
        <w:t xml:space="preserve"> </w:t>
      </w:r>
      <w:r>
        <w:rPr>
          <w:rFonts w:cs="Times New Roman"/>
          <w:lang w:val="sq-AL"/>
        </w:rPr>
        <w:t>OST-të e përmendur</w:t>
      </w:r>
      <w:r>
        <w:rPr>
          <w:rFonts w:cs="Times New Roman"/>
          <w:spacing w:val="23"/>
          <w:lang w:val="sq-AL"/>
        </w:rPr>
        <w:t xml:space="preserve"> </w:t>
      </w:r>
      <w:r>
        <w:rPr>
          <w:rFonts w:cs="Times New Roman"/>
          <w:lang w:val="sq-AL"/>
        </w:rPr>
        <w:t>në</w:t>
      </w:r>
      <w:r>
        <w:rPr>
          <w:rFonts w:cs="Times New Roman"/>
          <w:spacing w:val="9"/>
          <w:lang w:val="sq-AL"/>
        </w:rPr>
        <w:t xml:space="preserve"> </w:t>
      </w:r>
      <w:r>
        <w:rPr>
          <w:rFonts w:cs="Times New Roman"/>
          <w:lang w:val="sq-AL"/>
        </w:rPr>
        <w:t>paragrafin</w:t>
      </w:r>
      <w:r>
        <w:rPr>
          <w:rFonts w:cs="Times New Roman"/>
          <w:spacing w:val="29"/>
          <w:lang w:val="sq-AL"/>
        </w:rPr>
        <w:t xml:space="preserve"> </w:t>
      </w:r>
      <w:r>
        <w:rPr>
          <w:rFonts w:cs="Times New Roman"/>
          <w:lang w:val="sq-AL"/>
        </w:rPr>
        <w:t>1</w:t>
      </w:r>
      <w:r>
        <w:rPr>
          <w:rFonts w:cs="Times New Roman"/>
          <w:spacing w:val="5"/>
          <w:lang w:val="sq-AL"/>
        </w:rPr>
        <w:t xml:space="preserve"> </w:t>
      </w:r>
      <w:r>
        <w:rPr>
          <w:rFonts w:cs="Times New Roman"/>
          <w:lang w:val="sq-AL"/>
        </w:rPr>
        <w:t>do</w:t>
      </w:r>
      <w:r>
        <w:rPr>
          <w:rFonts w:cs="Times New Roman"/>
          <w:spacing w:val="9"/>
          <w:lang w:val="sq-AL"/>
        </w:rPr>
        <w:t xml:space="preserve"> </w:t>
      </w:r>
      <w:r>
        <w:rPr>
          <w:rFonts w:cs="Times New Roman"/>
          <w:lang w:val="sq-AL"/>
        </w:rPr>
        <w:t>të</w:t>
      </w:r>
      <w:r>
        <w:rPr>
          <w:rFonts w:cs="Times New Roman"/>
          <w:spacing w:val="7"/>
          <w:lang w:val="sq-AL"/>
        </w:rPr>
        <w:t xml:space="preserve"> </w:t>
      </w:r>
      <w:r>
        <w:rPr>
          <w:rFonts w:cs="Times New Roman"/>
          <w:lang w:val="sq-AL"/>
        </w:rPr>
        <w:t>ndërpresin</w:t>
      </w:r>
      <w:r>
        <w:rPr>
          <w:rFonts w:cs="Times New Roman"/>
          <w:spacing w:val="30"/>
          <w:lang w:val="sq-AL"/>
        </w:rPr>
        <w:t xml:space="preserve"> </w:t>
      </w:r>
      <w:r>
        <w:rPr>
          <w:rFonts w:cs="Times New Roman"/>
          <w:lang w:val="sq-AL"/>
        </w:rPr>
        <w:t>pjesëmarrjen</w:t>
      </w:r>
      <w:r>
        <w:rPr>
          <w:rFonts w:cs="Times New Roman"/>
          <w:spacing w:val="33"/>
          <w:lang w:val="sq-AL"/>
        </w:rPr>
        <w:t xml:space="preserve"> </w:t>
      </w:r>
      <w:r>
        <w:rPr>
          <w:rFonts w:cs="Times New Roman"/>
          <w:lang w:val="sq-AL"/>
        </w:rPr>
        <w:t>vullnetare</w:t>
      </w:r>
      <w:r>
        <w:rPr>
          <w:rFonts w:cs="Times New Roman"/>
          <w:spacing w:val="33"/>
          <w:lang w:val="sq-AL"/>
        </w:rPr>
        <w:t xml:space="preserve"> të </w:t>
      </w:r>
      <w:r>
        <w:rPr>
          <w:rFonts w:cs="Times New Roman"/>
          <w:lang w:val="sq-AL"/>
        </w:rPr>
        <w:t>OST-së në</w:t>
      </w:r>
      <w:r>
        <w:rPr>
          <w:rFonts w:cs="Times New Roman"/>
          <w:spacing w:val="9"/>
          <w:lang w:val="sq-AL"/>
        </w:rPr>
        <w:t xml:space="preserve"> procesin e MPRR-së, </w:t>
      </w:r>
      <w:r>
        <w:rPr>
          <w:rFonts w:cs="Times New Roman"/>
          <w:w w:val="104"/>
          <w:lang w:val="sq-AL"/>
        </w:rPr>
        <w:t xml:space="preserve">në </w:t>
      </w:r>
      <w:r>
        <w:rPr>
          <w:rFonts w:cs="Times New Roman"/>
          <w:lang w:val="sq-AL"/>
        </w:rPr>
        <w:t>përputhje</w:t>
      </w:r>
      <w:r>
        <w:rPr>
          <w:rFonts w:cs="Times New Roman"/>
          <w:spacing w:val="27"/>
          <w:lang w:val="sq-AL"/>
        </w:rPr>
        <w:t xml:space="preserve"> </w:t>
      </w:r>
      <w:r>
        <w:rPr>
          <w:rFonts w:cs="Times New Roman"/>
          <w:lang w:val="sq-AL"/>
        </w:rPr>
        <w:t>me</w:t>
      </w:r>
      <w:r>
        <w:rPr>
          <w:rFonts w:cs="Times New Roman"/>
          <w:spacing w:val="10"/>
          <w:lang w:val="sq-AL"/>
        </w:rPr>
        <w:t xml:space="preserve"> </w:t>
      </w:r>
      <w:r>
        <w:rPr>
          <w:rFonts w:cs="Times New Roman"/>
          <w:lang w:val="sq-AL"/>
        </w:rPr>
        <w:t>procedurën</w:t>
      </w:r>
      <w:r>
        <w:rPr>
          <w:rFonts w:cs="Times New Roman"/>
          <w:spacing w:val="32"/>
          <w:lang w:val="sq-AL"/>
        </w:rPr>
        <w:t xml:space="preserve"> </w:t>
      </w:r>
      <w:r>
        <w:rPr>
          <w:rFonts w:cs="Times New Roman"/>
          <w:lang w:val="sq-AL"/>
        </w:rPr>
        <w:t>e</w:t>
      </w:r>
      <w:r>
        <w:rPr>
          <w:rFonts w:cs="Times New Roman"/>
          <w:spacing w:val="5"/>
          <w:lang w:val="sq-AL"/>
        </w:rPr>
        <w:t xml:space="preserve"> </w:t>
      </w:r>
      <w:r>
        <w:rPr>
          <w:rFonts w:cs="Times New Roman"/>
          <w:lang w:val="sq-AL"/>
        </w:rPr>
        <w:t>përcaktuar</w:t>
      </w:r>
      <w:r>
        <w:rPr>
          <w:rFonts w:cs="Times New Roman"/>
          <w:spacing w:val="30"/>
          <w:lang w:val="sq-AL"/>
        </w:rPr>
        <w:t xml:space="preserve"> </w:t>
      </w:r>
      <w:r>
        <w:rPr>
          <w:rFonts w:cs="Times New Roman"/>
          <w:lang w:val="sq-AL"/>
        </w:rPr>
        <w:t>në</w:t>
      </w:r>
      <w:r>
        <w:rPr>
          <w:rFonts w:cs="Times New Roman"/>
          <w:spacing w:val="9"/>
          <w:lang w:val="sq-AL"/>
        </w:rPr>
        <w:t xml:space="preserve"> </w:t>
      </w:r>
      <w:r>
        <w:rPr>
          <w:rFonts w:cs="Times New Roman"/>
          <w:lang w:val="sq-AL"/>
        </w:rPr>
        <w:t>nenin</w:t>
      </w:r>
      <w:r>
        <w:rPr>
          <w:rFonts w:cs="Times New Roman"/>
          <w:spacing w:val="17"/>
          <w:lang w:val="sq-AL"/>
        </w:rPr>
        <w:t xml:space="preserve"> </w:t>
      </w:r>
      <w:r>
        <w:rPr>
          <w:rFonts w:cs="Times New Roman"/>
          <w:lang w:val="sq-AL"/>
        </w:rPr>
        <w:t>4(2)</w:t>
      </w:r>
      <w:r>
        <w:rPr>
          <w:rFonts w:cs="Times New Roman"/>
          <w:spacing w:val="9"/>
          <w:lang w:val="sq-AL"/>
        </w:rPr>
        <w:t xml:space="preserve"> </w:t>
      </w:r>
      <w:r>
        <w:rPr>
          <w:rFonts w:cs="Times New Roman"/>
          <w:lang w:val="sq-AL"/>
        </w:rPr>
        <w:t>të</w:t>
      </w:r>
      <w:r>
        <w:rPr>
          <w:rFonts w:cs="Times New Roman"/>
          <w:spacing w:val="7"/>
          <w:lang w:val="sq-AL"/>
        </w:rPr>
        <w:t xml:space="preserve"> </w:t>
      </w:r>
      <w:r>
        <w:rPr>
          <w:rFonts w:cs="Times New Roman"/>
          <w:lang w:val="sq-AL"/>
        </w:rPr>
        <w:t>Rregullores</w:t>
      </w:r>
      <w:r>
        <w:rPr>
          <w:rFonts w:cs="Times New Roman"/>
          <w:spacing w:val="33"/>
          <w:lang w:val="sq-AL"/>
        </w:rPr>
        <w:t xml:space="preserve"> </w:t>
      </w:r>
      <w:r>
        <w:rPr>
          <w:rFonts w:cs="Times New Roman"/>
          <w:w w:val="104"/>
          <w:lang w:val="sq-AL"/>
        </w:rPr>
        <w:t>2016/1719.</w:t>
      </w:r>
    </w:p>
    <w:p w:rsidR="002F02C2" w:rsidRDefault="002F02C2" w:rsidP="002F02C2">
      <w:pPr>
        <w:pStyle w:val="Hapesira7"/>
        <w:rPr>
          <w:lang w:val="sq-AL"/>
        </w:rPr>
      </w:pPr>
    </w:p>
    <w:p w:rsidR="002F02C2" w:rsidRDefault="002F02C2" w:rsidP="002F02C2">
      <w:pPr>
        <w:pStyle w:val="NeniNr"/>
        <w:rPr>
          <w:lang w:val="sq-AL"/>
        </w:rPr>
      </w:pPr>
      <w:r>
        <w:rPr>
          <w:lang w:val="sq-AL"/>
        </w:rPr>
        <w:t>Neni 2</w:t>
      </w:r>
    </w:p>
    <w:p w:rsidR="002F02C2" w:rsidRDefault="002F02C2" w:rsidP="002F02C2">
      <w:pPr>
        <w:pStyle w:val="NeniNr"/>
        <w:rPr>
          <w:b/>
          <w:lang w:val="sq-AL"/>
        </w:rPr>
      </w:pPr>
      <w:r>
        <w:rPr>
          <w:b/>
          <w:lang w:val="sq-AL"/>
        </w:rPr>
        <w:t>Përkufizimet dhe interpretimi</w:t>
      </w:r>
    </w:p>
    <w:p w:rsidR="002F02C2" w:rsidRDefault="002F02C2" w:rsidP="002F02C2">
      <w:pPr>
        <w:pStyle w:val="Hapesira7"/>
        <w:rPr>
          <w:w w:val="103"/>
          <w:lang w:val="sq-AL"/>
        </w:rPr>
      </w:pPr>
    </w:p>
    <w:p w:rsidR="002F02C2" w:rsidRDefault="002F02C2" w:rsidP="002F02C2">
      <w:pPr>
        <w:pStyle w:val="Paragrafi"/>
        <w:rPr>
          <w:lang w:val="sq-AL"/>
        </w:rPr>
      </w:pPr>
      <w:r>
        <w:rPr>
          <w:lang w:val="sq-AL"/>
        </w:rPr>
        <w:tab/>
        <w:t>Për qëllime të këtij propozimi, termat e përdorur kanë kuptimin e përkufizimeve të përfshira në nenin 2 të Rregullores 2016/1719 dhe termave të legjislacionit tjetër të përmendur aty, si dhe të nenit 2 të Metodologjisë së Modelit të Përbashkët të Rrjetit e në pajtim me nenin 17 të Rregullores 2015/1222.</w:t>
      </w:r>
    </w:p>
    <w:p w:rsidR="002F02C2" w:rsidRDefault="002F02C2" w:rsidP="002F02C2">
      <w:pPr>
        <w:pStyle w:val="Hapesira7"/>
        <w:rPr>
          <w:w w:val="103"/>
          <w:lang w:val="sq-AL"/>
        </w:rPr>
      </w:pPr>
    </w:p>
    <w:p w:rsidR="002F02C2" w:rsidRDefault="002F02C2" w:rsidP="002F02C2">
      <w:pPr>
        <w:pStyle w:val="NeniNr"/>
        <w:rPr>
          <w:lang w:val="sq-AL"/>
        </w:rPr>
      </w:pPr>
      <w:r>
        <w:rPr>
          <w:lang w:val="sq-AL"/>
        </w:rPr>
        <w:t>Neni 3</w:t>
      </w:r>
    </w:p>
    <w:p w:rsidR="002F02C2" w:rsidRDefault="002F02C2" w:rsidP="002F02C2">
      <w:pPr>
        <w:pStyle w:val="NeniNr"/>
        <w:rPr>
          <w:b/>
          <w:lang w:val="sq-AL"/>
        </w:rPr>
      </w:pPr>
      <w:r>
        <w:rPr>
          <w:b/>
          <w:lang w:val="sq-AL"/>
        </w:rPr>
        <w:t>Skenarët</w:t>
      </w:r>
    </w:p>
    <w:p w:rsidR="002F02C2" w:rsidRDefault="002F02C2" w:rsidP="002F02C2">
      <w:pPr>
        <w:pStyle w:val="Hapesira7"/>
        <w:rPr>
          <w:w w:val="103"/>
          <w:lang w:val="sq-AL"/>
        </w:rPr>
      </w:pPr>
    </w:p>
    <w:p w:rsidR="002F02C2" w:rsidRDefault="002F02C2" w:rsidP="002F02C2">
      <w:pPr>
        <w:pStyle w:val="Paragrafi"/>
        <w:rPr>
          <w:rFonts w:cs="Times New Roman"/>
          <w:lang w:val="sq-AL"/>
        </w:rPr>
      </w:pPr>
      <w:r>
        <w:rPr>
          <w:rFonts w:cs="Times New Roman"/>
          <w:lang w:val="sq-AL"/>
        </w:rPr>
        <w:t>1. Kur ndërtojnë modelet individuale të rrjetit për vitin përpara vitit në avancë për llogaritjen e kapacitetit, të gjithë OST-të bashkërisht</w:t>
      </w:r>
      <w:r>
        <w:rPr>
          <w:rFonts w:cs="Times New Roman"/>
          <w:spacing w:val="-11"/>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krijoj</w:t>
      </w:r>
      <w:r>
        <w:rPr>
          <w:rFonts w:cs="Times New Roman"/>
          <w:lang w:val="sq-AL"/>
        </w:rPr>
        <w:t>në</w:t>
      </w:r>
      <w:r>
        <w:rPr>
          <w:rFonts w:cs="Times New Roman"/>
          <w:spacing w:val="-6"/>
          <w:lang w:val="sq-AL"/>
        </w:rPr>
        <w:t xml:space="preserve"> </w:t>
      </w:r>
      <w:r>
        <w:rPr>
          <w:rFonts w:cs="Times New Roman"/>
          <w:lang w:val="sq-AL"/>
        </w:rPr>
        <w:t>një</w:t>
      </w:r>
      <w:r>
        <w:rPr>
          <w:rFonts w:cs="Times New Roman"/>
          <w:spacing w:val="-2"/>
          <w:lang w:val="sq-AL"/>
        </w:rPr>
        <w:t xml:space="preserve"> </w:t>
      </w:r>
      <w:r>
        <w:rPr>
          <w:rFonts w:cs="Times New Roman"/>
          <w:lang w:val="sq-AL"/>
        </w:rPr>
        <w:t>grup</w:t>
      </w:r>
      <w:r>
        <w:rPr>
          <w:rFonts w:cs="Times New Roman"/>
          <w:spacing w:val="-3"/>
          <w:lang w:val="sq-AL"/>
        </w:rPr>
        <w:t xml:space="preserve"> </w:t>
      </w:r>
      <w:r>
        <w:rPr>
          <w:rFonts w:cs="Times New Roman"/>
          <w:lang w:val="sq-AL"/>
        </w:rPr>
        <w:t>të</w:t>
      </w:r>
      <w:r>
        <w:rPr>
          <w:rFonts w:cs="Times New Roman"/>
          <w:spacing w:val="-1"/>
          <w:lang w:val="sq-AL"/>
        </w:rPr>
        <w:t xml:space="preserve"> </w:t>
      </w:r>
      <w:r>
        <w:rPr>
          <w:rFonts w:cs="Times New Roman"/>
          <w:lang w:val="sq-AL"/>
        </w:rPr>
        <w:t>përbashkët</w:t>
      </w:r>
      <w:r>
        <w:rPr>
          <w:rFonts w:cs="Times New Roman"/>
          <w:spacing w:val="-7"/>
          <w:lang w:val="sq-AL"/>
        </w:rPr>
        <w:t xml:space="preserve"> </w:t>
      </w:r>
      <w:r>
        <w:rPr>
          <w:rFonts w:cs="Times New Roman"/>
          <w:lang w:val="sq-AL"/>
        </w:rPr>
        <w:t>të</w:t>
      </w:r>
      <w:r>
        <w:rPr>
          <w:rFonts w:cs="Times New Roman"/>
          <w:spacing w:val="-1"/>
          <w:lang w:val="sq-AL"/>
        </w:rPr>
        <w:t xml:space="preserve"> </w:t>
      </w:r>
      <w:r>
        <w:rPr>
          <w:rFonts w:cs="Times New Roman"/>
          <w:lang w:val="sq-AL"/>
        </w:rPr>
        <w:t>skenarëve</w:t>
      </w:r>
      <w:r>
        <w:rPr>
          <w:rFonts w:cs="Times New Roman"/>
          <w:spacing w:val="-7"/>
          <w:lang w:val="sq-AL"/>
        </w:rPr>
        <w:t xml:space="preserve"> </w:t>
      </w:r>
      <w:r>
        <w:rPr>
          <w:rFonts w:cs="Times New Roman"/>
          <w:lang w:val="sq-AL"/>
        </w:rPr>
        <w:t>që</w:t>
      </w:r>
      <w:r>
        <w:rPr>
          <w:rFonts w:cs="Times New Roman"/>
          <w:spacing w:val="-2"/>
          <w:lang w:val="sq-AL"/>
        </w:rPr>
        <w:t xml:space="preserve"> </w:t>
      </w:r>
      <w:r>
        <w:rPr>
          <w:rFonts w:cs="Times New Roman"/>
          <w:lang w:val="sq-AL"/>
        </w:rPr>
        <w:t>do</w:t>
      </w:r>
      <w:r>
        <w:rPr>
          <w:rFonts w:cs="Times New Roman"/>
          <w:spacing w:val="-2"/>
          <w:lang w:val="sq-AL"/>
        </w:rPr>
        <w:t xml:space="preserve"> </w:t>
      </w:r>
      <w:r>
        <w:rPr>
          <w:rFonts w:cs="Times New Roman"/>
          <w:lang w:val="sq-AL"/>
        </w:rPr>
        <w:t>të përdoren. Këta</w:t>
      </w:r>
      <w:r>
        <w:rPr>
          <w:rFonts w:cs="Times New Roman"/>
          <w:spacing w:val="-3"/>
          <w:lang w:val="sq-AL"/>
        </w:rPr>
        <w:t xml:space="preserve"> </w:t>
      </w:r>
      <w:r>
        <w:rPr>
          <w:rFonts w:cs="Times New Roman"/>
          <w:lang w:val="sq-AL"/>
        </w:rPr>
        <w:t>skenarë</w:t>
      </w:r>
      <w:r>
        <w:rPr>
          <w:rFonts w:cs="Times New Roman"/>
          <w:spacing w:val="-5"/>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respektojnë</w:t>
      </w:r>
      <w:r>
        <w:rPr>
          <w:rFonts w:cs="Times New Roman"/>
          <w:spacing w:val="-7"/>
          <w:lang w:val="sq-AL"/>
        </w:rPr>
        <w:t xml:space="preserve"> </w:t>
      </w:r>
      <w:r>
        <w:rPr>
          <w:rFonts w:cs="Times New Roman"/>
          <w:lang w:val="sq-AL"/>
        </w:rPr>
        <w:t>parimet</w:t>
      </w:r>
      <w:r>
        <w:rPr>
          <w:rFonts w:cs="Times New Roman"/>
          <w:spacing w:val="-5"/>
          <w:lang w:val="sq-AL"/>
        </w:rPr>
        <w:t xml:space="preserve"> </w:t>
      </w:r>
      <w:r>
        <w:rPr>
          <w:rFonts w:cs="Times New Roman"/>
          <w:lang w:val="sq-AL"/>
        </w:rPr>
        <w:t>e</w:t>
      </w:r>
      <w:r>
        <w:rPr>
          <w:rFonts w:cs="Times New Roman"/>
          <w:spacing w:val="-1"/>
          <w:lang w:val="sq-AL"/>
        </w:rPr>
        <w:t xml:space="preserve"> </w:t>
      </w:r>
      <w:r>
        <w:rPr>
          <w:rFonts w:cs="Times New Roman"/>
          <w:lang w:val="sq-AL"/>
        </w:rPr>
        <w:t>përcaktuara</w:t>
      </w:r>
      <w:r>
        <w:rPr>
          <w:rFonts w:cs="Times New Roman"/>
          <w:spacing w:val="-8"/>
          <w:lang w:val="sq-AL"/>
        </w:rPr>
        <w:t xml:space="preserve"> </w:t>
      </w:r>
      <w:r>
        <w:rPr>
          <w:rFonts w:cs="Times New Roman"/>
          <w:lang w:val="sq-AL"/>
        </w:rPr>
        <w:t>në</w:t>
      </w:r>
      <w:r>
        <w:rPr>
          <w:rFonts w:cs="Times New Roman"/>
          <w:spacing w:val="-2"/>
          <w:lang w:val="sq-AL"/>
        </w:rPr>
        <w:t xml:space="preserve"> </w:t>
      </w:r>
      <w:r>
        <w:rPr>
          <w:rFonts w:cs="Times New Roman"/>
          <w:lang w:val="sq-AL"/>
        </w:rPr>
        <w:t>paragrafin</w:t>
      </w:r>
      <w:r>
        <w:rPr>
          <w:rFonts w:cs="Times New Roman"/>
          <w:spacing w:val="-7"/>
          <w:lang w:val="sq-AL"/>
        </w:rPr>
        <w:t xml:space="preserve"> </w:t>
      </w:r>
      <w:r>
        <w:rPr>
          <w:rFonts w:cs="Times New Roman"/>
          <w:lang w:val="sq-AL"/>
        </w:rPr>
        <w:t>3.</w:t>
      </w:r>
      <w:r>
        <w:rPr>
          <w:rFonts w:cs="Times New Roman"/>
          <w:spacing w:val="-2"/>
          <w:lang w:val="sq-AL"/>
        </w:rPr>
        <w:t xml:space="preserve"> Gjendjet e pikut dhe gjendja me ngarkesë minimale </w:t>
      </w:r>
      <w:r>
        <w:rPr>
          <w:rFonts w:cs="Times New Roman"/>
          <w:lang w:val="sq-AL"/>
        </w:rPr>
        <w:t>do</w:t>
      </w:r>
      <w:r>
        <w:rPr>
          <w:rFonts w:cs="Times New Roman"/>
          <w:spacing w:val="-2"/>
          <w:lang w:val="sq-AL"/>
        </w:rPr>
        <w:t xml:space="preserve"> </w:t>
      </w:r>
      <w:r>
        <w:rPr>
          <w:rFonts w:cs="Times New Roman"/>
          <w:lang w:val="sq-AL"/>
        </w:rPr>
        <w:t>të merren</w:t>
      </w:r>
      <w:r>
        <w:rPr>
          <w:rFonts w:cs="Times New Roman"/>
          <w:spacing w:val="-5"/>
          <w:lang w:val="sq-AL"/>
        </w:rPr>
        <w:t xml:space="preserve"> </w:t>
      </w:r>
      <w:r>
        <w:rPr>
          <w:rFonts w:cs="Times New Roman"/>
          <w:lang w:val="sq-AL"/>
        </w:rPr>
        <w:t>parasysh</w:t>
      </w:r>
      <w:r>
        <w:rPr>
          <w:rFonts w:cs="Times New Roman"/>
          <w:spacing w:val="-6"/>
          <w:lang w:val="sq-AL"/>
        </w:rPr>
        <w:t xml:space="preserve"> </w:t>
      </w:r>
      <w:r>
        <w:rPr>
          <w:rFonts w:cs="Times New Roman"/>
          <w:lang w:val="sq-AL"/>
        </w:rPr>
        <w:t>në</w:t>
      </w:r>
      <w:r>
        <w:rPr>
          <w:rFonts w:cs="Times New Roman"/>
          <w:spacing w:val="-2"/>
          <w:lang w:val="sq-AL"/>
        </w:rPr>
        <w:t xml:space="preserve"> </w:t>
      </w:r>
      <w:r>
        <w:rPr>
          <w:rFonts w:cs="Times New Roman"/>
          <w:lang w:val="sq-AL"/>
        </w:rPr>
        <w:t>mënyrë</w:t>
      </w:r>
      <w:r>
        <w:rPr>
          <w:rFonts w:cs="Times New Roman"/>
          <w:spacing w:val="-5"/>
          <w:lang w:val="sq-AL"/>
        </w:rPr>
        <w:t xml:space="preserve"> </w:t>
      </w:r>
      <w:r>
        <w:rPr>
          <w:rFonts w:cs="Times New Roman"/>
          <w:lang w:val="sq-AL"/>
        </w:rPr>
        <w:t>adekuate.</w:t>
      </w:r>
      <w:r>
        <w:rPr>
          <w:rFonts w:cs="Times New Roman"/>
          <w:spacing w:val="-7"/>
          <w:lang w:val="sq-AL"/>
        </w:rPr>
        <w:t xml:space="preserve"> D</w:t>
      </w:r>
      <w:r>
        <w:rPr>
          <w:rFonts w:cs="Times New Roman"/>
          <w:lang w:val="sq-AL"/>
        </w:rPr>
        <w:t>erisa</w:t>
      </w:r>
      <w:r>
        <w:rPr>
          <w:rFonts w:cs="Times New Roman"/>
          <w:spacing w:val="-4"/>
          <w:lang w:val="sq-AL"/>
        </w:rPr>
        <w:t xml:space="preserve"> </w:t>
      </w:r>
      <w:r>
        <w:rPr>
          <w:rFonts w:cs="Times New Roman"/>
          <w:lang w:val="sq-AL"/>
        </w:rPr>
        <w:t>këto</w:t>
      </w:r>
      <w:r>
        <w:rPr>
          <w:rFonts w:cs="Times New Roman"/>
          <w:spacing w:val="-3"/>
          <w:lang w:val="sq-AL"/>
        </w:rPr>
        <w:t xml:space="preserve"> </w:t>
      </w:r>
      <w:r>
        <w:rPr>
          <w:rFonts w:cs="Times New Roman"/>
          <w:lang w:val="sq-AL"/>
        </w:rPr>
        <w:t>skenarë të krijohen,</w:t>
      </w:r>
      <w:r>
        <w:rPr>
          <w:rFonts w:cs="Times New Roman"/>
          <w:spacing w:val="-5"/>
          <w:lang w:val="sq-AL"/>
        </w:rPr>
        <w:t xml:space="preserve"> </w:t>
      </w:r>
      <w:r>
        <w:rPr>
          <w:rFonts w:cs="Times New Roman"/>
          <w:lang w:val="sq-AL"/>
        </w:rPr>
        <w:t>çdo</w:t>
      </w:r>
      <w:r>
        <w:rPr>
          <w:rFonts w:cs="Times New Roman"/>
          <w:spacing w:val="-3"/>
          <w:lang w:val="sq-AL"/>
        </w:rPr>
        <w:t xml:space="preserve"> </w:t>
      </w:r>
      <w:r>
        <w:rPr>
          <w:rFonts w:cs="Times New Roman"/>
          <w:lang w:val="sq-AL"/>
        </w:rPr>
        <w:t>OST</w:t>
      </w:r>
      <w:r>
        <w:rPr>
          <w:rFonts w:cs="Times New Roman"/>
          <w:spacing w:val="-3"/>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përdorë</w:t>
      </w:r>
      <w:r>
        <w:rPr>
          <w:rFonts w:cs="Times New Roman"/>
          <w:spacing w:val="-5"/>
          <w:lang w:val="sq-AL"/>
        </w:rPr>
        <w:t xml:space="preserve"> </w:t>
      </w:r>
      <w:r>
        <w:rPr>
          <w:rFonts w:cs="Times New Roman"/>
          <w:lang w:val="sq-AL"/>
        </w:rPr>
        <w:t>si</w:t>
      </w:r>
      <w:r>
        <w:rPr>
          <w:rFonts w:cs="Times New Roman"/>
          <w:spacing w:val="-1"/>
          <w:lang w:val="sq-AL"/>
        </w:rPr>
        <w:t xml:space="preserve"> </w:t>
      </w:r>
      <w:r>
        <w:rPr>
          <w:rFonts w:cs="Times New Roman"/>
          <w:lang w:val="sq-AL"/>
        </w:rPr>
        <w:t>parazgjedhje skenarët</w:t>
      </w:r>
      <w:r>
        <w:rPr>
          <w:rFonts w:cs="Times New Roman"/>
          <w:spacing w:val="-6"/>
          <w:lang w:val="sq-AL"/>
        </w:rPr>
        <w:t xml:space="preserve"> </w:t>
      </w:r>
      <w:r>
        <w:rPr>
          <w:rFonts w:cs="Times New Roman"/>
          <w:lang w:val="sq-AL"/>
        </w:rPr>
        <w:t>në</w:t>
      </w:r>
      <w:r>
        <w:rPr>
          <w:rFonts w:cs="Times New Roman"/>
          <w:spacing w:val="-2"/>
          <w:lang w:val="sq-AL"/>
        </w:rPr>
        <w:t xml:space="preserve"> </w:t>
      </w:r>
      <w:r>
        <w:rPr>
          <w:rFonts w:cs="Times New Roman"/>
          <w:lang w:val="sq-AL"/>
        </w:rPr>
        <w:t>vijim:</w:t>
      </w:r>
    </w:p>
    <w:p w:rsidR="002F02C2" w:rsidRDefault="002F02C2" w:rsidP="002F02C2">
      <w:pPr>
        <w:pStyle w:val="Paragrafi"/>
        <w:rPr>
          <w:rFonts w:cs="Times New Roman"/>
          <w:lang w:val="sq-AL"/>
        </w:rPr>
      </w:pPr>
      <w:r>
        <w:rPr>
          <w:rFonts w:cs="Times New Roman"/>
          <w:lang w:val="sq-AL"/>
        </w:rPr>
        <w:t>a) Piku i dimrit, e mërkura e tretë e janarit të vitit aktual, ora 10:30 (periudha e synuar treguese: çereku i parë);</w:t>
      </w:r>
    </w:p>
    <w:p w:rsidR="002F02C2" w:rsidRDefault="002F02C2" w:rsidP="002F02C2">
      <w:pPr>
        <w:pStyle w:val="Paragrafi"/>
        <w:rPr>
          <w:rFonts w:cs="Times New Roman"/>
          <w:lang w:val="sq-AL"/>
        </w:rPr>
      </w:pPr>
      <w:r>
        <w:rPr>
          <w:rFonts w:cs="Times New Roman"/>
          <w:lang w:val="sq-AL"/>
        </w:rPr>
        <w:t>b) Minimumi i dimrit, e diela e dytë e janarit të vitit aktual, ora 03:30 (periudha e synuar treguese: çereku i parë);</w:t>
      </w:r>
    </w:p>
    <w:p w:rsidR="002F02C2" w:rsidRDefault="002F02C2" w:rsidP="002F02C2">
      <w:pPr>
        <w:pStyle w:val="Paragrafi"/>
        <w:rPr>
          <w:rFonts w:cs="Times New Roman"/>
          <w:lang w:val="sq-AL"/>
        </w:rPr>
      </w:pPr>
      <w:r>
        <w:rPr>
          <w:rFonts w:cs="Times New Roman"/>
          <w:lang w:val="sq-AL"/>
        </w:rPr>
        <w:t>c) Piku i pranverës, e mërkura e tretë e prillit e vitit aktual, ora 10:30 (periudha e synuar treguese: çereku i dytë);</w:t>
      </w:r>
    </w:p>
    <w:p w:rsidR="002F02C2" w:rsidRDefault="002F02C2" w:rsidP="002F02C2">
      <w:pPr>
        <w:pStyle w:val="Paragrafi"/>
        <w:rPr>
          <w:rFonts w:cs="Times New Roman"/>
          <w:lang w:val="sq-AL"/>
        </w:rPr>
      </w:pPr>
      <w:r>
        <w:rPr>
          <w:rFonts w:cs="Times New Roman"/>
          <w:lang w:val="sq-AL"/>
        </w:rPr>
        <w:t>d) Minimumi i pranverës, e diela e dytë e prillit të vitit aktual, ora 03:30 (periudha e synuar treguese: çereku i dytë);</w:t>
      </w:r>
    </w:p>
    <w:p w:rsidR="002F02C2" w:rsidRDefault="002F02C2" w:rsidP="002F02C2">
      <w:pPr>
        <w:pStyle w:val="Paragrafi"/>
        <w:rPr>
          <w:rFonts w:cs="Times New Roman"/>
          <w:lang w:val="sq-AL"/>
        </w:rPr>
      </w:pPr>
      <w:r>
        <w:rPr>
          <w:rFonts w:cs="Times New Roman"/>
          <w:lang w:val="sq-AL"/>
        </w:rPr>
        <w:t>e) Piku i verës, e mërkura e tretë e korrikut e vitit të kaluar, ora 10:30 (periudha e synuar treguese: çereku i tretë);</w:t>
      </w:r>
    </w:p>
    <w:p w:rsidR="002F02C2" w:rsidRDefault="002F02C2" w:rsidP="002F02C2">
      <w:pPr>
        <w:pStyle w:val="Paragrafi"/>
        <w:rPr>
          <w:rFonts w:cs="Times New Roman"/>
          <w:lang w:val="sq-AL"/>
        </w:rPr>
      </w:pPr>
      <w:r>
        <w:rPr>
          <w:rFonts w:cs="Times New Roman"/>
          <w:lang w:val="sq-AL"/>
        </w:rPr>
        <w:t>f) Minimumi i verës, e diela e dytë e korrikut e vitit të kaluar, ora 03:30 (periudha e synuar treguese: çereku i tretë);</w:t>
      </w:r>
    </w:p>
    <w:p w:rsidR="002F02C2" w:rsidRDefault="002F02C2" w:rsidP="002F02C2">
      <w:pPr>
        <w:pStyle w:val="Paragrafi"/>
        <w:rPr>
          <w:rFonts w:cs="Times New Roman"/>
          <w:lang w:val="sq-AL"/>
        </w:rPr>
      </w:pPr>
    </w:p>
    <w:p w:rsidR="002F02C2" w:rsidRDefault="002F02C2" w:rsidP="002F02C2">
      <w:pPr>
        <w:pStyle w:val="Paragrafi"/>
        <w:rPr>
          <w:rFonts w:cs="Times New Roman"/>
          <w:lang w:val="sq-AL"/>
        </w:rPr>
      </w:pPr>
      <w:r>
        <w:rPr>
          <w:rFonts w:cs="Times New Roman"/>
          <w:lang w:val="sq-AL"/>
        </w:rPr>
        <w:t>g) Piku i vjeshtës, e mërkura e tretë e tetorit e vitit të kaluar, ora 10:30 (periudha e synuar treguese: çereku i tretë);</w:t>
      </w:r>
    </w:p>
    <w:p w:rsidR="002F02C2" w:rsidRDefault="002F02C2" w:rsidP="002F02C2">
      <w:pPr>
        <w:pStyle w:val="Paragrafi"/>
        <w:rPr>
          <w:rFonts w:cs="Times New Roman"/>
          <w:lang w:val="sq-AL"/>
        </w:rPr>
      </w:pPr>
      <w:r>
        <w:rPr>
          <w:rFonts w:cs="Times New Roman"/>
          <w:lang w:val="sq-AL"/>
        </w:rPr>
        <w:t>h) Minimumi i vjeshtës, e diela e dytë e tetorit e vitit të kaluar, ora 03:30 (periudha e synuar treguese: çereku i tretë).</w:t>
      </w:r>
    </w:p>
    <w:p w:rsidR="002F02C2" w:rsidRDefault="002F02C2" w:rsidP="002F02C2">
      <w:pPr>
        <w:pStyle w:val="Paragrafi"/>
        <w:rPr>
          <w:rFonts w:cs="Times New Roman"/>
          <w:lang w:val="sq-AL"/>
        </w:rPr>
      </w:pPr>
      <w:r>
        <w:rPr>
          <w:rFonts w:cs="Times New Roman"/>
          <w:lang w:val="sq-AL"/>
        </w:rPr>
        <w:t>2. Kur ndërtojnë modelet individuale të rrjetit për muajin para muajit në avancë për periudhat kohore të llogaritjes së kapacitetit, të gjithë OST-të bashkërisht</w:t>
      </w:r>
      <w:r>
        <w:rPr>
          <w:rFonts w:cs="Times New Roman"/>
          <w:spacing w:val="-11"/>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krijoj</w:t>
      </w:r>
      <w:r>
        <w:rPr>
          <w:rFonts w:cs="Times New Roman"/>
          <w:lang w:val="sq-AL"/>
        </w:rPr>
        <w:t>në</w:t>
      </w:r>
      <w:r>
        <w:rPr>
          <w:rFonts w:cs="Times New Roman"/>
          <w:spacing w:val="-6"/>
          <w:lang w:val="sq-AL"/>
        </w:rPr>
        <w:t xml:space="preserve"> </w:t>
      </w:r>
      <w:r>
        <w:rPr>
          <w:rFonts w:cs="Times New Roman"/>
          <w:lang w:val="sq-AL"/>
        </w:rPr>
        <w:t>një</w:t>
      </w:r>
      <w:r>
        <w:rPr>
          <w:rFonts w:cs="Times New Roman"/>
          <w:spacing w:val="-2"/>
          <w:lang w:val="sq-AL"/>
        </w:rPr>
        <w:t xml:space="preserve"> </w:t>
      </w:r>
      <w:r>
        <w:rPr>
          <w:rFonts w:cs="Times New Roman"/>
          <w:lang w:val="sq-AL"/>
        </w:rPr>
        <w:t>grup</w:t>
      </w:r>
      <w:r>
        <w:rPr>
          <w:rFonts w:cs="Times New Roman"/>
          <w:spacing w:val="-3"/>
          <w:lang w:val="sq-AL"/>
        </w:rPr>
        <w:t xml:space="preserve"> </w:t>
      </w:r>
      <w:r>
        <w:rPr>
          <w:rFonts w:cs="Times New Roman"/>
          <w:lang w:val="sq-AL"/>
        </w:rPr>
        <w:t>të</w:t>
      </w:r>
      <w:r>
        <w:rPr>
          <w:rFonts w:cs="Times New Roman"/>
          <w:spacing w:val="-1"/>
          <w:lang w:val="sq-AL"/>
        </w:rPr>
        <w:t xml:space="preserve"> </w:t>
      </w:r>
      <w:r>
        <w:rPr>
          <w:rFonts w:cs="Times New Roman"/>
          <w:lang w:val="sq-AL"/>
        </w:rPr>
        <w:t>përbashkët</w:t>
      </w:r>
      <w:r>
        <w:rPr>
          <w:rFonts w:cs="Times New Roman"/>
          <w:spacing w:val="-7"/>
          <w:lang w:val="sq-AL"/>
        </w:rPr>
        <w:t xml:space="preserve"> </w:t>
      </w:r>
      <w:r>
        <w:rPr>
          <w:rFonts w:cs="Times New Roman"/>
          <w:lang w:val="sq-AL"/>
        </w:rPr>
        <w:t>të</w:t>
      </w:r>
      <w:r>
        <w:rPr>
          <w:rFonts w:cs="Times New Roman"/>
          <w:spacing w:val="-1"/>
          <w:lang w:val="sq-AL"/>
        </w:rPr>
        <w:t xml:space="preserve"> </w:t>
      </w:r>
      <w:r>
        <w:rPr>
          <w:rFonts w:cs="Times New Roman"/>
          <w:lang w:val="sq-AL"/>
        </w:rPr>
        <w:t>skenarëve</w:t>
      </w:r>
      <w:r>
        <w:rPr>
          <w:rFonts w:cs="Times New Roman"/>
          <w:spacing w:val="-7"/>
          <w:lang w:val="sq-AL"/>
        </w:rPr>
        <w:t xml:space="preserve"> </w:t>
      </w:r>
      <w:r>
        <w:rPr>
          <w:rFonts w:cs="Times New Roman"/>
          <w:lang w:val="sq-AL"/>
        </w:rPr>
        <w:t>që</w:t>
      </w:r>
      <w:r>
        <w:rPr>
          <w:rFonts w:cs="Times New Roman"/>
          <w:spacing w:val="-2"/>
          <w:lang w:val="sq-AL"/>
        </w:rPr>
        <w:t xml:space="preserve"> </w:t>
      </w:r>
      <w:r>
        <w:rPr>
          <w:rFonts w:cs="Times New Roman"/>
          <w:lang w:val="sq-AL"/>
        </w:rPr>
        <w:t>do</w:t>
      </w:r>
      <w:r>
        <w:rPr>
          <w:rFonts w:cs="Times New Roman"/>
          <w:spacing w:val="-2"/>
          <w:lang w:val="sq-AL"/>
        </w:rPr>
        <w:t xml:space="preserve"> </w:t>
      </w:r>
      <w:r>
        <w:rPr>
          <w:rFonts w:cs="Times New Roman"/>
          <w:lang w:val="sq-AL"/>
        </w:rPr>
        <w:t>të përdoren. Këto</w:t>
      </w:r>
      <w:r>
        <w:rPr>
          <w:rFonts w:cs="Times New Roman"/>
          <w:spacing w:val="-3"/>
          <w:lang w:val="sq-AL"/>
        </w:rPr>
        <w:t xml:space="preserve"> </w:t>
      </w:r>
      <w:r>
        <w:rPr>
          <w:rFonts w:cs="Times New Roman"/>
          <w:lang w:val="sq-AL"/>
        </w:rPr>
        <w:t>skenarë</w:t>
      </w:r>
      <w:r>
        <w:rPr>
          <w:rFonts w:cs="Times New Roman"/>
          <w:spacing w:val="-5"/>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respektojnë</w:t>
      </w:r>
      <w:r>
        <w:rPr>
          <w:rFonts w:cs="Times New Roman"/>
          <w:spacing w:val="-7"/>
          <w:lang w:val="sq-AL"/>
        </w:rPr>
        <w:t xml:space="preserve"> </w:t>
      </w:r>
      <w:r>
        <w:rPr>
          <w:rFonts w:cs="Times New Roman"/>
          <w:lang w:val="sq-AL"/>
        </w:rPr>
        <w:t>parimet</w:t>
      </w:r>
      <w:r>
        <w:rPr>
          <w:rFonts w:cs="Times New Roman"/>
          <w:spacing w:val="-5"/>
          <w:lang w:val="sq-AL"/>
        </w:rPr>
        <w:t xml:space="preserve"> </w:t>
      </w:r>
      <w:r>
        <w:rPr>
          <w:rFonts w:cs="Times New Roman"/>
          <w:lang w:val="sq-AL"/>
        </w:rPr>
        <w:t>e</w:t>
      </w:r>
      <w:r>
        <w:rPr>
          <w:rFonts w:cs="Times New Roman"/>
          <w:spacing w:val="-1"/>
          <w:lang w:val="sq-AL"/>
        </w:rPr>
        <w:t xml:space="preserve"> </w:t>
      </w:r>
      <w:r>
        <w:rPr>
          <w:rFonts w:cs="Times New Roman"/>
          <w:lang w:val="sq-AL"/>
        </w:rPr>
        <w:t>përcaktuara</w:t>
      </w:r>
      <w:r>
        <w:rPr>
          <w:rFonts w:cs="Times New Roman"/>
          <w:spacing w:val="-8"/>
          <w:lang w:val="sq-AL"/>
        </w:rPr>
        <w:t xml:space="preserve"> </w:t>
      </w:r>
      <w:r>
        <w:rPr>
          <w:rFonts w:cs="Times New Roman"/>
          <w:lang w:val="sq-AL"/>
        </w:rPr>
        <w:t>në</w:t>
      </w:r>
      <w:r>
        <w:rPr>
          <w:rFonts w:cs="Times New Roman"/>
          <w:spacing w:val="-2"/>
          <w:lang w:val="sq-AL"/>
        </w:rPr>
        <w:t xml:space="preserve"> </w:t>
      </w:r>
      <w:r>
        <w:rPr>
          <w:rFonts w:cs="Times New Roman"/>
          <w:lang w:val="sq-AL"/>
        </w:rPr>
        <w:t>paragrafin</w:t>
      </w:r>
      <w:r>
        <w:rPr>
          <w:rFonts w:cs="Times New Roman"/>
          <w:spacing w:val="-7"/>
          <w:lang w:val="sq-AL"/>
        </w:rPr>
        <w:t xml:space="preserve"> </w:t>
      </w:r>
      <w:r>
        <w:rPr>
          <w:rFonts w:cs="Times New Roman"/>
          <w:lang w:val="sq-AL"/>
        </w:rPr>
        <w:t>3, derisa</w:t>
      </w:r>
      <w:r>
        <w:rPr>
          <w:rFonts w:cs="Times New Roman"/>
          <w:spacing w:val="-4"/>
          <w:lang w:val="sq-AL"/>
        </w:rPr>
        <w:t xml:space="preserve"> </w:t>
      </w:r>
      <w:r>
        <w:rPr>
          <w:rFonts w:cs="Times New Roman"/>
          <w:lang w:val="sq-AL"/>
        </w:rPr>
        <w:t>këto</w:t>
      </w:r>
      <w:r>
        <w:rPr>
          <w:rFonts w:cs="Times New Roman"/>
          <w:spacing w:val="-3"/>
          <w:lang w:val="sq-AL"/>
        </w:rPr>
        <w:t xml:space="preserve"> </w:t>
      </w:r>
      <w:r>
        <w:rPr>
          <w:rFonts w:cs="Times New Roman"/>
          <w:lang w:val="sq-AL"/>
        </w:rPr>
        <w:t>skenarë të krijohen,</w:t>
      </w:r>
      <w:r>
        <w:rPr>
          <w:rFonts w:cs="Times New Roman"/>
          <w:spacing w:val="-5"/>
          <w:lang w:val="sq-AL"/>
        </w:rPr>
        <w:t xml:space="preserve"> </w:t>
      </w:r>
      <w:r>
        <w:rPr>
          <w:rFonts w:cs="Times New Roman"/>
          <w:lang w:val="sq-AL"/>
        </w:rPr>
        <w:t>çdo</w:t>
      </w:r>
      <w:r>
        <w:rPr>
          <w:rFonts w:cs="Times New Roman"/>
          <w:spacing w:val="-3"/>
          <w:lang w:val="sq-AL"/>
        </w:rPr>
        <w:t xml:space="preserve"> </w:t>
      </w:r>
      <w:r>
        <w:rPr>
          <w:rFonts w:cs="Times New Roman"/>
          <w:lang w:val="sq-AL"/>
        </w:rPr>
        <w:t>OST</w:t>
      </w:r>
      <w:r>
        <w:rPr>
          <w:rFonts w:cs="Times New Roman"/>
          <w:spacing w:val="-3"/>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përdorë</w:t>
      </w:r>
      <w:r>
        <w:rPr>
          <w:rFonts w:cs="Times New Roman"/>
          <w:spacing w:val="-5"/>
          <w:lang w:val="sq-AL"/>
        </w:rPr>
        <w:t xml:space="preserve"> </w:t>
      </w:r>
      <w:r>
        <w:rPr>
          <w:rFonts w:cs="Times New Roman"/>
          <w:lang w:val="sq-AL"/>
        </w:rPr>
        <w:t>si</w:t>
      </w:r>
      <w:r>
        <w:rPr>
          <w:rFonts w:cs="Times New Roman"/>
          <w:spacing w:val="-1"/>
          <w:lang w:val="sq-AL"/>
        </w:rPr>
        <w:t xml:space="preserve"> </w:t>
      </w:r>
      <w:r>
        <w:rPr>
          <w:rFonts w:cs="Times New Roman"/>
          <w:lang w:val="sq-AL"/>
        </w:rPr>
        <w:t>parazgjedhje skenarët</w:t>
      </w:r>
      <w:r>
        <w:rPr>
          <w:rFonts w:cs="Times New Roman"/>
          <w:spacing w:val="-6"/>
          <w:lang w:val="sq-AL"/>
        </w:rPr>
        <w:t xml:space="preserve"> </w:t>
      </w:r>
      <w:r>
        <w:rPr>
          <w:rFonts w:cs="Times New Roman"/>
          <w:lang w:val="sq-AL"/>
        </w:rPr>
        <w:t>në</w:t>
      </w:r>
      <w:r>
        <w:rPr>
          <w:rFonts w:cs="Times New Roman"/>
          <w:spacing w:val="-2"/>
          <w:lang w:val="sq-AL"/>
        </w:rPr>
        <w:t xml:space="preserve"> </w:t>
      </w:r>
      <w:r>
        <w:rPr>
          <w:rFonts w:cs="Times New Roman"/>
          <w:lang w:val="sq-AL"/>
        </w:rPr>
        <w:t>vijim:</w:t>
      </w:r>
    </w:p>
    <w:p w:rsidR="002F02C2" w:rsidRDefault="002F02C2" w:rsidP="002F02C2">
      <w:pPr>
        <w:pStyle w:val="Paragrafi"/>
        <w:rPr>
          <w:rFonts w:cs="Times New Roman"/>
          <w:lang w:val="sq-AL"/>
        </w:rPr>
      </w:pPr>
      <w:r>
        <w:rPr>
          <w:rFonts w:cs="Times New Roman"/>
          <w:lang w:val="sq-AL"/>
        </w:rPr>
        <w:t>a) Piku, e mërkura e tretë e të njëjtit muaj gjatë vitit të kaluar, ora 10:30.</w:t>
      </w:r>
    </w:p>
    <w:p w:rsidR="002F02C2" w:rsidRDefault="002F02C2" w:rsidP="002F02C2">
      <w:pPr>
        <w:pStyle w:val="Paragrafi"/>
        <w:rPr>
          <w:rFonts w:cs="Times New Roman"/>
          <w:lang w:val="sq-AL"/>
        </w:rPr>
      </w:pPr>
      <w:r>
        <w:rPr>
          <w:rFonts w:cs="Times New Roman"/>
          <w:lang w:val="sq-AL"/>
        </w:rPr>
        <w:t>b) Minimumi, e diela e dytë e të njëjtit muaj të vitit paraardhës, ora 03:30.</w:t>
      </w:r>
    </w:p>
    <w:p w:rsidR="002F02C2" w:rsidRDefault="002F02C2" w:rsidP="002F02C2">
      <w:pPr>
        <w:pStyle w:val="Paragrafi"/>
        <w:rPr>
          <w:rFonts w:cs="Times New Roman"/>
          <w:lang w:val="sq-AL"/>
        </w:rPr>
      </w:pPr>
      <w:r>
        <w:rPr>
          <w:rFonts w:cs="Times New Roman"/>
          <w:lang w:val="sq-AL"/>
        </w:rPr>
        <w:t>3. Parimet</w:t>
      </w:r>
      <w:r>
        <w:rPr>
          <w:rFonts w:cs="Times New Roman"/>
          <w:spacing w:val="10"/>
          <w:lang w:val="sq-AL"/>
        </w:rPr>
        <w:t xml:space="preserve"> </w:t>
      </w:r>
      <w:r>
        <w:rPr>
          <w:rFonts w:cs="Times New Roman"/>
          <w:lang w:val="sq-AL"/>
        </w:rPr>
        <w:t>e</w:t>
      </w:r>
      <w:r>
        <w:rPr>
          <w:rFonts w:cs="Times New Roman"/>
          <w:spacing w:val="2"/>
          <w:lang w:val="sq-AL"/>
        </w:rPr>
        <w:t xml:space="preserve"> </w:t>
      </w:r>
      <w:r>
        <w:rPr>
          <w:rFonts w:cs="Times New Roman"/>
          <w:lang w:val="sq-AL"/>
        </w:rPr>
        <w:t>mëposhtme</w:t>
      </w:r>
      <w:r>
        <w:rPr>
          <w:rFonts w:cs="Times New Roman"/>
          <w:spacing w:val="15"/>
          <w:lang w:val="sq-AL"/>
        </w:rPr>
        <w:t xml:space="preserve"> </w:t>
      </w:r>
      <w:r>
        <w:rPr>
          <w:rFonts w:cs="Times New Roman"/>
          <w:lang w:val="sq-AL"/>
        </w:rPr>
        <w:t>janë</w:t>
      </w:r>
      <w:r>
        <w:rPr>
          <w:rFonts w:cs="Times New Roman"/>
          <w:spacing w:val="6"/>
          <w:lang w:val="sq-AL"/>
        </w:rPr>
        <w:t xml:space="preserve"> </w:t>
      </w:r>
      <w:r>
        <w:rPr>
          <w:rFonts w:cs="Times New Roman"/>
          <w:lang w:val="sq-AL"/>
        </w:rPr>
        <w:t>të</w:t>
      </w:r>
      <w:r>
        <w:rPr>
          <w:rFonts w:cs="Times New Roman"/>
          <w:spacing w:val="3"/>
          <w:lang w:val="sq-AL"/>
        </w:rPr>
        <w:t xml:space="preserve"> </w:t>
      </w:r>
      <w:r>
        <w:rPr>
          <w:rFonts w:cs="Times New Roman"/>
          <w:lang w:val="sq-AL"/>
        </w:rPr>
        <w:t>zbatueshme</w:t>
      </w:r>
      <w:r>
        <w:rPr>
          <w:rFonts w:cs="Times New Roman"/>
          <w:spacing w:val="15"/>
          <w:lang w:val="sq-AL"/>
        </w:rPr>
        <w:t xml:space="preserve"> </w:t>
      </w:r>
      <w:r>
        <w:rPr>
          <w:rFonts w:cs="Times New Roman"/>
          <w:lang w:val="sq-AL"/>
        </w:rPr>
        <w:t>në</w:t>
      </w:r>
      <w:r>
        <w:rPr>
          <w:rFonts w:cs="Times New Roman"/>
          <w:spacing w:val="3"/>
          <w:lang w:val="sq-AL"/>
        </w:rPr>
        <w:t xml:space="preserve"> </w:t>
      </w:r>
      <w:r>
        <w:rPr>
          <w:rFonts w:cs="Times New Roman"/>
          <w:lang w:val="sq-AL"/>
        </w:rPr>
        <w:t>skenarët</w:t>
      </w:r>
      <w:r>
        <w:rPr>
          <w:rFonts w:cs="Times New Roman"/>
          <w:spacing w:val="13"/>
          <w:lang w:val="sq-AL"/>
        </w:rPr>
        <w:t xml:space="preserve"> për periudha</w:t>
      </w:r>
      <w:r>
        <w:rPr>
          <w:rFonts w:cs="Times New Roman"/>
          <w:spacing w:val="9"/>
          <w:lang w:val="sq-AL"/>
        </w:rPr>
        <w:t xml:space="preserve"> </w:t>
      </w:r>
      <w:r>
        <w:rPr>
          <w:rFonts w:cs="Times New Roman"/>
          <w:lang w:val="sq-AL"/>
        </w:rPr>
        <w:t>afatgjata kohore</w:t>
      </w:r>
      <w:r>
        <w:rPr>
          <w:rFonts w:cs="Times New Roman"/>
          <w:spacing w:val="11"/>
          <w:lang w:val="sq-AL"/>
        </w:rPr>
        <w:t xml:space="preserve"> </w:t>
      </w:r>
      <w:r>
        <w:rPr>
          <w:rFonts w:cs="Times New Roman"/>
          <w:lang w:val="sq-AL"/>
        </w:rPr>
        <w:t>të</w:t>
      </w:r>
      <w:r>
        <w:rPr>
          <w:rFonts w:cs="Times New Roman"/>
          <w:spacing w:val="3"/>
          <w:lang w:val="sq-AL"/>
        </w:rPr>
        <w:t xml:space="preserve"> </w:t>
      </w:r>
      <w:r>
        <w:rPr>
          <w:rFonts w:cs="Times New Roman"/>
          <w:lang w:val="sq-AL"/>
        </w:rPr>
        <w:t>cilat</w:t>
      </w:r>
      <w:r>
        <w:rPr>
          <w:rFonts w:cs="Times New Roman"/>
          <w:spacing w:val="6"/>
          <w:lang w:val="sq-AL"/>
        </w:rPr>
        <w:t xml:space="preserve"> </w:t>
      </w:r>
      <w:r>
        <w:rPr>
          <w:rFonts w:cs="Times New Roman"/>
          <w:lang w:val="sq-AL"/>
        </w:rPr>
        <w:lastRenderedPageBreak/>
        <w:t>janë</w:t>
      </w:r>
      <w:r>
        <w:rPr>
          <w:rFonts w:cs="Times New Roman"/>
          <w:spacing w:val="6"/>
          <w:lang w:val="sq-AL"/>
        </w:rPr>
        <w:t xml:space="preserve"> </w:t>
      </w:r>
      <w:r>
        <w:rPr>
          <w:rFonts w:cs="Times New Roman"/>
          <w:lang w:val="sq-AL"/>
        </w:rPr>
        <w:t>të</w:t>
      </w:r>
      <w:r>
        <w:rPr>
          <w:rFonts w:cs="Times New Roman"/>
          <w:spacing w:val="3"/>
          <w:lang w:val="sq-AL"/>
        </w:rPr>
        <w:t xml:space="preserve"> </w:t>
      </w:r>
      <w:r>
        <w:rPr>
          <w:rFonts w:cs="Times New Roman"/>
          <w:lang w:val="sq-AL"/>
        </w:rPr>
        <w:t>përcaktuara</w:t>
      </w:r>
      <w:r>
        <w:rPr>
          <w:rFonts w:cs="Times New Roman"/>
          <w:spacing w:val="15"/>
          <w:lang w:val="sq-AL"/>
        </w:rPr>
        <w:t xml:space="preserve"> </w:t>
      </w:r>
      <w:r>
        <w:rPr>
          <w:rFonts w:cs="Times New Roman"/>
          <w:w w:val="102"/>
          <w:lang w:val="sq-AL"/>
        </w:rPr>
        <w:t>nga të gjithë OST-të</w:t>
      </w:r>
      <w:r>
        <w:rPr>
          <w:rFonts w:cs="Times New Roman"/>
          <w:lang w:val="sq-AL"/>
        </w:rPr>
        <w:t xml:space="preserve"> në pajtim me paragrafin 1 dhe 2.</w:t>
      </w:r>
    </w:p>
    <w:p w:rsidR="002F02C2" w:rsidRDefault="002F02C2" w:rsidP="002F02C2">
      <w:pPr>
        <w:pStyle w:val="Paragrafi"/>
        <w:rPr>
          <w:rFonts w:cs="Times New Roman"/>
          <w:lang w:val="sq-AL"/>
        </w:rPr>
      </w:pPr>
      <w:r>
        <w:rPr>
          <w:rFonts w:cs="Times New Roman"/>
          <w:lang w:val="sq-AL"/>
        </w:rPr>
        <w:t>a) Situata e</w:t>
      </w:r>
      <w:r>
        <w:rPr>
          <w:rFonts w:cs="Times New Roman"/>
          <w:spacing w:val="-9"/>
          <w:lang w:val="sq-AL"/>
        </w:rPr>
        <w:t xml:space="preserve"> </w:t>
      </w:r>
      <w:r>
        <w:rPr>
          <w:rFonts w:cs="Times New Roman"/>
          <w:lang w:val="sq-AL"/>
        </w:rPr>
        <w:t>parashikuar</w:t>
      </w:r>
      <w:r>
        <w:rPr>
          <w:rFonts w:cs="Times New Roman"/>
          <w:spacing w:val="-14"/>
          <w:lang w:val="sq-AL"/>
        </w:rPr>
        <w:t xml:space="preserve"> </w:t>
      </w:r>
      <w:r>
        <w:rPr>
          <w:rFonts w:cs="Times New Roman"/>
          <w:lang w:val="sq-AL"/>
        </w:rPr>
        <w:t>për</w:t>
      </w:r>
      <w:r>
        <w:rPr>
          <w:rFonts w:cs="Times New Roman"/>
          <w:spacing w:val="-4"/>
          <w:lang w:val="sq-AL"/>
        </w:rPr>
        <w:t xml:space="preserve"> </w:t>
      </w:r>
      <w:r>
        <w:rPr>
          <w:rFonts w:cs="Times New Roman"/>
          <w:lang w:val="sq-AL"/>
        </w:rPr>
        <w:t>topologjinë e rrjetit</w:t>
      </w:r>
    </w:p>
    <w:p w:rsidR="002F02C2" w:rsidRDefault="002F02C2" w:rsidP="002F02C2">
      <w:pPr>
        <w:pStyle w:val="Paragrafi"/>
        <w:rPr>
          <w:rFonts w:cs="Times New Roman"/>
          <w:lang w:val="sq-AL"/>
        </w:rPr>
      </w:pPr>
      <w:r>
        <w:rPr>
          <w:rFonts w:cs="Times New Roman"/>
          <w:lang w:val="sq-AL"/>
        </w:rPr>
        <w:t>i. ndërprerjet, pavarësisht arsyes së ndërprerjes, ajo do të modelohet vetëm nëse elementi i rrjetit pritet të jetë në jashtë pune për të gjithë periudhën llogaritëse të kapacitetit në rastet e llogaritjes së kapacitetit një vit përpara dhe një muaj përpara;</w:t>
      </w:r>
    </w:p>
    <w:p w:rsidR="002F02C2" w:rsidRDefault="002F02C2" w:rsidP="002F02C2">
      <w:pPr>
        <w:pStyle w:val="Paragrafi"/>
        <w:rPr>
          <w:rFonts w:cs="Times New Roman"/>
          <w:lang w:val="sq-AL"/>
        </w:rPr>
      </w:pPr>
      <w:r>
        <w:rPr>
          <w:rFonts w:cs="Times New Roman"/>
          <w:lang w:val="sq-AL"/>
        </w:rPr>
        <w:t>ii. elementet e rrjetit që ndihmojnë rregullimin e tensionit do të përfshihen edhe pse ata mund të jenë të shkyçur për arsye operative;</w:t>
      </w:r>
    </w:p>
    <w:p w:rsidR="002F02C2" w:rsidRDefault="002F02C2" w:rsidP="002F02C2">
      <w:pPr>
        <w:pStyle w:val="Paragrafi"/>
        <w:rPr>
          <w:rFonts w:cs="Times New Roman"/>
          <w:lang w:val="sq-AL"/>
        </w:rPr>
      </w:pPr>
      <w:r>
        <w:rPr>
          <w:rFonts w:cs="Times New Roman"/>
          <w:lang w:val="sq-AL"/>
        </w:rPr>
        <w:t>iii. topologjia do të pasqyrojë gjendjen operative;</w:t>
      </w:r>
    </w:p>
    <w:p w:rsidR="002F02C2" w:rsidRDefault="002F02C2" w:rsidP="002F02C2">
      <w:pPr>
        <w:pStyle w:val="Paragrafi"/>
        <w:rPr>
          <w:rFonts w:cs="Times New Roman"/>
          <w:lang w:val="sq-AL"/>
        </w:rPr>
      </w:pPr>
      <w:r>
        <w:rPr>
          <w:rFonts w:cs="Times New Roman"/>
          <w:lang w:val="sq-AL"/>
        </w:rPr>
        <w:t>b) Ku të dhënat strukturore ndryshojnë gjatë periudhës kohore me të cilën lidhet skenari</w:t>
      </w:r>
    </w:p>
    <w:p w:rsidR="002F02C2" w:rsidRDefault="002F02C2" w:rsidP="002F02C2">
      <w:pPr>
        <w:pStyle w:val="Paragrafi"/>
        <w:rPr>
          <w:rFonts w:cs="Times New Roman"/>
          <w:lang w:val="sq-AL"/>
        </w:rPr>
      </w:pPr>
      <w:r>
        <w:rPr>
          <w:rFonts w:cs="Times New Roman"/>
          <w:lang w:val="sq-AL"/>
        </w:rPr>
        <w:t>i. elementet e rrjetit që shtohen ose hiqen do të përfshihen për të gjithë periudhën llogaritëse dhe do të hiqen nga topologjia e MIRR-së në të gjithë skenarët ku ata nuk janë të disponueshëm për të paktën një pjesë të kohëzgjatjes së periudhës llogaritëse;</w:t>
      </w:r>
    </w:p>
    <w:p w:rsidR="002F02C2" w:rsidRDefault="002F02C2" w:rsidP="002F02C2">
      <w:pPr>
        <w:pStyle w:val="Paragrafi"/>
        <w:rPr>
          <w:rFonts w:cs="Times New Roman"/>
          <w:lang w:val="sq-AL"/>
        </w:rPr>
      </w:pPr>
      <w:r>
        <w:rPr>
          <w:rFonts w:cs="Times New Roman"/>
          <w:lang w:val="sq-AL"/>
        </w:rPr>
        <w:t>ii. ndryshimet në karakteristikat e elementeve të rrjetit do të trajtohen duke përfshirë ato karakteristika, përdorimi i të cilave është më e kujdesshme nga pikëpamja e sigurisë operative;</w:t>
      </w:r>
    </w:p>
    <w:p w:rsidR="002F02C2" w:rsidRDefault="002F02C2" w:rsidP="002F02C2">
      <w:pPr>
        <w:pStyle w:val="Paragrafi"/>
        <w:rPr>
          <w:rFonts w:cs="Times New Roman"/>
          <w:lang w:val="sq-AL"/>
        </w:rPr>
      </w:pPr>
      <w:r>
        <w:rPr>
          <w:rFonts w:cs="Times New Roman"/>
          <w:lang w:val="sq-AL"/>
        </w:rPr>
        <w:t>c) Kufijtë</w:t>
      </w:r>
      <w:r>
        <w:rPr>
          <w:rFonts w:cs="Times New Roman"/>
          <w:spacing w:val="12"/>
          <w:lang w:val="sq-AL"/>
        </w:rPr>
        <w:t xml:space="preserve"> e </w:t>
      </w:r>
      <w:r>
        <w:rPr>
          <w:rFonts w:cs="Times New Roman"/>
          <w:w w:val="103"/>
          <w:lang w:val="sq-AL"/>
        </w:rPr>
        <w:t>operimit</w:t>
      </w:r>
    </w:p>
    <w:p w:rsidR="002F02C2" w:rsidRDefault="002F02C2" w:rsidP="002F02C2">
      <w:pPr>
        <w:pStyle w:val="Paragrafi"/>
        <w:rPr>
          <w:rFonts w:cs="Times New Roman"/>
          <w:lang w:val="sq-AL"/>
        </w:rPr>
      </w:pPr>
      <w:r>
        <w:rPr>
          <w:rFonts w:cs="Times New Roman"/>
          <w:lang w:val="sq-AL"/>
        </w:rPr>
        <w:t>i. çdo OST do të zbatojë kufijtë e duhur që korrespondojnë me sezonin e synuar për çdo element të rrjetit;</w:t>
      </w:r>
    </w:p>
    <w:p w:rsidR="002F02C2" w:rsidRDefault="002F02C2" w:rsidP="002F02C2">
      <w:pPr>
        <w:pStyle w:val="Paragrafi"/>
        <w:rPr>
          <w:rFonts w:cs="Times New Roman"/>
          <w:lang w:val="sq-AL"/>
        </w:rPr>
      </w:pPr>
      <w:r>
        <w:rPr>
          <w:rFonts w:cs="Times New Roman"/>
          <w:lang w:val="sq-AL"/>
        </w:rPr>
        <w:t>ii. për</w:t>
      </w:r>
      <w:r>
        <w:rPr>
          <w:rFonts w:cs="Times New Roman"/>
          <w:spacing w:val="5"/>
          <w:lang w:val="sq-AL"/>
        </w:rPr>
        <w:t xml:space="preserve"> </w:t>
      </w:r>
      <w:r>
        <w:rPr>
          <w:rFonts w:cs="Times New Roman"/>
          <w:lang w:val="sq-AL"/>
        </w:rPr>
        <w:t>kufijtë</w:t>
      </w:r>
      <w:r>
        <w:rPr>
          <w:rFonts w:cs="Times New Roman"/>
          <w:spacing w:val="9"/>
          <w:lang w:val="sq-AL"/>
        </w:rPr>
        <w:t xml:space="preserve"> </w:t>
      </w:r>
      <w:r>
        <w:rPr>
          <w:rFonts w:cs="Times New Roman"/>
          <w:lang w:val="sq-AL"/>
        </w:rPr>
        <w:t>termikë,</w:t>
      </w:r>
      <w:r>
        <w:rPr>
          <w:rFonts w:cs="Times New Roman"/>
          <w:spacing w:val="12"/>
          <w:lang w:val="sq-AL"/>
        </w:rPr>
        <w:t xml:space="preserve"> </w:t>
      </w:r>
      <w:r>
        <w:rPr>
          <w:rFonts w:cs="Times New Roman"/>
          <w:lang w:val="sq-AL"/>
        </w:rPr>
        <w:t>çdo</w:t>
      </w:r>
      <w:r>
        <w:rPr>
          <w:rFonts w:cs="Times New Roman"/>
          <w:spacing w:val="8"/>
          <w:lang w:val="sq-AL"/>
        </w:rPr>
        <w:t xml:space="preserve"> </w:t>
      </w:r>
      <w:r>
        <w:rPr>
          <w:rFonts w:cs="Times New Roman"/>
          <w:lang w:val="sq-AL"/>
        </w:rPr>
        <w:t>OST</w:t>
      </w:r>
      <w:r>
        <w:rPr>
          <w:rFonts w:cs="Times New Roman"/>
          <w:spacing w:val="7"/>
          <w:lang w:val="sq-AL"/>
        </w:rPr>
        <w:t xml:space="preserve"> </w:t>
      </w:r>
      <w:r>
        <w:rPr>
          <w:rFonts w:cs="Times New Roman"/>
          <w:lang w:val="sq-AL"/>
        </w:rPr>
        <w:t>do</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përdorë</w:t>
      </w:r>
      <w:r>
        <w:rPr>
          <w:rFonts w:cs="Times New Roman"/>
          <w:spacing w:val="11"/>
          <w:lang w:val="sq-AL"/>
        </w:rPr>
        <w:t xml:space="preserve"> </w:t>
      </w:r>
      <w:r>
        <w:rPr>
          <w:rFonts w:cs="Times New Roman"/>
          <w:lang w:val="sq-AL"/>
        </w:rPr>
        <w:t>PATL</w:t>
      </w:r>
      <w:r>
        <w:rPr>
          <w:rFonts w:cs="Times New Roman"/>
          <w:spacing w:val="10"/>
          <w:lang w:val="sq-AL"/>
        </w:rPr>
        <w:t xml:space="preserve"> </w:t>
      </w:r>
      <w:r>
        <w:rPr>
          <w:rFonts w:cs="Times New Roman"/>
          <w:lang w:val="sq-AL"/>
        </w:rPr>
        <w:t>dhe</w:t>
      </w:r>
      <w:r>
        <w:rPr>
          <w:rFonts w:cs="Times New Roman"/>
          <w:spacing w:val="6"/>
          <w:lang w:val="sq-AL"/>
        </w:rPr>
        <w:t xml:space="preserve"> </w:t>
      </w:r>
      <w:r>
        <w:rPr>
          <w:rFonts w:cs="Times New Roman"/>
          <w:w w:val="102"/>
          <w:lang w:val="sq-AL"/>
        </w:rPr>
        <w:t>TATL.</w:t>
      </w:r>
    </w:p>
    <w:p w:rsidR="002F02C2" w:rsidRDefault="002F02C2" w:rsidP="002F02C2">
      <w:pPr>
        <w:pStyle w:val="Paragrafi"/>
        <w:rPr>
          <w:rFonts w:cs="Times New Roman"/>
          <w:lang w:val="sq-AL"/>
        </w:rPr>
      </w:pPr>
      <w:r>
        <w:rPr>
          <w:rFonts w:cs="Times New Roman"/>
          <w:lang w:val="sq-AL"/>
        </w:rPr>
        <w:t>d) Në lidhje me situatën e parashikuar për gjenerimin</w:t>
      </w:r>
    </w:p>
    <w:p w:rsidR="002F02C2" w:rsidRDefault="002F02C2" w:rsidP="002F02C2">
      <w:pPr>
        <w:pStyle w:val="Paragrafi"/>
        <w:rPr>
          <w:rFonts w:cs="Times New Roman"/>
          <w:lang w:val="sq-AL"/>
        </w:rPr>
      </w:pPr>
      <w:r>
        <w:rPr>
          <w:rFonts w:cs="Times New Roman"/>
          <w:lang w:val="sq-AL"/>
        </w:rPr>
        <w:t>i. për gjenerimin e përhershëm, çdo OST do të përdorë parashikimin më të përshtatshëm;</w:t>
      </w:r>
    </w:p>
    <w:p w:rsidR="002F02C2" w:rsidRDefault="002F02C2" w:rsidP="002F02C2">
      <w:pPr>
        <w:pStyle w:val="Paragrafi"/>
        <w:rPr>
          <w:rFonts w:cs="Times New Roman"/>
          <w:lang w:val="sq-AL"/>
        </w:rPr>
      </w:pPr>
      <w:r>
        <w:rPr>
          <w:rFonts w:cs="Times New Roman"/>
          <w:lang w:val="sq-AL"/>
        </w:rPr>
        <w:t xml:space="preserve">ii. për gjenerimin e dispeçerueshëm, çdo OST do të marrë parasysh vetëm ndërprerjet e njohura, përndryshe të supozojë disponueshmërinë e gjenerimit të shpejtë dhe të rregullojë parashikimin e gjenerimit, duke marrë parasysh gjenerimin e përhershëm të parashikuar të tillë që ai të balancojë ngarkesën e parashikuar, humbjet e rrjetit dhe pozicionin neto. </w:t>
      </w:r>
    </w:p>
    <w:p w:rsidR="002F02C2" w:rsidRDefault="002F02C2" w:rsidP="002F02C2">
      <w:pPr>
        <w:pStyle w:val="Paragrafi"/>
        <w:rPr>
          <w:rFonts w:cs="Times New Roman"/>
          <w:lang w:val="sq-AL"/>
        </w:rPr>
      </w:pPr>
      <w:r>
        <w:rPr>
          <w:rFonts w:cs="Times New Roman"/>
          <w:lang w:val="sq-AL"/>
        </w:rPr>
        <w:t>e) Në lidhje me situatën e parashikuar për ngarkesën;</w:t>
      </w:r>
    </w:p>
    <w:p w:rsidR="002F02C2" w:rsidRDefault="002F02C2" w:rsidP="002F02C2">
      <w:pPr>
        <w:pStyle w:val="Paragrafi"/>
        <w:rPr>
          <w:rFonts w:cs="Times New Roman"/>
          <w:lang w:val="sq-AL"/>
        </w:rPr>
      </w:pPr>
      <w:r>
        <w:rPr>
          <w:rFonts w:cs="Times New Roman"/>
          <w:lang w:val="sq-AL"/>
        </w:rPr>
        <w:t>i. Çdo OST do të përdorë parashikimin më të mirë të ngarkesës</w:t>
      </w:r>
    </w:p>
    <w:p w:rsidR="002F02C2" w:rsidRDefault="002F02C2" w:rsidP="002F02C2">
      <w:pPr>
        <w:pStyle w:val="Paragrafi"/>
        <w:rPr>
          <w:rFonts w:cs="Times New Roman"/>
          <w:lang w:val="sq-AL"/>
        </w:rPr>
      </w:pPr>
      <w:r>
        <w:rPr>
          <w:rFonts w:cs="Times New Roman"/>
          <w:lang w:val="sq-AL"/>
        </w:rPr>
        <w:t>f) Në lidhje me pozicionin neto në secilën zonë ofertuese dhe fluksin për çdo linjë me rrymë të vazhduar.</w:t>
      </w:r>
    </w:p>
    <w:p w:rsidR="002F02C2" w:rsidRDefault="002F02C2" w:rsidP="002F02C2">
      <w:pPr>
        <w:pStyle w:val="Paragrafi"/>
        <w:rPr>
          <w:rFonts w:cs="Times New Roman"/>
          <w:lang w:val="sq-AL"/>
        </w:rPr>
      </w:pPr>
      <w:r>
        <w:rPr>
          <w:rFonts w:cs="Times New Roman"/>
          <w:lang w:val="sq-AL"/>
        </w:rPr>
        <w:t>i. çdo OST do të ndjekë metodën e përshkruar në nenin 19.</w:t>
      </w:r>
    </w:p>
    <w:p w:rsidR="002F02C2" w:rsidRDefault="002F02C2" w:rsidP="002F02C2">
      <w:pPr>
        <w:pStyle w:val="Paragrafi"/>
        <w:rPr>
          <w:rFonts w:cs="Times New Roman"/>
          <w:lang w:val="sq-AL"/>
        </w:rPr>
      </w:pPr>
      <w:r>
        <w:rPr>
          <w:rFonts w:cs="Times New Roman"/>
          <w:lang w:val="sq-AL"/>
        </w:rPr>
        <w:t>4. Pas</w:t>
      </w:r>
      <w:r>
        <w:rPr>
          <w:rFonts w:cs="Times New Roman"/>
          <w:spacing w:val="4"/>
          <w:lang w:val="sq-AL"/>
        </w:rPr>
        <w:t xml:space="preserve"> </w:t>
      </w:r>
      <w:r>
        <w:rPr>
          <w:rFonts w:cs="Times New Roman"/>
          <w:lang w:val="sq-AL"/>
        </w:rPr>
        <w:t>përcaktimit</w:t>
      </w:r>
      <w:r>
        <w:rPr>
          <w:rFonts w:cs="Times New Roman"/>
          <w:spacing w:val="8"/>
          <w:lang w:val="sq-AL"/>
        </w:rPr>
        <w:t xml:space="preserve"> të </w:t>
      </w:r>
      <w:r>
        <w:rPr>
          <w:rFonts w:cs="Times New Roman"/>
          <w:lang w:val="sq-AL"/>
        </w:rPr>
        <w:t>skenarëve</w:t>
      </w:r>
      <w:r>
        <w:rPr>
          <w:rFonts w:cs="Times New Roman"/>
          <w:spacing w:val="6"/>
          <w:lang w:val="sq-AL"/>
        </w:rPr>
        <w:t xml:space="preserve"> </w:t>
      </w:r>
      <w:r>
        <w:rPr>
          <w:rFonts w:cs="Times New Roman"/>
          <w:lang w:val="sq-AL"/>
        </w:rPr>
        <w:t>për</w:t>
      </w:r>
      <w:r>
        <w:rPr>
          <w:rFonts w:cs="Times New Roman"/>
          <w:spacing w:val="3"/>
          <w:lang w:val="sq-AL"/>
        </w:rPr>
        <w:t xml:space="preserve"> periudhat</w:t>
      </w:r>
      <w:r>
        <w:rPr>
          <w:rFonts w:cs="Times New Roman"/>
          <w:spacing w:val="6"/>
          <w:lang w:val="sq-AL"/>
        </w:rPr>
        <w:t xml:space="preserve"> </w:t>
      </w:r>
      <w:r>
        <w:rPr>
          <w:rFonts w:cs="Times New Roman"/>
          <w:lang w:val="sq-AL"/>
        </w:rPr>
        <w:t>afatgjata</w:t>
      </w:r>
      <w:r>
        <w:rPr>
          <w:rFonts w:cs="Times New Roman"/>
          <w:spacing w:val="7"/>
          <w:lang w:val="sq-AL"/>
        </w:rPr>
        <w:t xml:space="preserve"> </w:t>
      </w:r>
      <w:r>
        <w:rPr>
          <w:rFonts w:cs="Times New Roman"/>
          <w:lang w:val="sq-AL"/>
        </w:rPr>
        <w:t>në</w:t>
      </w:r>
      <w:r>
        <w:rPr>
          <w:rFonts w:cs="Times New Roman"/>
          <w:spacing w:val="3"/>
          <w:lang w:val="sq-AL"/>
        </w:rPr>
        <w:t xml:space="preserve"> </w:t>
      </w:r>
      <w:r>
        <w:rPr>
          <w:rFonts w:cs="Times New Roman"/>
          <w:lang w:val="sq-AL"/>
        </w:rPr>
        <w:t>pajtim</w:t>
      </w:r>
      <w:r>
        <w:rPr>
          <w:rFonts w:cs="Times New Roman"/>
          <w:spacing w:val="5"/>
          <w:lang w:val="sq-AL"/>
        </w:rPr>
        <w:t xml:space="preserve"> </w:t>
      </w:r>
      <w:r>
        <w:rPr>
          <w:rFonts w:cs="Times New Roman"/>
          <w:lang w:val="sq-AL"/>
        </w:rPr>
        <w:t>me</w:t>
      </w:r>
      <w:r>
        <w:rPr>
          <w:rFonts w:cs="Times New Roman"/>
          <w:spacing w:val="3"/>
          <w:lang w:val="sq-AL"/>
        </w:rPr>
        <w:t xml:space="preserve"> </w:t>
      </w:r>
      <w:r>
        <w:rPr>
          <w:rFonts w:cs="Times New Roman"/>
          <w:lang w:val="sq-AL"/>
        </w:rPr>
        <w:t>paragrafin</w:t>
      </w:r>
      <w:r>
        <w:rPr>
          <w:rFonts w:cs="Times New Roman"/>
          <w:spacing w:val="8"/>
          <w:lang w:val="sq-AL"/>
        </w:rPr>
        <w:t xml:space="preserve"> </w:t>
      </w:r>
      <w:r>
        <w:rPr>
          <w:rFonts w:cs="Times New Roman"/>
          <w:lang w:val="sq-AL"/>
        </w:rPr>
        <w:t>1</w:t>
      </w:r>
      <w:r>
        <w:rPr>
          <w:rFonts w:cs="Times New Roman"/>
          <w:spacing w:val="3"/>
          <w:lang w:val="sq-AL"/>
        </w:rPr>
        <w:t xml:space="preserve"> </w:t>
      </w:r>
      <w:r>
        <w:rPr>
          <w:rFonts w:cs="Times New Roman"/>
          <w:lang w:val="sq-AL"/>
        </w:rPr>
        <w:t>ose</w:t>
      </w:r>
      <w:r>
        <w:rPr>
          <w:rFonts w:cs="Times New Roman"/>
          <w:spacing w:val="3"/>
          <w:lang w:val="sq-AL"/>
        </w:rPr>
        <w:t xml:space="preserve"> </w:t>
      </w:r>
      <w:r>
        <w:rPr>
          <w:rFonts w:cs="Times New Roman"/>
          <w:lang w:val="sq-AL"/>
        </w:rPr>
        <w:t>2,</w:t>
      </w:r>
      <w:r>
        <w:rPr>
          <w:rFonts w:cs="Times New Roman"/>
          <w:spacing w:val="3"/>
          <w:lang w:val="sq-AL"/>
        </w:rPr>
        <w:t xml:space="preserve"> </w:t>
      </w:r>
      <w:r>
        <w:rPr>
          <w:rFonts w:cs="Times New Roman"/>
          <w:lang w:val="sq-AL"/>
        </w:rPr>
        <w:t>në</w:t>
      </w:r>
      <w:r>
        <w:rPr>
          <w:rFonts w:cs="Times New Roman"/>
          <w:spacing w:val="10"/>
          <w:lang w:val="sq-AL"/>
        </w:rPr>
        <w:t xml:space="preserve"> </w:t>
      </w:r>
      <w:r>
        <w:rPr>
          <w:rFonts w:cs="Times New Roman"/>
          <w:lang w:val="sq-AL"/>
        </w:rPr>
        <w:t>përputhje</w:t>
      </w:r>
      <w:r>
        <w:rPr>
          <w:rFonts w:cs="Times New Roman"/>
          <w:spacing w:val="33"/>
          <w:lang w:val="sq-AL"/>
        </w:rPr>
        <w:t xml:space="preserve"> </w:t>
      </w:r>
      <w:r>
        <w:rPr>
          <w:rFonts w:cs="Times New Roman"/>
          <w:lang w:val="sq-AL"/>
        </w:rPr>
        <w:t>me</w:t>
      </w:r>
      <w:r>
        <w:rPr>
          <w:rFonts w:cs="Times New Roman"/>
          <w:spacing w:val="12"/>
          <w:lang w:val="sq-AL"/>
        </w:rPr>
        <w:t xml:space="preserve"> </w:t>
      </w:r>
      <w:r>
        <w:rPr>
          <w:rFonts w:cs="Times New Roman"/>
          <w:lang w:val="sq-AL"/>
        </w:rPr>
        <w:t>parimet</w:t>
      </w:r>
      <w:r>
        <w:rPr>
          <w:rFonts w:cs="Times New Roman"/>
          <w:spacing w:val="27"/>
          <w:lang w:val="sq-AL"/>
        </w:rPr>
        <w:t xml:space="preserve"> </w:t>
      </w:r>
      <w:r>
        <w:rPr>
          <w:rFonts w:cs="Times New Roman"/>
          <w:lang w:val="sq-AL"/>
        </w:rPr>
        <w:t>e</w:t>
      </w:r>
      <w:r>
        <w:rPr>
          <w:rFonts w:cs="Times New Roman"/>
          <w:spacing w:val="6"/>
          <w:lang w:val="sq-AL"/>
        </w:rPr>
        <w:t xml:space="preserve"> </w:t>
      </w:r>
      <w:r>
        <w:rPr>
          <w:rFonts w:cs="Times New Roman"/>
          <w:lang w:val="sq-AL"/>
        </w:rPr>
        <w:t>përcaktuara</w:t>
      </w:r>
      <w:r>
        <w:rPr>
          <w:rFonts w:cs="Times New Roman"/>
          <w:spacing w:val="42"/>
          <w:lang w:val="sq-AL"/>
        </w:rPr>
        <w:t xml:space="preserve"> </w:t>
      </w:r>
      <w:r>
        <w:rPr>
          <w:rFonts w:cs="Times New Roman"/>
          <w:lang w:val="sq-AL"/>
        </w:rPr>
        <w:t>në</w:t>
      </w:r>
      <w:r>
        <w:rPr>
          <w:rFonts w:cs="Times New Roman"/>
          <w:spacing w:val="10"/>
          <w:lang w:val="sq-AL"/>
        </w:rPr>
        <w:t xml:space="preserve"> </w:t>
      </w:r>
      <w:r>
        <w:rPr>
          <w:rFonts w:cs="Times New Roman"/>
          <w:lang w:val="sq-AL"/>
        </w:rPr>
        <w:t>paragrafin</w:t>
      </w:r>
      <w:r>
        <w:rPr>
          <w:rFonts w:cs="Times New Roman"/>
          <w:spacing w:val="36"/>
          <w:lang w:val="sq-AL"/>
        </w:rPr>
        <w:t xml:space="preserve"> </w:t>
      </w:r>
      <w:r>
        <w:rPr>
          <w:rFonts w:cs="Times New Roman"/>
          <w:lang w:val="sq-AL"/>
        </w:rPr>
        <w:t>3,</w:t>
      </w:r>
      <w:r>
        <w:rPr>
          <w:rFonts w:cs="Times New Roman"/>
          <w:spacing w:val="13"/>
          <w:lang w:val="sq-AL"/>
        </w:rPr>
        <w:t xml:space="preserve"> </w:t>
      </w:r>
      <w:r>
        <w:rPr>
          <w:rFonts w:cs="Times New Roman"/>
          <w:lang w:val="sq-AL"/>
        </w:rPr>
        <w:t>të gjithë OST-të, do</w:t>
      </w:r>
      <w:r>
        <w:rPr>
          <w:rFonts w:cs="Times New Roman"/>
          <w:spacing w:val="10"/>
          <w:lang w:val="sq-AL"/>
        </w:rPr>
        <w:t xml:space="preserve"> </w:t>
      </w:r>
      <w:r>
        <w:rPr>
          <w:rFonts w:cs="Times New Roman"/>
          <w:lang w:val="sq-AL"/>
        </w:rPr>
        <w:t>të</w:t>
      </w:r>
      <w:r>
        <w:rPr>
          <w:rFonts w:cs="Times New Roman"/>
          <w:spacing w:val="8"/>
          <w:lang w:val="sq-AL"/>
        </w:rPr>
        <w:t xml:space="preserve"> </w:t>
      </w:r>
      <w:r>
        <w:rPr>
          <w:rFonts w:cs="Times New Roman"/>
          <w:lang w:val="sq-AL"/>
        </w:rPr>
        <w:t xml:space="preserve">publikojnë në </w:t>
      </w:r>
      <w:r>
        <w:rPr>
          <w:rFonts w:cs="Times New Roman"/>
          <w:i/>
          <w:lang w:val="sq-AL"/>
        </w:rPr>
        <w:t>web</w:t>
      </w:r>
      <w:r>
        <w:rPr>
          <w:rFonts w:cs="Times New Roman"/>
          <w:spacing w:val="32"/>
          <w:lang w:val="sq-AL"/>
        </w:rPr>
        <w:t xml:space="preserve"> </w:t>
      </w:r>
      <w:r>
        <w:rPr>
          <w:rFonts w:cs="Times New Roman"/>
          <w:lang w:val="sq-AL"/>
        </w:rPr>
        <w:t>përshkrime</w:t>
      </w:r>
      <w:r>
        <w:rPr>
          <w:rFonts w:cs="Times New Roman"/>
          <w:spacing w:val="39"/>
          <w:lang w:val="sq-AL"/>
        </w:rPr>
        <w:t xml:space="preserve"> </w:t>
      </w:r>
      <w:r>
        <w:rPr>
          <w:rFonts w:cs="Times New Roman"/>
          <w:lang w:val="sq-AL"/>
        </w:rPr>
        <w:t>të</w:t>
      </w:r>
      <w:r>
        <w:rPr>
          <w:rFonts w:cs="Times New Roman"/>
          <w:spacing w:val="8"/>
          <w:lang w:val="sq-AL"/>
        </w:rPr>
        <w:t xml:space="preserve"> </w:t>
      </w:r>
      <w:r>
        <w:rPr>
          <w:rFonts w:cs="Times New Roman"/>
          <w:lang w:val="sq-AL"/>
        </w:rPr>
        <w:t>hollësishme</w:t>
      </w:r>
      <w:r>
        <w:rPr>
          <w:rFonts w:cs="Times New Roman"/>
          <w:spacing w:val="42"/>
          <w:lang w:val="sq-AL"/>
        </w:rPr>
        <w:t xml:space="preserve"> </w:t>
      </w:r>
      <w:r>
        <w:rPr>
          <w:rFonts w:cs="Times New Roman"/>
          <w:lang w:val="sq-AL"/>
        </w:rPr>
        <w:t>të</w:t>
      </w:r>
      <w:r>
        <w:rPr>
          <w:rFonts w:cs="Times New Roman"/>
          <w:spacing w:val="8"/>
          <w:lang w:val="sq-AL"/>
        </w:rPr>
        <w:t xml:space="preserve"> </w:t>
      </w:r>
      <w:r>
        <w:rPr>
          <w:rFonts w:cs="Times New Roman"/>
          <w:lang w:val="sq-AL"/>
        </w:rPr>
        <w:t>këtyre</w:t>
      </w:r>
      <w:r>
        <w:rPr>
          <w:rFonts w:cs="Times New Roman"/>
          <w:spacing w:val="22"/>
          <w:lang w:val="sq-AL"/>
        </w:rPr>
        <w:t xml:space="preserve"> </w:t>
      </w:r>
      <w:r>
        <w:rPr>
          <w:rFonts w:cs="Times New Roman"/>
          <w:lang w:val="sq-AL"/>
        </w:rPr>
        <w:t>skenarëve jo më vonë se 15</w:t>
      </w:r>
      <w:r>
        <w:rPr>
          <w:rFonts w:cs="Times New Roman"/>
          <w:spacing w:val="10"/>
          <w:lang w:val="sq-AL"/>
        </w:rPr>
        <w:t xml:space="preserve"> </w:t>
      </w:r>
      <w:r>
        <w:rPr>
          <w:rFonts w:cs="Times New Roman"/>
          <w:lang w:val="sq-AL"/>
        </w:rPr>
        <w:t>korriku i vitit</w:t>
      </w:r>
      <w:r>
        <w:rPr>
          <w:rFonts w:cs="Times New Roman"/>
          <w:spacing w:val="13"/>
          <w:lang w:val="sq-AL"/>
        </w:rPr>
        <w:t xml:space="preserve"> që </w:t>
      </w:r>
      <w:r>
        <w:rPr>
          <w:rFonts w:cs="Times New Roman"/>
          <w:lang w:val="sq-AL"/>
        </w:rPr>
        <w:t>paraprin,</w:t>
      </w:r>
      <w:r>
        <w:rPr>
          <w:rFonts w:cs="Times New Roman"/>
          <w:spacing w:val="29"/>
          <w:lang w:val="sq-AL"/>
        </w:rPr>
        <w:t xml:space="preserve"> </w:t>
      </w:r>
      <w:r>
        <w:rPr>
          <w:rFonts w:cs="Times New Roman"/>
          <w:lang w:val="sq-AL"/>
        </w:rPr>
        <w:t>vitin</w:t>
      </w:r>
      <w:r>
        <w:rPr>
          <w:rFonts w:cs="Times New Roman"/>
          <w:spacing w:val="9"/>
          <w:lang w:val="sq-AL"/>
        </w:rPr>
        <w:t xml:space="preserve"> </w:t>
      </w:r>
      <w:r>
        <w:rPr>
          <w:rFonts w:cs="Times New Roman"/>
          <w:lang w:val="sq-AL"/>
        </w:rPr>
        <w:t>për</w:t>
      </w:r>
      <w:r>
        <w:rPr>
          <w:rFonts w:cs="Times New Roman"/>
          <w:spacing w:val="13"/>
          <w:lang w:val="sq-AL"/>
        </w:rPr>
        <w:t xml:space="preserve"> </w:t>
      </w:r>
      <w:r>
        <w:rPr>
          <w:rFonts w:cs="Times New Roman"/>
          <w:lang w:val="sq-AL"/>
        </w:rPr>
        <w:t>të</w:t>
      </w:r>
      <w:r>
        <w:rPr>
          <w:rFonts w:cs="Times New Roman"/>
          <w:spacing w:val="8"/>
          <w:lang w:val="sq-AL"/>
        </w:rPr>
        <w:t xml:space="preserve"> </w:t>
      </w:r>
      <w:r>
        <w:rPr>
          <w:rFonts w:cs="Times New Roman"/>
          <w:lang w:val="sq-AL"/>
        </w:rPr>
        <w:t>cilën</w:t>
      </w:r>
      <w:r>
        <w:rPr>
          <w:rFonts w:cs="Times New Roman"/>
          <w:spacing w:val="17"/>
          <w:lang w:val="sq-AL"/>
        </w:rPr>
        <w:t xml:space="preserve"> </w:t>
      </w:r>
      <w:r>
        <w:rPr>
          <w:rFonts w:cs="Times New Roman"/>
          <w:lang w:val="sq-AL"/>
        </w:rPr>
        <w:t>skenarët</w:t>
      </w:r>
      <w:r>
        <w:rPr>
          <w:rFonts w:cs="Times New Roman"/>
          <w:spacing w:val="31"/>
          <w:lang w:val="sq-AL"/>
        </w:rPr>
        <w:t xml:space="preserve"> </w:t>
      </w:r>
      <w:r>
        <w:rPr>
          <w:rFonts w:cs="Times New Roman"/>
          <w:lang w:val="sq-AL"/>
        </w:rPr>
        <w:t>zbatohen</w:t>
      </w:r>
      <w:r>
        <w:rPr>
          <w:rFonts w:cs="Times New Roman"/>
          <w:spacing w:val="33"/>
          <w:lang w:val="sq-AL"/>
        </w:rPr>
        <w:t xml:space="preserve"> </w:t>
      </w:r>
      <w:r>
        <w:rPr>
          <w:rFonts w:cs="Times New Roman"/>
          <w:lang w:val="sq-AL"/>
        </w:rPr>
        <w:t>në</w:t>
      </w:r>
      <w:r>
        <w:rPr>
          <w:rFonts w:cs="Times New Roman"/>
          <w:spacing w:val="10"/>
          <w:lang w:val="sq-AL"/>
        </w:rPr>
        <w:t xml:space="preserve"> </w:t>
      </w:r>
      <w:r>
        <w:rPr>
          <w:rFonts w:cs="Times New Roman"/>
          <w:lang w:val="sq-AL"/>
        </w:rPr>
        <w:t>rastin</w:t>
      </w:r>
      <w:r>
        <w:rPr>
          <w:rFonts w:cs="Times New Roman"/>
          <w:spacing w:val="20"/>
          <w:lang w:val="sq-AL"/>
        </w:rPr>
        <w:t xml:space="preserve"> </w:t>
      </w:r>
      <w:r>
        <w:rPr>
          <w:rFonts w:cs="Times New Roman"/>
          <w:lang w:val="sq-AL"/>
        </w:rPr>
        <w:t>e</w:t>
      </w:r>
      <w:r>
        <w:rPr>
          <w:rFonts w:cs="Times New Roman"/>
          <w:spacing w:val="6"/>
          <w:lang w:val="sq-AL"/>
        </w:rPr>
        <w:t xml:space="preserve"> </w:t>
      </w:r>
      <w:r>
        <w:rPr>
          <w:rFonts w:cs="Times New Roman"/>
          <w:lang w:val="sq-AL"/>
        </w:rPr>
        <w:t>skenarëve</w:t>
      </w:r>
      <w:r>
        <w:rPr>
          <w:rFonts w:cs="Times New Roman"/>
          <w:spacing w:val="37"/>
          <w:lang w:val="sq-AL"/>
        </w:rPr>
        <w:t xml:space="preserve"> </w:t>
      </w:r>
      <w:r>
        <w:rPr>
          <w:lang w:val="sq-AL"/>
        </w:rPr>
        <w:t>të</w:t>
      </w:r>
      <w:r>
        <w:rPr>
          <w:rFonts w:cs="Times New Roman"/>
          <w:spacing w:val="37"/>
          <w:lang w:val="sq-AL"/>
        </w:rPr>
        <w:t xml:space="preserve"> </w:t>
      </w:r>
      <w:r>
        <w:rPr>
          <w:rFonts w:cs="Times New Roman"/>
          <w:lang w:val="sq-AL"/>
        </w:rPr>
        <w:t>vitit në avancë</w:t>
      </w:r>
      <w:r>
        <w:rPr>
          <w:rFonts w:cs="Times New Roman"/>
          <w:spacing w:val="28"/>
          <w:lang w:val="sq-AL"/>
        </w:rPr>
        <w:t xml:space="preserve"> </w:t>
      </w:r>
      <w:r>
        <w:rPr>
          <w:rFonts w:cs="Times New Roman"/>
          <w:lang w:val="sq-AL"/>
        </w:rPr>
        <w:t>dhe</w:t>
      </w:r>
      <w:r>
        <w:rPr>
          <w:rFonts w:cs="Times New Roman"/>
          <w:spacing w:val="14"/>
          <w:lang w:val="sq-AL"/>
        </w:rPr>
        <w:t xml:space="preserve"> </w:t>
      </w:r>
      <w:r>
        <w:rPr>
          <w:rFonts w:cs="Times New Roman"/>
          <w:lang w:val="sq-AL"/>
        </w:rPr>
        <w:t>nga</w:t>
      </w:r>
      <w:r>
        <w:rPr>
          <w:rFonts w:cs="Times New Roman"/>
          <w:spacing w:val="14"/>
          <w:lang w:val="sq-AL"/>
        </w:rPr>
        <w:t xml:space="preserve"> </w:t>
      </w:r>
      <w:r>
        <w:rPr>
          <w:rFonts w:cs="Times New Roman"/>
          <w:w w:val="105"/>
          <w:lang w:val="sq-AL"/>
        </w:rPr>
        <w:t xml:space="preserve">pesëmbëdhjetë </w:t>
      </w:r>
      <w:r>
        <w:rPr>
          <w:rFonts w:cs="Times New Roman"/>
          <w:lang w:val="sq-AL"/>
        </w:rPr>
        <w:t>ditë</w:t>
      </w:r>
      <w:r>
        <w:rPr>
          <w:rFonts w:cs="Times New Roman"/>
          <w:spacing w:val="14"/>
          <w:lang w:val="sq-AL"/>
        </w:rPr>
        <w:t xml:space="preserve"> </w:t>
      </w:r>
      <w:r>
        <w:rPr>
          <w:rFonts w:cs="Times New Roman"/>
          <w:lang w:val="sq-AL"/>
        </w:rPr>
        <w:t>para</w:t>
      </w:r>
      <w:r>
        <w:rPr>
          <w:rFonts w:cs="Times New Roman"/>
          <w:spacing w:val="17"/>
          <w:lang w:val="sq-AL"/>
        </w:rPr>
        <w:t xml:space="preserve"> </w:t>
      </w:r>
      <w:r>
        <w:rPr>
          <w:rFonts w:cs="Times New Roman"/>
          <w:lang w:val="sq-AL"/>
        </w:rPr>
        <w:t>fillimit</w:t>
      </w:r>
      <w:r>
        <w:rPr>
          <w:rFonts w:cs="Times New Roman"/>
          <w:spacing w:val="21"/>
          <w:lang w:val="sq-AL"/>
        </w:rPr>
        <w:t xml:space="preserve"> </w:t>
      </w:r>
      <w:r>
        <w:rPr>
          <w:rFonts w:cs="Times New Roman"/>
          <w:w w:val="105"/>
          <w:lang w:val="sq-AL"/>
        </w:rPr>
        <w:t xml:space="preserve">të </w:t>
      </w:r>
      <w:r>
        <w:rPr>
          <w:rFonts w:cs="Times New Roman"/>
          <w:lang w:val="sq-AL"/>
        </w:rPr>
        <w:t>muajit në</w:t>
      </w:r>
      <w:r>
        <w:rPr>
          <w:rFonts w:cs="Times New Roman"/>
          <w:spacing w:val="22"/>
          <w:lang w:val="sq-AL"/>
        </w:rPr>
        <w:t xml:space="preserve"> </w:t>
      </w:r>
      <w:r>
        <w:rPr>
          <w:rFonts w:cs="Times New Roman"/>
          <w:lang w:val="sq-AL"/>
        </w:rPr>
        <w:t>të</w:t>
      </w:r>
      <w:r>
        <w:rPr>
          <w:rFonts w:cs="Times New Roman"/>
          <w:spacing w:val="8"/>
          <w:lang w:val="sq-AL"/>
        </w:rPr>
        <w:t xml:space="preserve"> </w:t>
      </w:r>
      <w:r>
        <w:rPr>
          <w:rFonts w:cs="Times New Roman"/>
          <w:lang w:val="sq-AL"/>
        </w:rPr>
        <w:t>cilën</w:t>
      </w:r>
      <w:r>
        <w:rPr>
          <w:rFonts w:cs="Times New Roman"/>
          <w:spacing w:val="17"/>
          <w:lang w:val="sq-AL"/>
        </w:rPr>
        <w:t xml:space="preserve"> </w:t>
      </w:r>
      <w:r>
        <w:rPr>
          <w:rFonts w:cs="Times New Roman"/>
          <w:lang w:val="sq-AL"/>
        </w:rPr>
        <w:t>skenarët</w:t>
      </w:r>
      <w:r>
        <w:rPr>
          <w:rFonts w:cs="Times New Roman"/>
          <w:spacing w:val="31"/>
          <w:lang w:val="sq-AL"/>
        </w:rPr>
        <w:t xml:space="preserve"> </w:t>
      </w:r>
      <w:r>
        <w:rPr>
          <w:rFonts w:cs="Times New Roman"/>
          <w:lang w:val="sq-AL"/>
        </w:rPr>
        <w:t>aplikohen</w:t>
      </w:r>
      <w:r>
        <w:rPr>
          <w:rFonts w:cs="Times New Roman"/>
          <w:spacing w:val="34"/>
          <w:lang w:val="sq-AL"/>
        </w:rPr>
        <w:t xml:space="preserve"> </w:t>
      </w:r>
      <w:r>
        <w:rPr>
          <w:rFonts w:cs="Times New Roman"/>
          <w:lang w:val="sq-AL"/>
        </w:rPr>
        <w:t>në</w:t>
      </w:r>
      <w:r>
        <w:rPr>
          <w:rFonts w:cs="Times New Roman"/>
          <w:spacing w:val="10"/>
          <w:lang w:val="sq-AL"/>
        </w:rPr>
        <w:t xml:space="preserve"> </w:t>
      </w:r>
      <w:r>
        <w:rPr>
          <w:rFonts w:cs="Times New Roman"/>
          <w:lang w:val="sq-AL"/>
        </w:rPr>
        <w:t>rastin</w:t>
      </w:r>
      <w:r>
        <w:rPr>
          <w:rFonts w:cs="Times New Roman"/>
          <w:spacing w:val="20"/>
          <w:lang w:val="sq-AL"/>
        </w:rPr>
        <w:t xml:space="preserve"> </w:t>
      </w:r>
      <w:r>
        <w:rPr>
          <w:rFonts w:cs="Times New Roman"/>
          <w:lang w:val="sq-AL"/>
        </w:rPr>
        <w:t>e</w:t>
      </w:r>
      <w:r>
        <w:rPr>
          <w:rFonts w:cs="Times New Roman"/>
          <w:spacing w:val="6"/>
          <w:lang w:val="sq-AL"/>
        </w:rPr>
        <w:t xml:space="preserve"> </w:t>
      </w:r>
      <w:r>
        <w:rPr>
          <w:rFonts w:cs="Times New Roman"/>
          <w:lang w:val="sq-AL"/>
        </w:rPr>
        <w:t>skenarëve</w:t>
      </w:r>
      <w:r>
        <w:rPr>
          <w:rFonts w:cs="Times New Roman"/>
          <w:spacing w:val="37"/>
          <w:lang w:val="sq-AL"/>
        </w:rPr>
        <w:t xml:space="preserve"> </w:t>
      </w:r>
      <w:r>
        <w:rPr>
          <w:lang w:val="sq-AL"/>
        </w:rPr>
        <w:t>të</w:t>
      </w:r>
      <w:r>
        <w:rPr>
          <w:rFonts w:cs="Times New Roman"/>
          <w:spacing w:val="37"/>
          <w:lang w:val="sq-AL"/>
        </w:rPr>
        <w:t xml:space="preserve"> </w:t>
      </w:r>
      <w:r>
        <w:rPr>
          <w:rFonts w:cs="Times New Roman"/>
          <w:lang w:val="sq-AL"/>
        </w:rPr>
        <w:t xml:space="preserve">muajit në avancë. </w:t>
      </w:r>
      <w:r>
        <w:rPr>
          <w:rFonts w:cs="Times New Roman"/>
          <w:w w:val="105"/>
          <w:lang w:val="sq-AL"/>
        </w:rPr>
        <w:t xml:space="preserve">Publikimi </w:t>
      </w:r>
      <w:r>
        <w:rPr>
          <w:rFonts w:cs="Times New Roman"/>
          <w:lang w:val="sq-AL"/>
        </w:rPr>
        <w:t>do</w:t>
      </w:r>
      <w:r>
        <w:rPr>
          <w:rFonts w:cs="Times New Roman"/>
          <w:spacing w:val="10"/>
          <w:lang w:val="sq-AL"/>
        </w:rPr>
        <w:t xml:space="preserve"> </w:t>
      </w:r>
      <w:r>
        <w:rPr>
          <w:rFonts w:cs="Times New Roman"/>
          <w:lang w:val="sq-AL"/>
        </w:rPr>
        <w:t>të</w:t>
      </w:r>
      <w:r>
        <w:rPr>
          <w:rFonts w:cs="Times New Roman"/>
          <w:spacing w:val="8"/>
          <w:lang w:val="sq-AL"/>
        </w:rPr>
        <w:t xml:space="preserve"> </w:t>
      </w:r>
      <w:r>
        <w:rPr>
          <w:rFonts w:cs="Times New Roman"/>
          <w:lang w:val="sq-AL"/>
        </w:rPr>
        <w:t>deklarojë</w:t>
      </w:r>
      <w:r>
        <w:rPr>
          <w:rFonts w:cs="Times New Roman"/>
          <w:spacing w:val="32"/>
          <w:lang w:val="sq-AL"/>
        </w:rPr>
        <w:t xml:space="preserve"> </w:t>
      </w:r>
      <w:r>
        <w:rPr>
          <w:rFonts w:cs="Times New Roman"/>
          <w:lang w:val="sq-AL"/>
        </w:rPr>
        <w:t>periudhën</w:t>
      </w:r>
      <w:r>
        <w:rPr>
          <w:rFonts w:cs="Times New Roman"/>
          <w:spacing w:val="35"/>
          <w:lang w:val="sq-AL"/>
        </w:rPr>
        <w:t xml:space="preserve"> </w:t>
      </w:r>
      <w:r>
        <w:rPr>
          <w:rFonts w:cs="Times New Roman"/>
          <w:lang w:val="sq-AL"/>
        </w:rPr>
        <w:t>gjatë</w:t>
      </w:r>
      <w:r>
        <w:rPr>
          <w:rFonts w:cs="Times New Roman"/>
          <w:spacing w:val="18"/>
          <w:lang w:val="sq-AL"/>
        </w:rPr>
        <w:t xml:space="preserve"> </w:t>
      </w:r>
      <w:r>
        <w:rPr>
          <w:rFonts w:cs="Times New Roman"/>
          <w:lang w:val="sq-AL"/>
        </w:rPr>
        <w:t>së</w:t>
      </w:r>
      <w:r>
        <w:rPr>
          <w:rFonts w:cs="Times New Roman"/>
          <w:spacing w:val="10"/>
          <w:lang w:val="sq-AL"/>
        </w:rPr>
        <w:t xml:space="preserve"> </w:t>
      </w:r>
      <w:r>
        <w:rPr>
          <w:rFonts w:cs="Times New Roman"/>
          <w:lang w:val="sq-AL"/>
        </w:rPr>
        <w:t>cilës</w:t>
      </w:r>
      <w:r>
        <w:rPr>
          <w:rFonts w:cs="Times New Roman"/>
          <w:spacing w:val="17"/>
          <w:lang w:val="sq-AL"/>
        </w:rPr>
        <w:t xml:space="preserve"> </w:t>
      </w:r>
      <w:r>
        <w:rPr>
          <w:rFonts w:cs="Times New Roman"/>
          <w:lang w:val="sq-AL"/>
        </w:rPr>
        <w:t>këta</w:t>
      </w:r>
      <w:r>
        <w:rPr>
          <w:rFonts w:cs="Times New Roman"/>
          <w:spacing w:val="16"/>
          <w:lang w:val="sq-AL"/>
        </w:rPr>
        <w:t xml:space="preserve"> </w:t>
      </w:r>
      <w:r>
        <w:rPr>
          <w:rFonts w:cs="Times New Roman"/>
          <w:lang w:val="sq-AL"/>
        </w:rPr>
        <w:t>skenarë</w:t>
      </w:r>
      <w:r>
        <w:rPr>
          <w:rFonts w:cs="Times New Roman"/>
          <w:spacing w:val="29"/>
          <w:lang w:val="sq-AL"/>
        </w:rPr>
        <w:t xml:space="preserve"> </w:t>
      </w:r>
      <w:r>
        <w:rPr>
          <w:rFonts w:cs="Times New Roman"/>
          <w:lang w:val="sq-AL"/>
        </w:rPr>
        <w:t>janë</w:t>
      </w:r>
      <w:r>
        <w:rPr>
          <w:rFonts w:cs="Times New Roman"/>
          <w:spacing w:val="16"/>
          <w:lang w:val="sq-AL"/>
        </w:rPr>
        <w:t xml:space="preserve"> </w:t>
      </w:r>
      <w:r>
        <w:rPr>
          <w:rFonts w:cs="Times New Roman"/>
          <w:lang w:val="sq-AL"/>
        </w:rPr>
        <w:t>për t’u përdorur</w:t>
      </w:r>
      <w:r>
        <w:rPr>
          <w:rFonts w:cs="Times New Roman"/>
          <w:spacing w:val="30"/>
          <w:lang w:val="sq-AL"/>
        </w:rPr>
        <w:t xml:space="preserve"> </w:t>
      </w:r>
      <w:r>
        <w:rPr>
          <w:rFonts w:cs="Times New Roman"/>
          <w:lang w:val="sq-AL"/>
        </w:rPr>
        <w:t>nga</w:t>
      </w:r>
      <w:r>
        <w:rPr>
          <w:rFonts w:cs="Times New Roman"/>
          <w:spacing w:val="14"/>
          <w:lang w:val="sq-AL"/>
        </w:rPr>
        <w:t xml:space="preserve"> </w:t>
      </w:r>
      <w:r>
        <w:rPr>
          <w:rFonts w:cs="Times New Roman"/>
          <w:lang w:val="sq-AL"/>
        </w:rPr>
        <w:t>ana</w:t>
      </w:r>
      <w:r>
        <w:rPr>
          <w:rFonts w:cs="Times New Roman"/>
          <w:spacing w:val="14"/>
          <w:lang w:val="sq-AL"/>
        </w:rPr>
        <w:t xml:space="preserve"> </w:t>
      </w:r>
      <w:r>
        <w:rPr>
          <w:rFonts w:cs="Times New Roman"/>
          <w:lang w:val="sq-AL"/>
        </w:rPr>
        <w:t>e</w:t>
      </w:r>
      <w:r>
        <w:rPr>
          <w:rFonts w:cs="Times New Roman"/>
          <w:spacing w:val="6"/>
          <w:lang w:val="sq-AL"/>
        </w:rPr>
        <w:t xml:space="preserve"> </w:t>
      </w:r>
      <w:r>
        <w:rPr>
          <w:rFonts w:cs="Times New Roman"/>
          <w:lang w:val="sq-AL"/>
        </w:rPr>
        <w:t>OST-ve.</w:t>
      </w:r>
      <w:r>
        <w:rPr>
          <w:rFonts w:cs="Times New Roman"/>
          <w:spacing w:val="28"/>
          <w:lang w:val="sq-AL"/>
        </w:rPr>
        <w:t xml:space="preserve"> </w:t>
      </w:r>
      <w:r>
        <w:rPr>
          <w:rFonts w:cs="Times New Roman"/>
          <w:lang w:val="sq-AL"/>
        </w:rPr>
        <w:t>Të gjithë OST-të</w:t>
      </w:r>
      <w:r>
        <w:rPr>
          <w:rFonts w:cs="Times New Roman"/>
          <w:spacing w:val="17"/>
          <w:lang w:val="sq-AL"/>
        </w:rPr>
        <w:t xml:space="preserve"> </w:t>
      </w:r>
      <w:r>
        <w:rPr>
          <w:rFonts w:cs="Times New Roman"/>
          <w:lang w:val="sq-AL"/>
        </w:rPr>
        <w:t>do</w:t>
      </w:r>
      <w:r>
        <w:rPr>
          <w:rFonts w:cs="Times New Roman"/>
          <w:spacing w:val="10"/>
          <w:lang w:val="sq-AL"/>
        </w:rPr>
        <w:t xml:space="preserve"> </w:t>
      </w:r>
      <w:r>
        <w:rPr>
          <w:rFonts w:cs="Times New Roman"/>
          <w:lang w:val="sq-AL"/>
        </w:rPr>
        <w:t>të krijojnë një sistem paralajmërimi elektronik për</w:t>
      </w:r>
      <w:r>
        <w:rPr>
          <w:rFonts w:cs="Times New Roman"/>
          <w:spacing w:val="13"/>
          <w:lang w:val="sq-AL"/>
        </w:rPr>
        <w:t xml:space="preserve"> </w:t>
      </w:r>
      <w:r>
        <w:rPr>
          <w:rFonts w:cs="Times New Roman"/>
          <w:lang w:val="sq-AL"/>
        </w:rPr>
        <w:t>të</w:t>
      </w:r>
      <w:r>
        <w:rPr>
          <w:rFonts w:cs="Times New Roman"/>
          <w:spacing w:val="8"/>
          <w:lang w:val="sq-AL"/>
        </w:rPr>
        <w:t xml:space="preserve"> </w:t>
      </w:r>
      <w:r>
        <w:rPr>
          <w:rFonts w:cs="Times New Roman"/>
          <w:lang w:val="sq-AL"/>
        </w:rPr>
        <w:t>siguruar</w:t>
      </w:r>
      <w:r>
        <w:rPr>
          <w:rFonts w:cs="Times New Roman"/>
          <w:spacing w:val="29"/>
          <w:lang w:val="sq-AL"/>
        </w:rPr>
        <w:t xml:space="preserve"> </w:t>
      </w:r>
      <w:r>
        <w:rPr>
          <w:rFonts w:cs="Times New Roman"/>
          <w:lang w:val="sq-AL"/>
        </w:rPr>
        <w:t>që</w:t>
      </w:r>
      <w:r>
        <w:rPr>
          <w:rFonts w:cs="Times New Roman"/>
          <w:spacing w:val="10"/>
          <w:lang w:val="sq-AL"/>
        </w:rPr>
        <w:t xml:space="preserve"> </w:t>
      </w:r>
      <w:r>
        <w:rPr>
          <w:rFonts w:cs="Times New Roman"/>
          <w:lang w:val="sq-AL"/>
        </w:rPr>
        <w:t>të</w:t>
      </w:r>
      <w:r>
        <w:rPr>
          <w:rFonts w:cs="Times New Roman"/>
          <w:spacing w:val="8"/>
          <w:lang w:val="sq-AL"/>
        </w:rPr>
        <w:t xml:space="preserve"> </w:t>
      </w:r>
      <w:r>
        <w:rPr>
          <w:rFonts w:cs="Times New Roman"/>
          <w:lang w:val="sq-AL"/>
        </w:rPr>
        <w:t>gjitha</w:t>
      </w:r>
      <w:r>
        <w:rPr>
          <w:rFonts w:cs="Times New Roman"/>
          <w:spacing w:val="20"/>
          <w:lang w:val="sq-AL"/>
        </w:rPr>
        <w:t xml:space="preserve"> </w:t>
      </w:r>
      <w:r>
        <w:rPr>
          <w:rFonts w:cs="Times New Roman"/>
          <w:lang w:val="sq-AL"/>
        </w:rPr>
        <w:t>agjencitë</w:t>
      </w:r>
      <w:r>
        <w:rPr>
          <w:rFonts w:cs="Times New Roman"/>
          <w:spacing w:val="32"/>
          <w:lang w:val="sq-AL"/>
        </w:rPr>
        <w:t xml:space="preserve"> </w:t>
      </w:r>
      <w:r>
        <w:rPr>
          <w:rFonts w:cs="Times New Roman"/>
          <w:lang w:val="sq-AL"/>
        </w:rPr>
        <w:t>rregullatore</w:t>
      </w:r>
      <w:r>
        <w:rPr>
          <w:rFonts w:cs="Times New Roman"/>
          <w:spacing w:val="40"/>
          <w:lang w:val="sq-AL"/>
        </w:rPr>
        <w:t xml:space="preserve"> </w:t>
      </w:r>
      <w:r>
        <w:rPr>
          <w:rFonts w:cs="Times New Roman"/>
          <w:lang w:val="sq-AL"/>
        </w:rPr>
        <w:t>janë informuar</w:t>
      </w:r>
      <w:r>
        <w:rPr>
          <w:rFonts w:cs="Times New Roman"/>
          <w:spacing w:val="34"/>
          <w:lang w:val="sq-AL"/>
        </w:rPr>
        <w:t xml:space="preserve"> </w:t>
      </w:r>
      <w:r>
        <w:rPr>
          <w:rFonts w:cs="Times New Roman"/>
          <w:lang w:val="sq-AL"/>
        </w:rPr>
        <w:t>në</w:t>
      </w:r>
      <w:r>
        <w:rPr>
          <w:rFonts w:cs="Times New Roman"/>
          <w:spacing w:val="10"/>
          <w:lang w:val="sq-AL"/>
        </w:rPr>
        <w:t xml:space="preserve"> </w:t>
      </w:r>
      <w:r>
        <w:rPr>
          <w:rFonts w:cs="Times New Roman"/>
          <w:lang w:val="sq-AL"/>
        </w:rPr>
        <w:t>lidhje</w:t>
      </w:r>
      <w:r>
        <w:rPr>
          <w:rFonts w:cs="Times New Roman"/>
          <w:spacing w:val="19"/>
          <w:lang w:val="sq-AL"/>
        </w:rPr>
        <w:t xml:space="preserve"> </w:t>
      </w:r>
      <w:r>
        <w:rPr>
          <w:rFonts w:cs="Times New Roman"/>
          <w:lang w:val="sq-AL"/>
        </w:rPr>
        <w:t>me</w:t>
      </w:r>
      <w:r>
        <w:rPr>
          <w:rFonts w:cs="Times New Roman"/>
          <w:spacing w:val="12"/>
          <w:lang w:val="sq-AL"/>
        </w:rPr>
        <w:t xml:space="preserve"> </w:t>
      </w:r>
      <w:r>
        <w:rPr>
          <w:rFonts w:cs="Times New Roman"/>
          <w:lang w:val="sq-AL"/>
        </w:rPr>
        <w:t>publikimin</w:t>
      </w:r>
      <w:r>
        <w:rPr>
          <w:rFonts w:cs="Times New Roman"/>
          <w:spacing w:val="35"/>
          <w:lang w:val="sq-AL"/>
        </w:rPr>
        <w:t xml:space="preserve"> </w:t>
      </w:r>
      <w:r>
        <w:rPr>
          <w:rFonts w:cs="Times New Roman"/>
          <w:lang w:val="sq-AL"/>
        </w:rPr>
        <w:t>e</w:t>
      </w:r>
      <w:r>
        <w:rPr>
          <w:rFonts w:cs="Times New Roman"/>
          <w:spacing w:val="6"/>
          <w:lang w:val="sq-AL"/>
        </w:rPr>
        <w:t xml:space="preserve"> </w:t>
      </w:r>
      <w:r>
        <w:rPr>
          <w:rFonts w:cs="Times New Roman"/>
          <w:lang w:val="sq-AL"/>
        </w:rPr>
        <w:t>skenarëve</w:t>
      </w:r>
      <w:r>
        <w:rPr>
          <w:rFonts w:cs="Times New Roman"/>
          <w:spacing w:val="37"/>
          <w:lang w:val="sq-AL"/>
        </w:rPr>
        <w:t xml:space="preserve"> </w:t>
      </w:r>
      <w:r>
        <w:rPr>
          <w:rFonts w:cs="Times New Roman"/>
          <w:w w:val="105"/>
          <w:lang w:val="sq-AL"/>
        </w:rPr>
        <w:t xml:space="preserve">në </w:t>
      </w:r>
      <w:r>
        <w:rPr>
          <w:rFonts w:cs="Times New Roman"/>
          <w:lang w:val="sq-AL"/>
        </w:rPr>
        <w:t>kohë.</w:t>
      </w:r>
    </w:p>
    <w:p w:rsidR="002F02C2" w:rsidRDefault="002F02C2" w:rsidP="002F02C2">
      <w:pPr>
        <w:pStyle w:val="Paragrafi"/>
        <w:rPr>
          <w:rFonts w:cs="Times New Roman"/>
          <w:lang w:val="sq-AL"/>
        </w:rPr>
      </w:pPr>
      <w:r>
        <w:rPr>
          <w:rFonts w:cs="Times New Roman"/>
          <w:lang w:val="sq-AL"/>
        </w:rPr>
        <w:t>5. Ku të gjithë OST-të dëshirojnë të përcaktojnë skenarët për periudha afatgjata në pajtim me paragrafin 1 ose 2 dhe këto skenarë nuk janë, në përputhje me parimet e përcaktuara në paragrafin 3, OST-të do të kërkojnë miratim e këtyre skenarëve me anë të një kërkese për ndryshimin e metodologjisë aktuale.</w:t>
      </w:r>
    </w:p>
    <w:p w:rsidR="002F02C2" w:rsidRDefault="002F02C2" w:rsidP="002F02C2">
      <w:pPr>
        <w:pStyle w:val="Paragrafi"/>
        <w:rPr>
          <w:rFonts w:cs="Times New Roman"/>
          <w:lang w:val="sq-AL"/>
        </w:rPr>
      </w:pPr>
      <w:r>
        <w:rPr>
          <w:rFonts w:cs="Times New Roman"/>
          <w:lang w:val="sq-AL"/>
        </w:rPr>
        <w:t xml:space="preserve">6. Kur të gjithë OST-të në rajonet e llogaritjes së kapaciteteve, ku zbatohen analizat e sigurisë bazuar në skenarët e shumëfishtë sipas nenit 10 të Rregullores 2016/1719, së bashku hartojnë një grup të përbashkët skenarësh që do të përdoren në modelin e rrjetit të përbashkët për secilën kornizë kohe të llogaritjes së kapacitetit afatgjatë sipas nenit 19(1) të Rregullores 2016/1719 dhe këta skenarë ndryshojnë nga skenarët e përcaktuar nga të gjithë OST-të e përmendur përkatësisht në paragrafin 1 dhe 2, OST-të jashtë rajoneve të llogaritjes së kapaciteteve, ku zbatohen analizat e sigurisë në bazë të skenarëve të shumëfishtë, në përputhje me nenin 10 të Rregullores 2016/1719, nuk do të jenë të </w:t>
      </w:r>
      <w:r>
        <w:rPr>
          <w:rFonts w:cs="Times New Roman"/>
          <w:lang w:val="sq-AL"/>
        </w:rPr>
        <w:lastRenderedPageBreak/>
        <w:t>detyruar të ndërtojnë modelet individuale të tyre të rrjetit për skenarë të ndryshëm nga skenarë të ndryshëm nga skenatët e përmendur përkatësisht në paragrafin 1 dhe 2.</w:t>
      </w:r>
    </w:p>
    <w:p w:rsidR="002F02C2" w:rsidRDefault="002F02C2" w:rsidP="002F02C2">
      <w:pPr>
        <w:pStyle w:val="Hapesira7"/>
        <w:rPr>
          <w:lang w:val="sq-AL"/>
        </w:rPr>
      </w:pPr>
    </w:p>
    <w:p w:rsidR="002F02C2" w:rsidRDefault="002F02C2" w:rsidP="002F02C2">
      <w:pPr>
        <w:pStyle w:val="NeniNr"/>
        <w:rPr>
          <w:lang w:val="sq-AL"/>
        </w:rPr>
      </w:pPr>
      <w:r>
        <w:rPr>
          <w:lang w:val="sq-AL"/>
        </w:rPr>
        <w:t>Neni 4</w:t>
      </w:r>
    </w:p>
    <w:p w:rsidR="002F02C2" w:rsidRDefault="002F02C2" w:rsidP="002F02C2">
      <w:pPr>
        <w:pStyle w:val="NeniNr"/>
        <w:rPr>
          <w:b/>
          <w:lang w:val="sq-AL"/>
        </w:rPr>
      </w:pPr>
      <w:r>
        <w:rPr>
          <w:b/>
          <w:lang w:val="sq-AL"/>
        </w:rPr>
        <w:t>Modelet individuale të rrjetit</w:t>
      </w:r>
    </w:p>
    <w:p w:rsidR="002F02C2" w:rsidRDefault="002F02C2" w:rsidP="002F02C2">
      <w:pPr>
        <w:pStyle w:val="Hapesira7"/>
        <w:rPr>
          <w:w w:val="103"/>
          <w:lang w:val="sq-AL"/>
        </w:rPr>
      </w:pPr>
    </w:p>
    <w:p w:rsidR="002F02C2" w:rsidRDefault="002F02C2" w:rsidP="002F02C2">
      <w:pPr>
        <w:pStyle w:val="Paragrafi"/>
        <w:rPr>
          <w:rFonts w:cs="Times New Roman"/>
          <w:spacing w:val="3"/>
          <w:lang w:val="sq-AL"/>
        </w:rPr>
      </w:pPr>
      <w:r>
        <w:rPr>
          <w:rFonts w:cs="Times New Roman"/>
          <w:spacing w:val="3"/>
          <w:lang w:val="sq-AL"/>
        </w:rPr>
        <w:t>1. Në bazë të nenit 22 të Rregullores 2016/1719, çdo OST do të ndërtojë modelet individuale të rrjetit për secilin prej skenarëve të aplikueshëm në nivel panevropian të përshkruara në nenin 3 (1); d.m.th. ose grupin e përbashkët të skenarëve të dakorduar nga të gjithë OST-të ose në mungesë të skenarëve të përbashkët, skenarët e parazgjedhur; në qoftë se të paktën një rajon i llogaritjes së kapaciteteve vendos të aplikojë analizën e sigurisë në bazë të skenarëve të shumëfishtë në pajtim me nenin 10 të Rregullores 2016/1719, për llogaritjen e kapacitetit për</w:t>
      </w:r>
      <w:r>
        <w:rPr>
          <w:rFonts w:cs="Times New Roman"/>
          <w:lang w:val="sq-AL"/>
        </w:rPr>
        <w:t xml:space="preserve"> periudhën një vit në avancë</w:t>
      </w:r>
      <w:r>
        <w:rPr>
          <w:rFonts w:cs="Times New Roman"/>
          <w:spacing w:val="3"/>
          <w:lang w:val="sq-AL"/>
        </w:rPr>
        <w:t>. OST-të e një rajoni të llogaritjes së kapacitetit, kur dëshirojnë të aplikojnë analizat e sigurisë në bazë të skenarëve të shumëfishtë për llogaritjen e kapacitetit për</w:t>
      </w:r>
      <w:r>
        <w:rPr>
          <w:rFonts w:cs="Times New Roman"/>
          <w:lang w:val="sq-AL"/>
        </w:rPr>
        <w:t xml:space="preserve"> periudhën e vitit në avancë,</w:t>
      </w:r>
      <w:r>
        <w:rPr>
          <w:rFonts w:cs="Times New Roman"/>
          <w:spacing w:val="3"/>
          <w:lang w:val="sq-AL"/>
        </w:rPr>
        <w:t xml:space="preserve"> duhet të informojë të gjithë OST-të e tjerë për qëllimet e tyre jo më vonë se data 31 mars të vitit që i paraprin vitit të parë për të cilin do të llogariten kapacitetet.</w:t>
      </w:r>
    </w:p>
    <w:p w:rsidR="002F02C2" w:rsidRDefault="002F02C2" w:rsidP="002F02C2">
      <w:pPr>
        <w:pStyle w:val="Paragrafi"/>
        <w:rPr>
          <w:rFonts w:cs="Times New Roman"/>
          <w:spacing w:val="3"/>
          <w:lang w:val="sq-AL"/>
        </w:rPr>
      </w:pPr>
      <w:r>
        <w:rPr>
          <w:rFonts w:cs="Times New Roman"/>
          <w:spacing w:val="3"/>
          <w:lang w:val="sq-AL"/>
        </w:rPr>
        <w:t>2. Në bazë të nenit 22 të Rregullores 2016/1719 çdo OST do të ndërtojë modelet individuale të rrjetit për secilin prej skenarëve të aplikueshëm në nivel panevropian, të përshkruara në nenin 3 (2); d.m.th. ose grupin e përbashkët të skenarëve të pranuar nga të gjithë OST-të ose në mungesë të skenarëve të përbashkët, skenarët e parazgjedhur; në qoftë se të paktën një rajon i llogaritjes së kapaciteteve vendos të aplikojë analizën e sigurisë në bazë të skenarëve të shumëfishtë në pajtim me nenin 10 të Rregullores 2016/1719, kur llogarit kapacitetet për</w:t>
      </w:r>
      <w:r>
        <w:rPr>
          <w:rFonts w:cs="Times New Roman"/>
          <w:lang w:val="sq-AL"/>
        </w:rPr>
        <w:t xml:space="preserve"> periudhën një muaj në avancë për llogaritjen e kapacitetit dhe nuk janë të disponueshme modelet për periudhën një vit në avancë</w:t>
      </w:r>
      <w:r>
        <w:rPr>
          <w:rFonts w:cs="Times New Roman"/>
          <w:spacing w:val="3"/>
          <w:lang w:val="sq-AL"/>
        </w:rPr>
        <w:t>. OST-të e një rajoni të llogaritjes së kapacitetit, që dëshirojnë të aplikojnë analizat e sigurisë në bazë të skenarëve të shumëfishtë, për llogaritjen e kapacitetit për</w:t>
      </w:r>
      <w:r>
        <w:rPr>
          <w:rFonts w:cs="Times New Roman"/>
          <w:lang w:val="sq-AL"/>
        </w:rPr>
        <w:t xml:space="preserve"> periudhën një muaj në avancë</w:t>
      </w:r>
      <w:r>
        <w:rPr>
          <w:rFonts w:cs="Times New Roman"/>
          <w:spacing w:val="3"/>
          <w:lang w:val="sq-AL"/>
        </w:rPr>
        <w:t xml:space="preserve"> duhet të informojnë të gjithë OST-të e tjera jo më vonë se gjashtë muaj para ditës së parë të muajit të parë për të cilin është për t’u llogaritur kapaciteti.</w:t>
      </w:r>
    </w:p>
    <w:p w:rsidR="002F02C2" w:rsidRDefault="002F02C2" w:rsidP="002F02C2">
      <w:pPr>
        <w:pStyle w:val="Paragrafi"/>
        <w:rPr>
          <w:rFonts w:cs="Times New Roman"/>
          <w:spacing w:val="3"/>
          <w:lang w:val="sq-AL"/>
        </w:rPr>
      </w:pPr>
      <w:r>
        <w:rPr>
          <w:rFonts w:cs="Times New Roman"/>
          <w:spacing w:val="-2"/>
          <w:lang w:val="sq-AL"/>
        </w:rPr>
        <w:t xml:space="preserve">3. Për </w:t>
      </w:r>
      <w:r>
        <w:rPr>
          <w:rFonts w:cs="Times New Roman"/>
          <w:lang w:val="sq-AL"/>
        </w:rPr>
        <w:t>ndërtimin e MIRR-së,</w:t>
      </w:r>
      <w:r>
        <w:rPr>
          <w:rFonts w:cs="Times New Roman"/>
          <w:spacing w:val="-4"/>
          <w:lang w:val="sq-AL"/>
        </w:rPr>
        <w:t xml:space="preserve"> </w:t>
      </w:r>
      <w:r>
        <w:rPr>
          <w:rFonts w:cs="Times New Roman"/>
          <w:lang w:val="sq-AL"/>
        </w:rPr>
        <w:t>çdo</w:t>
      </w:r>
      <w:r>
        <w:rPr>
          <w:rFonts w:cs="Times New Roman"/>
          <w:spacing w:val="-4"/>
          <w:lang w:val="sq-AL"/>
        </w:rPr>
        <w:t xml:space="preserve"> </w:t>
      </w:r>
      <w:r>
        <w:rPr>
          <w:rFonts w:cs="Times New Roman"/>
          <w:lang w:val="sq-AL"/>
        </w:rPr>
        <w:t>OST</w:t>
      </w:r>
      <w:r>
        <w:rPr>
          <w:rFonts w:cs="Times New Roman"/>
          <w:spacing w:val="-3"/>
          <w:lang w:val="sq-AL"/>
        </w:rPr>
        <w:t xml:space="preserve"> </w:t>
      </w:r>
      <w:r>
        <w:rPr>
          <w:rFonts w:cs="Times New Roman"/>
          <w:lang w:val="sq-AL"/>
        </w:rPr>
        <w:t>do</w:t>
      </w:r>
      <w:r>
        <w:rPr>
          <w:rFonts w:cs="Times New Roman"/>
          <w:spacing w:val="-2"/>
          <w:lang w:val="sq-AL"/>
        </w:rPr>
        <w:t xml:space="preserve"> </w:t>
      </w:r>
      <w:r>
        <w:rPr>
          <w:rFonts w:cs="Times New Roman"/>
          <w:lang w:val="sq-AL"/>
        </w:rPr>
        <w:t>të</w:t>
      </w:r>
      <w:r>
        <w:rPr>
          <w:rFonts w:cs="Times New Roman"/>
          <w:spacing w:val="-1"/>
          <w:lang w:val="sq-AL"/>
        </w:rPr>
        <w:t xml:space="preserve"> </w:t>
      </w:r>
      <w:r>
        <w:rPr>
          <w:rFonts w:cs="Times New Roman"/>
          <w:lang w:val="sq-AL"/>
        </w:rPr>
        <w:t>plotësojë</w:t>
      </w:r>
      <w:r>
        <w:rPr>
          <w:rFonts w:cs="Times New Roman"/>
          <w:spacing w:val="-8"/>
          <w:lang w:val="sq-AL"/>
        </w:rPr>
        <w:t xml:space="preserve"> </w:t>
      </w:r>
      <w:r>
        <w:rPr>
          <w:rFonts w:cs="Times New Roman"/>
          <w:lang w:val="sq-AL"/>
        </w:rPr>
        <w:t>hapat</w:t>
      </w:r>
      <w:r>
        <w:rPr>
          <w:rFonts w:cs="Times New Roman"/>
          <w:spacing w:val="-4"/>
          <w:lang w:val="sq-AL"/>
        </w:rPr>
        <w:t xml:space="preserve"> </w:t>
      </w:r>
      <w:r>
        <w:rPr>
          <w:rFonts w:cs="Times New Roman"/>
          <w:lang w:val="sq-AL"/>
        </w:rPr>
        <w:t>e</w:t>
      </w:r>
      <w:r>
        <w:rPr>
          <w:rFonts w:cs="Times New Roman"/>
          <w:spacing w:val="-1"/>
          <w:lang w:val="sq-AL"/>
        </w:rPr>
        <w:t xml:space="preserve"> </w:t>
      </w:r>
      <w:r>
        <w:rPr>
          <w:rFonts w:cs="Times New Roman"/>
          <w:lang w:val="sq-AL"/>
        </w:rPr>
        <w:t>mëposhtëm:</w:t>
      </w:r>
    </w:p>
    <w:p w:rsidR="002F02C2" w:rsidRDefault="002F02C2" w:rsidP="002F02C2">
      <w:pPr>
        <w:pStyle w:val="Paragrafi"/>
        <w:rPr>
          <w:rFonts w:cs="Times New Roman"/>
          <w:spacing w:val="3"/>
          <w:lang w:val="sq-AL"/>
        </w:rPr>
      </w:pPr>
      <w:r>
        <w:rPr>
          <w:rFonts w:cs="Times New Roman"/>
          <w:spacing w:val="3"/>
          <w:lang w:val="sq-AL"/>
        </w:rPr>
        <w:t>a) Krijon një model të përditësuar të pajisjeve që përmban të dhënat strukturore të përshkruara në nenet 5 deri 11;</w:t>
      </w:r>
    </w:p>
    <w:p w:rsidR="002F02C2" w:rsidRDefault="002F02C2" w:rsidP="002F02C2">
      <w:pPr>
        <w:pStyle w:val="Paragrafi"/>
        <w:rPr>
          <w:rFonts w:cs="Times New Roman"/>
          <w:spacing w:val="3"/>
          <w:lang w:val="sq-AL"/>
        </w:rPr>
      </w:pPr>
      <w:r>
        <w:rPr>
          <w:rFonts w:cs="Times New Roman"/>
          <w:spacing w:val="3"/>
          <w:lang w:val="sq-AL"/>
        </w:rPr>
        <w:t>b) Identifikon dhe inkorporon ndryshimet strukturore, në përputhje me parimet e përcaktuara në nenin 3;</w:t>
      </w:r>
    </w:p>
    <w:p w:rsidR="002F02C2" w:rsidRDefault="002F02C2" w:rsidP="002F02C2">
      <w:pPr>
        <w:pStyle w:val="Paragrafi"/>
        <w:rPr>
          <w:rFonts w:cs="Times New Roman"/>
          <w:spacing w:val="3"/>
          <w:lang w:val="sq-AL"/>
        </w:rPr>
      </w:pPr>
      <w:r>
        <w:rPr>
          <w:rFonts w:cs="Times New Roman"/>
          <w:spacing w:val="3"/>
          <w:lang w:val="sq-AL"/>
        </w:rPr>
        <w:t>c) Përfshin supozimet operative të përditësuara, duke përfshirë të dhënat e ndryshueshme të përshkruara në nenet 12 deri 16;</w:t>
      </w:r>
    </w:p>
    <w:p w:rsidR="002F02C2" w:rsidRDefault="002F02C2" w:rsidP="002F02C2">
      <w:pPr>
        <w:pStyle w:val="Paragrafi"/>
        <w:rPr>
          <w:rFonts w:cs="Times New Roman"/>
          <w:spacing w:val="3"/>
          <w:lang w:val="sq-AL"/>
        </w:rPr>
      </w:pPr>
      <w:r>
        <w:rPr>
          <w:rFonts w:cs="Times New Roman"/>
          <w:spacing w:val="3"/>
          <w:lang w:val="sq-AL"/>
        </w:rPr>
        <w:t>d) Shkëmben me të gjithë OST-të e tjerë të dhënat e përshkruara në nenin 17, nëpërmjet platformës së informacionit të përmendur në nenin 21;</w:t>
      </w:r>
    </w:p>
    <w:p w:rsidR="002F02C2" w:rsidRDefault="002F02C2" w:rsidP="002F02C2">
      <w:pPr>
        <w:pStyle w:val="Paragrafi"/>
        <w:rPr>
          <w:rFonts w:cs="Times New Roman"/>
          <w:spacing w:val="3"/>
          <w:lang w:val="sq-AL"/>
        </w:rPr>
      </w:pPr>
      <w:r>
        <w:rPr>
          <w:rFonts w:cs="Times New Roman"/>
          <w:spacing w:val="3"/>
          <w:lang w:val="sq-AL"/>
        </w:rPr>
        <w:t>e) Zbaton rregullat e përbashkëta për përcaktimin e pozicionit neto në secilën zonë ofertuese dhe fluksin për çdo linjë të rrymës së vazhduar përcaktuar në nenet 18 dhe 19;</w:t>
      </w:r>
    </w:p>
    <w:p w:rsidR="002F02C2" w:rsidRDefault="002F02C2" w:rsidP="002F02C2">
      <w:pPr>
        <w:pStyle w:val="Paragrafi"/>
        <w:rPr>
          <w:rFonts w:cs="Times New Roman"/>
          <w:spacing w:val="3"/>
          <w:lang w:val="sq-AL"/>
        </w:rPr>
      </w:pPr>
      <w:r>
        <w:rPr>
          <w:rFonts w:cs="Times New Roman"/>
          <w:spacing w:val="3"/>
          <w:lang w:val="sq-AL"/>
        </w:rPr>
        <w:t>f) Garanton që modeli të jetë në përputhje me pozicionet neto dhe flukset në linjat me rrymë të vazhduar, të krijuara në përputhje me nenet 18 dhe 19;</w:t>
      </w:r>
    </w:p>
    <w:p w:rsidR="002F02C2" w:rsidRDefault="002F02C2" w:rsidP="002F02C2">
      <w:pPr>
        <w:pStyle w:val="Paragrafi"/>
        <w:rPr>
          <w:rFonts w:cs="Times New Roman"/>
          <w:spacing w:val="3"/>
          <w:lang w:val="sq-AL"/>
        </w:rPr>
      </w:pPr>
      <w:r>
        <w:rPr>
          <w:rFonts w:cs="Times New Roman"/>
          <w:spacing w:val="3"/>
          <w:lang w:val="sq-AL"/>
        </w:rPr>
        <w:t>g) Garanton se veprimet korrigjuese të aplikuara (nëse ka) mund të identifikohen qartë dhe janë në përputhje me metodologjinë për veprimet korrigjuese në llogaritjen e kapacitetit sipas nenit 14 të Rregullores 2016/1719, respektivisht, dhe objektivit të përgjithshëm për një trajtim të drejtë dhe jodiskriminues sipas nenit 3 (d) të Rregullores 2016/1719;</w:t>
      </w:r>
    </w:p>
    <w:p w:rsidR="002F02C2" w:rsidRDefault="002F02C2" w:rsidP="002F02C2">
      <w:pPr>
        <w:pStyle w:val="Paragrafi"/>
        <w:rPr>
          <w:rFonts w:cs="Times New Roman"/>
          <w:spacing w:val="3"/>
          <w:lang w:val="sq-AL"/>
        </w:rPr>
      </w:pPr>
      <w:r>
        <w:rPr>
          <w:rFonts w:cs="Times New Roman"/>
          <w:spacing w:val="3"/>
          <w:lang w:val="sq-AL"/>
        </w:rPr>
        <w:t>h) Kryen analizën e flukseve për të verifikuar që:</w:t>
      </w:r>
    </w:p>
    <w:p w:rsidR="002F02C2" w:rsidRDefault="002F02C2" w:rsidP="002F02C2">
      <w:pPr>
        <w:pStyle w:val="Paragrafi"/>
        <w:rPr>
          <w:rFonts w:cs="Times New Roman"/>
          <w:spacing w:val="3"/>
          <w:lang w:val="sq-AL"/>
        </w:rPr>
      </w:pPr>
      <w:r>
        <w:rPr>
          <w:rFonts w:cs="Times New Roman"/>
          <w:spacing w:val="3"/>
          <w:lang w:val="sq-AL"/>
        </w:rPr>
        <w:t>i. zgjidhja konvergon;</w:t>
      </w:r>
    </w:p>
    <w:p w:rsidR="002F02C2" w:rsidRDefault="002F02C2" w:rsidP="002F02C2">
      <w:pPr>
        <w:pStyle w:val="Paragrafi"/>
        <w:rPr>
          <w:rFonts w:cs="Times New Roman"/>
          <w:spacing w:val="3"/>
          <w:lang w:val="sq-AL"/>
        </w:rPr>
      </w:pPr>
      <w:r>
        <w:rPr>
          <w:rFonts w:cs="Times New Roman"/>
          <w:spacing w:val="3"/>
          <w:lang w:val="sq-AL"/>
        </w:rPr>
        <w:t>ii. ka besueshmëri të niveleve të tensionit në nyjat e rrjetit dhe të flukseve të fuqisë reaktive dhe aktive në elementet e rrjetit;</w:t>
      </w:r>
    </w:p>
    <w:p w:rsidR="002F02C2" w:rsidRDefault="002F02C2" w:rsidP="002F02C2">
      <w:pPr>
        <w:pStyle w:val="Paragrafi"/>
        <w:rPr>
          <w:rFonts w:cs="Times New Roman"/>
          <w:spacing w:val="3"/>
          <w:lang w:val="sq-AL"/>
        </w:rPr>
      </w:pPr>
      <w:r>
        <w:rPr>
          <w:rFonts w:cs="Times New Roman"/>
          <w:spacing w:val="3"/>
          <w:lang w:val="sq-AL"/>
        </w:rPr>
        <w:lastRenderedPageBreak/>
        <w:t>iii. ka besueshmëri të prodhimit të fuqisë reaktive dhe aktive në secilin gjenerues;</w:t>
      </w:r>
    </w:p>
    <w:p w:rsidR="002F02C2" w:rsidRDefault="002F02C2" w:rsidP="002F02C2">
      <w:pPr>
        <w:pStyle w:val="Paragrafi"/>
        <w:rPr>
          <w:rFonts w:cs="Times New Roman"/>
          <w:spacing w:val="3"/>
          <w:lang w:val="sq-AL"/>
        </w:rPr>
      </w:pPr>
      <w:r>
        <w:rPr>
          <w:rFonts w:cs="Times New Roman"/>
          <w:spacing w:val="3"/>
          <w:lang w:val="sq-AL"/>
        </w:rPr>
        <w:t>iv. ka besueshmëri të prodhimit/konsumit të fuqisë reaktive në shunt-reaktorëve e lidhur në rrjet; dhe</w:t>
      </w:r>
    </w:p>
    <w:p w:rsidR="002F02C2" w:rsidRDefault="002F02C2" w:rsidP="002F02C2">
      <w:pPr>
        <w:pStyle w:val="Paragrafi"/>
        <w:rPr>
          <w:rFonts w:cs="Times New Roman"/>
          <w:spacing w:val="3"/>
          <w:lang w:val="sq-AL"/>
        </w:rPr>
      </w:pPr>
      <w:r>
        <w:rPr>
          <w:rFonts w:cs="Times New Roman"/>
          <w:spacing w:val="3"/>
          <w:lang w:val="sq-AL"/>
        </w:rPr>
        <w:t>v. ka pajtueshmëri me standardet e aplikueshme të sigurisë operacionale;</w:t>
      </w:r>
    </w:p>
    <w:p w:rsidR="002F02C2" w:rsidRDefault="002F02C2" w:rsidP="002F02C2">
      <w:pPr>
        <w:pStyle w:val="Paragrafi"/>
        <w:rPr>
          <w:rFonts w:cs="Times New Roman"/>
          <w:spacing w:val="3"/>
          <w:lang w:val="sq-AL"/>
        </w:rPr>
      </w:pPr>
      <w:r>
        <w:rPr>
          <w:rFonts w:cs="Times New Roman"/>
          <w:lang w:val="sq-AL"/>
        </w:rPr>
        <w:t>i) Nëse kërkohet, ndryshon modelin e pajisjeve dhe/ose supozimeve operative dhe përsërit hapin (h);</w:t>
      </w:r>
    </w:p>
    <w:p w:rsidR="002F02C2" w:rsidRDefault="002F02C2" w:rsidP="002F02C2">
      <w:pPr>
        <w:pStyle w:val="Paragrafi"/>
        <w:rPr>
          <w:rFonts w:cs="Times New Roman"/>
          <w:spacing w:val="3"/>
          <w:lang w:val="sq-AL"/>
        </w:rPr>
      </w:pPr>
      <w:r>
        <w:rPr>
          <w:rFonts w:cs="Times New Roman"/>
          <w:lang w:val="sq-AL"/>
        </w:rPr>
        <w:t>j) Nëse</w:t>
      </w:r>
      <w:r>
        <w:rPr>
          <w:rFonts w:cs="Times New Roman"/>
          <w:spacing w:val="13"/>
          <w:lang w:val="sq-AL"/>
        </w:rPr>
        <w:t xml:space="preserve"> </w:t>
      </w:r>
      <w:r>
        <w:rPr>
          <w:rFonts w:cs="Times New Roman"/>
          <w:lang w:val="sq-AL"/>
        </w:rPr>
        <w:t>zbatohet,</w:t>
      </w:r>
      <w:r>
        <w:rPr>
          <w:rFonts w:cs="Times New Roman"/>
          <w:spacing w:val="33"/>
          <w:lang w:val="sq-AL"/>
        </w:rPr>
        <w:t xml:space="preserve"> </w:t>
      </w:r>
      <w:r>
        <w:rPr>
          <w:rFonts w:cs="Times New Roman"/>
          <w:lang w:val="sq-AL"/>
        </w:rPr>
        <w:t>kryen</w:t>
      </w:r>
      <w:r>
        <w:rPr>
          <w:rFonts w:cs="Times New Roman"/>
          <w:spacing w:val="16"/>
          <w:lang w:val="sq-AL"/>
        </w:rPr>
        <w:t xml:space="preserve"> </w:t>
      </w:r>
      <w:r>
        <w:rPr>
          <w:rFonts w:cs="Times New Roman"/>
          <w:lang w:val="sq-AL"/>
        </w:rPr>
        <w:t>reduktimin</w:t>
      </w:r>
      <w:r>
        <w:rPr>
          <w:rFonts w:cs="Times New Roman"/>
          <w:spacing w:val="13"/>
          <w:lang w:val="sq-AL"/>
        </w:rPr>
        <w:t xml:space="preserve"> </w:t>
      </w:r>
      <w:r>
        <w:rPr>
          <w:rFonts w:cs="Times New Roman"/>
          <w:lang w:val="sq-AL"/>
        </w:rPr>
        <w:t>e</w:t>
      </w:r>
      <w:r>
        <w:rPr>
          <w:rFonts w:cs="Times New Roman"/>
          <w:spacing w:val="5"/>
          <w:lang w:val="sq-AL"/>
        </w:rPr>
        <w:t xml:space="preserve"> </w:t>
      </w:r>
      <w:r>
        <w:rPr>
          <w:rFonts w:cs="Times New Roman"/>
          <w:lang w:val="sq-AL"/>
        </w:rPr>
        <w:t>rrjetit</w:t>
      </w:r>
      <w:r>
        <w:rPr>
          <w:rFonts w:cs="Times New Roman"/>
          <w:spacing w:val="14"/>
          <w:lang w:val="sq-AL"/>
        </w:rPr>
        <w:t xml:space="preserve"> </w:t>
      </w:r>
      <w:r>
        <w:rPr>
          <w:rFonts w:cs="Times New Roman"/>
          <w:lang w:val="sq-AL"/>
        </w:rPr>
        <w:t>në</w:t>
      </w:r>
      <w:r>
        <w:rPr>
          <w:rFonts w:cs="Times New Roman"/>
          <w:spacing w:val="8"/>
          <w:lang w:val="sq-AL"/>
        </w:rPr>
        <w:t xml:space="preserve"> </w:t>
      </w:r>
      <w:r>
        <w:rPr>
          <w:rFonts w:cs="Times New Roman"/>
          <w:lang w:val="sq-AL"/>
        </w:rPr>
        <w:t>përputhje</w:t>
      </w:r>
      <w:r>
        <w:rPr>
          <w:rFonts w:cs="Times New Roman"/>
          <w:spacing w:val="24"/>
          <w:lang w:val="sq-AL"/>
        </w:rPr>
        <w:t xml:space="preserve"> </w:t>
      </w:r>
      <w:r>
        <w:rPr>
          <w:rFonts w:cs="Times New Roman"/>
          <w:lang w:val="sq-AL"/>
        </w:rPr>
        <w:t>me nenin</w:t>
      </w:r>
      <w:r>
        <w:rPr>
          <w:rFonts w:cs="Times New Roman"/>
          <w:spacing w:val="15"/>
          <w:lang w:val="sq-AL"/>
        </w:rPr>
        <w:t xml:space="preserve"> </w:t>
      </w:r>
      <w:r>
        <w:rPr>
          <w:rFonts w:cs="Times New Roman"/>
          <w:w w:val="104"/>
          <w:lang w:val="sq-AL"/>
        </w:rPr>
        <w:t>11;</w:t>
      </w:r>
    </w:p>
    <w:p w:rsidR="002F02C2" w:rsidRDefault="002F02C2" w:rsidP="002F02C2">
      <w:pPr>
        <w:pStyle w:val="Paragrafi"/>
        <w:rPr>
          <w:rFonts w:cs="Times New Roman"/>
          <w:spacing w:val="3"/>
          <w:lang w:val="sq-AL"/>
        </w:rPr>
      </w:pPr>
      <w:r>
        <w:rPr>
          <w:rFonts w:cs="Times New Roman"/>
          <w:lang w:val="sq-AL"/>
        </w:rPr>
        <w:t>k) Siç</w:t>
      </w:r>
      <w:r>
        <w:rPr>
          <w:rFonts w:cs="Times New Roman"/>
          <w:spacing w:val="7"/>
          <w:lang w:val="sq-AL"/>
        </w:rPr>
        <w:t xml:space="preserve"> </w:t>
      </w:r>
      <w:r>
        <w:rPr>
          <w:rFonts w:cs="Times New Roman"/>
          <w:lang w:val="sq-AL"/>
        </w:rPr>
        <w:t>kërkohet</w:t>
      </w:r>
      <w:r>
        <w:rPr>
          <w:rFonts w:cs="Times New Roman"/>
          <w:spacing w:val="19"/>
          <w:lang w:val="sq-AL"/>
        </w:rPr>
        <w:t xml:space="preserve"> </w:t>
      </w:r>
      <w:r>
        <w:rPr>
          <w:rFonts w:cs="Times New Roman"/>
          <w:lang w:val="sq-AL"/>
        </w:rPr>
        <w:t>me nenin</w:t>
      </w:r>
      <w:r>
        <w:rPr>
          <w:rFonts w:cs="Times New Roman"/>
          <w:spacing w:val="13"/>
          <w:lang w:val="sq-AL"/>
        </w:rPr>
        <w:t xml:space="preserve"> </w:t>
      </w:r>
      <w:r>
        <w:rPr>
          <w:rFonts w:cs="Times New Roman"/>
          <w:lang w:val="sq-AL"/>
        </w:rPr>
        <w:t>22</w:t>
      </w:r>
      <w:r>
        <w:rPr>
          <w:rFonts w:cs="Times New Roman"/>
          <w:spacing w:val="7"/>
          <w:lang w:val="sq-AL"/>
        </w:rPr>
        <w:t xml:space="preserve"> </w:t>
      </w:r>
      <w:r>
        <w:rPr>
          <w:rFonts w:cs="Times New Roman"/>
          <w:lang w:val="sq-AL"/>
        </w:rPr>
        <w:t>të</w:t>
      </w:r>
      <w:r>
        <w:rPr>
          <w:rFonts w:cs="Times New Roman"/>
          <w:spacing w:val="6"/>
          <w:lang w:val="sq-AL"/>
        </w:rPr>
        <w:t xml:space="preserve"> </w:t>
      </w:r>
      <w:r>
        <w:rPr>
          <w:rFonts w:cs="Times New Roman"/>
          <w:lang w:val="sq-AL"/>
        </w:rPr>
        <w:t>Rregullores</w:t>
      </w:r>
      <w:r>
        <w:rPr>
          <w:rFonts w:cs="Times New Roman"/>
          <w:spacing w:val="25"/>
          <w:lang w:val="sq-AL"/>
        </w:rPr>
        <w:t xml:space="preserve"> </w:t>
      </w:r>
      <w:r>
        <w:rPr>
          <w:rFonts w:cs="Times New Roman"/>
          <w:lang w:val="sq-AL"/>
        </w:rPr>
        <w:t>2016/1719</w:t>
      </w:r>
      <w:r>
        <w:rPr>
          <w:rFonts w:cs="Times New Roman"/>
          <w:spacing w:val="23"/>
          <w:lang w:val="sq-AL"/>
        </w:rPr>
        <w:t xml:space="preserve"> </w:t>
      </w:r>
      <w:r>
        <w:rPr>
          <w:rFonts w:cs="Times New Roman"/>
          <w:lang w:val="sq-AL"/>
        </w:rPr>
        <w:t>eksporton modelin MIRR dhe</w:t>
      </w:r>
      <w:r>
        <w:rPr>
          <w:rFonts w:cs="Times New Roman"/>
          <w:spacing w:val="9"/>
          <w:lang w:val="sq-AL"/>
        </w:rPr>
        <w:t xml:space="preserve"> </w:t>
      </w:r>
      <w:r>
        <w:rPr>
          <w:rFonts w:cs="Times New Roman"/>
          <w:lang w:val="sq-AL"/>
        </w:rPr>
        <w:t>e vë atë</w:t>
      </w:r>
      <w:r>
        <w:rPr>
          <w:rFonts w:cs="Times New Roman"/>
          <w:spacing w:val="8"/>
          <w:lang w:val="sq-AL"/>
        </w:rPr>
        <w:t xml:space="preserve"> </w:t>
      </w:r>
      <w:r>
        <w:rPr>
          <w:rFonts w:cs="Times New Roman"/>
          <w:lang w:val="sq-AL"/>
        </w:rPr>
        <w:t>në</w:t>
      </w:r>
      <w:r>
        <w:rPr>
          <w:rFonts w:cs="Times New Roman"/>
          <w:spacing w:val="7"/>
          <w:lang w:val="sq-AL"/>
        </w:rPr>
        <w:t xml:space="preserve"> </w:t>
      </w:r>
      <w:r>
        <w:rPr>
          <w:rFonts w:cs="Times New Roman"/>
          <w:w w:val="103"/>
          <w:lang w:val="sq-AL"/>
        </w:rPr>
        <w:t>dispozicion të krijimit të modelit t</w:t>
      </w:r>
      <w:r>
        <w:rPr>
          <w:rFonts w:cs="Times New Roman"/>
          <w:lang w:val="sq-AL"/>
        </w:rPr>
        <w:t>ë</w:t>
      </w:r>
      <w:r>
        <w:rPr>
          <w:rFonts w:cs="Times New Roman"/>
          <w:spacing w:val="2"/>
          <w:lang w:val="sq-AL"/>
        </w:rPr>
        <w:t xml:space="preserve"> </w:t>
      </w:r>
      <w:r>
        <w:rPr>
          <w:rFonts w:cs="Times New Roman"/>
          <w:lang w:val="sq-AL"/>
        </w:rPr>
        <w:t>përbashkët</w:t>
      </w:r>
      <w:r>
        <w:rPr>
          <w:rFonts w:cs="Times New Roman"/>
          <w:spacing w:val="7"/>
          <w:lang w:val="sq-AL"/>
        </w:rPr>
        <w:t xml:space="preserve"> </w:t>
      </w:r>
      <w:r>
        <w:rPr>
          <w:rFonts w:cs="Times New Roman"/>
          <w:lang w:val="sq-AL"/>
        </w:rPr>
        <w:t>të</w:t>
      </w:r>
      <w:r>
        <w:rPr>
          <w:rFonts w:cs="Times New Roman"/>
          <w:spacing w:val="2"/>
          <w:lang w:val="sq-AL"/>
        </w:rPr>
        <w:t xml:space="preserve"> </w:t>
      </w:r>
      <w:r>
        <w:rPr>
          <w:rFonts w:cs="Times New Roman"/>
          <w:lang w:val="sq-AL"/>
        </w:rPr>
        <w:t>rrjetit</w:t>
      </w:r>
      <w:r>
        <w:rPr>
          <w:rFonts w:cs="Times New Roman"/>
          <w:spacing w:val="4"/>
          <w:lang w:val="sq-AL"/>
        </w:rPr>
        <w:t xml:space="preserve"> </w:t>
      </w:r>
      <w:r>
        <w:rPr>
          <w:rFonts w:cs="Times New Roman"/>
          <w:lang w:val="sq-AL"/>
        </w:rPr>
        <w:t>nëpërmjet</w:t>
      </w:r>
      <w:r>
        <w:rPr>
          <w:rFonts w:cs="Times New Roman"/>
          <w:spacing w:val="7"/>
          <w:lang w:val="sq-AL"/>
        </w:rPr>
        <w:t xml:space="preserve"> </w:t>
      </w:r>
      <w:r>
        <w:rPr>
          <w:rFonts w:cs="Times New Roman"/>
          <w:lang w:val="sq-AL"/>
        </w:rPr>
        <w:t>platformës</w:t>
      </w:r>
      <w:r>
        <w:rPr>
          <w:rFonts w:cs="Times New Roman"/>
          <w:spacing w:val="7"/>
          <w:lang w:val="sq-AL"/>
        </w:rPr>
        <w:t xml:space="preserve"> </w:t>
      </w:r>
      <w:r>
        <w:rPr>
          <w:rFonts w:cs="Times New Roman"/>
          <w:lang w:val="sq-AL"/>
        </w:rPr>
        <w:t>së</w:t>
      </w:r>
      <w:r>
        <w:rPr>
          <w:rFonts w:cs="Times New Roman"/>
          <w:spacing w:val="2"/>
          <w:lang w:val="sq-AL"/>
        </w:rPr>
        <w:t xml:space="preserve"> </w:t>
      </w:r>
      <w:r>
        <w:rPr>
          <w:rFonts w:cs="Times New Roman"/>
          <w:lang w:val="sq-AL"/>
        </w:rPr>
        <w:t>informacionit</w:t>
      </w:r>
      <w:r>
        <w:rPr>
          <w:rFonts w:cs="Times New Roman"/>
          <w:spacing w:val="8"/>
          <w:lang w:val="sq-AL"/>
        </w:rPr>
        <w:t xml:space="preserve"> </w:t>
      </w:r>
      <w:r>
        <w:rPr>
          <w:rFonts w:cs="Times New Roman"/>
          <w:lang w:val="sq-AL"/>
        </w:rPr>
        <w:t>të</w:t>
      </w:r>
      <w:r>
        <w:rPr>
          <w:rFonts w:cs="Times New Roman"/>
          <w:spacing w:val="2"/>
          <w:lang w:val="sq-AL"/>
        </w:rPr>
        <w:t xml:space="preserve"> </w:t>
      </w:r>
      <w:r>
        <w:rPr>
          <w:rFonts w:cs="Times New Roman"/>
          <w:lang w:val="sq-AL"/>
        </w:rPr>
        <w:t>përmendur</w:t>
      </w:r>
      <w:r>
        <w:rPr>
          <w:rFonts w:cs="Times New Roman"/>
          <w:spacing w:val="7"/>
          <w:lang w:val="sq-AL"/>
        </w:rPr>
        <w:t xml:space="preserve"> </w:t>
      </w:r>
      <w:r>
        <w:rPr>
          <w:rFonts w:cs="Times New Roman"/>
          <w:lang w:val="sq-AL"/>
        </w:rPr>
        <w:t>në</w:t>
      </w:r>
      <w:r>
        <w:rPr>
          <w:rFonts w:cs="Times New Roman"/>
          <w:spacing w:val="2"/>
          <w:lang w:val="sq-AL"/>
        </w:rPr>
        <w:t xml:space="preserve"> </w:t>
      </w:r>
      <w:r>
        <w:rPr>
          <w:rFonts w:cs="Times New Roman"/>
          <w:lang w:val="sq-AL"/>
        </w:rPr>
        <w:t>nenin</w:t>
      </w:r>
      <w:r>
        <w:rPr>
          <w:rFonts w:cs="Times New Roman"/>
          <w:spacing w:val="4"/>
          <w:lang w:val="sq-AL"/>
        </w:rPr>
        <w:t xml:space="preserve"> </w:t>
      </w:r>
      <w:r>
        <w:rPr>
          <w:rFonts w:cs="Times New Roman"/>
          <w:w w:val="101"/>
          <w:lang w:val="sq-AL"/>
        </w:rPr>
        <w:t>21;</w:t>
      </w:r>
    </w:p>
    <w:p w:rsidR="002F02C2" w:rsidRDefault="002F02C2" w:rsidP="002F02C2">
      <w:pPr>
        <w:pStyle w:val="Paragrafi"/>
        <w:rPr>
          <w:rFonts w:cs="Times New Roman"/>
          <w:spacing w:val="3"/>
          <w:lang w:val="sq-AL"/>
        </w:rPr>
      </w:pPr>
      <w:r>
        <w:rPr>
          <w:rFonts w:cs="Times New Roman"/>
          <w:spacing w:val="9"/>
          <w:lang w:val="sq-AL"/>
        </w:rPr>
        <w:t xml:space="preserve">l) Sigurohet që MIRR-js </w:t>
      </w:r>
      <w:r>
        <w:rPr>
          <w:rFonts w:cs="Times New Roman"/>
          <w:lang w:val="sq-AL"/>
        </w:rPr>
        <w:t>plotëson</w:t>
      </w:r>
      <w:r>
        <w:rPr>
          <w:rFonts w:cs="Times New Roman"/>
          <w:spacing w:val="25"/>
          <w:lang w:val="sq-AL"/>
        </w:rPr>
        <w:t xml:space="preserve"> </w:t>
      </w:r>
      <w:r>
        <w:rPr>
          <w:rFonts w:cs="Times New Roman"/>
          <w:lang w:val="sq-AL"/>
        </w:rPr>
        <w:t>kriteret</w:t>
      </w:r>
      <w:r>
        <w:rPr>
          <w:rFonts w:cs="Times New Roman"/>
          <w:spacing w:val="20"/>
          <w:lang w:val="sq-AL"/>
        </w:rPr>
        <w:t xml:space="preserve"> </w:t>
      </w:r>
      <w:r>
        <w:rPr>
          <w:rFonts w:cs="Times New Roman"/>
          <w:lang w:val="sq-AL"/>
        </w:rPr>
        <w:t>e</w:t>
      </w:r>
      <w:r>
        <w:rPr>
          <w:rFonts w:cs="Times New Roman"/>
          <w:spacing w:val="5"/>
          <w:lang w:val="sq-AL"/>
        </w:rPr>
        <w:t xml:space="preserve"> </w:t>
      </w:r>
      <w:r>
        <w:rPr>
          <w:rFonts w:cs="Times New Roman"/>
          <w:lang w:val="sq-AL"/>
        </w:rPr>
        <w:t>cilësisë</w:t>
      </w:r>
      <w:r>
        <w:rPr>
          <w:rFonts w:cs="Times New Roman"/>
          <w:spacing w:val="22"/>
          <w:lang w:val="sq-AL"/>
        </w:rPr>
        <w:t xml:space="preserve"> </w:t>
      </w:r>
      <w:r>
        <w:rPr>
          <w:rFonts w:cs="Times New Roman"/>
          <w:lang w:val="sq-AL"/>
        </w:rPr>
        <w:t>në</w:t>
      </w:r>
      <w:r>
        <w:rPr>
          <w:rFonts w:cs="Times New Roman"/>
          <w:spacing w:val="9"/>
          <w:lang w:val="sq-AL"/>
        </w:rPr>
        <w:t xml:space="preserve"> </w:t>
      </w:r>
      <w:r>
        <w:rPr>
          <w:rFonts w:cs="Times New Roman"/>
          <w:lang w:val="sq-AL"/>
        </w:rPr>
        <w:t>përputhje</w:t>
      </w:r>
      <w:r>
        <w:rPr>
          <w:rFonts w:cs="Times New Roman"/>
          <w:spacing w:val="27"/>
          <w:lang w:val="sq-AL"/>
        </w:rPr>
        <w:t xml:space="preserve"> </w:t>
      </w:r>
      <w:r>
        <w:rPr>
          <w:rFonts w:cs="Times New Roman"/>
          <w:lang w:val="sq-AL"/>
        </w:rPr>
        <w:t>me nenin</w:t>
      </w:r>
      <w:r>
        <w:rPr>
          <w:rFonts w:cs="Times New Roman"/>
          <w:spacing w:val="17"/>
          <w:lang w:val="sq-AL"/>
        </w:rPr>
        <w:t xml:space="preserve"> </w:t>
      </w:r>
      <w:r>
        <w:rPr>
          <w:rFonts w:cs="Times New Roman"/>
          <w:w w:val="104"/>
          <w:lang w:val="sq-AL"/>
        </w:rPr>
        <w:t>23;</w:t>
      </w:r>
    </w:p>
    <w:p w:rsidR="002F02C2" w:rsidRDefault="002F02C2" w:rsidP="002F02C2">
      <w:pPr>
        <w:pStyle w:val="Paragrafi"/>
        <w:rPr>
          <w:rFonts w:cs="Times New Roman"/>
          <w:spacing w:val="3"/>
          <w:lang w:val="sq-AL"/>
        </w:rPr>
      </w:pPr>
      <w:r>
        <w:rPr>
          <w:rFonts w:cs="Times New Roman"/>
          <w:lang w:val="sq-AL"/>
        </w:rPr>
        <w:t>m) Përsërit</w:t>
      </w:r>
      <w:r>
        <w:rPr>
          <w:rFonts w:cs="Times New Roman"/>
          <w:spacing w:val="18"/>
          <w:lang w:val="sq-AL"/>
        </w:rPr>
        <w:t xml:space="preserve"> </w:t>
      </w:r>
      <w:r>
        <w:rPr>
          <w:rFonts w:cs="Times New Roman"/>
          <w:lang w:val="sq-AL"/>
        </w:rPr>
        <w:t>hapat</w:t>
      </w:r>
      <w:r>
        <w:rPr>
          <w:rFonts w:cs="Times New Roman"/>
          <w:spacing w:val="13"/>
          <w:lang w:val="sq-AL"/>
        </w:rPr>
        <w:t xml:space="preserve"> </w:t>
      </w:r>
      <w:r>
        <w:rPr>
          <w:rFonts w:cs="Times New Roman"/>
          <w:lang w:val="sq-AL"/>
        </w:rPr>
        <w:t>përkatës,</w:t>
      </w:r>
      <w:r>
        <w:rPr>
          <w:rFonts w:cs="Times New Roman"/>
          <w:spacing w:val="22"/>
          <w:lang w:val="sq-AL"/>
        </w:rPr>
        <w:t xml:space="preserve"> </w:t>
      </w:r>
      <w:r>
        <w:rPr>
          <w:rFonts w:cs="Times New Roman"/>
          <w:lang w:val="sq-AL"/>
        </w:rPr>
        <w:t>siç</w:t>
      </w:r>
      <w:r>
        <w:rPr>
          <w:rFonts w:cs="Times New Roman"/>
          <w:spacing w:val="7"/>
          <w:lang w:val="sq-AL"/>
        </w:rPr>
        <w:t xml:space="preserve"> </w:t>
      </w:r>
      <w:r>
        <w:rPr>
          <w:rFonts w:cs="Times New Roman"/>
          <w:lang w:val="sq-AL"/>
        </w:rPr>
        <w:t>kërkohen</w:t>
      </w:r>
      <w:r>
        <w:rPr>
          <w:rFonts w:cs="Times New Roman"/>
          <w:spacing w:val="19"/>
          <w:lang w:val="sq-AL"/>
        </w:rPr>
        <w:t xml:space="preserve"> </w:t>
      </w:r>
      <w:r>
        <w:rPr>
          <w:rFonts w:cs="Times New Roman"/>
          <w:lang w:val="sq-AL"/>
        </w:rPr>
        <w:t>dhe</w:t>
      </w:r>
      <w:r>
        <w:rPr>
          <w:rFonts w:cs="Times New Roman"/>
          <w:spacing w:val="9"/>
          <w:lang w:val="sq-AL"/>
        </w:rPr>
        <w:t xml:space="preserve"> </w:t>
      </w:r>
      <w:r>
        <w:rPr>
          <w:rFonts w:cs="Times New Roman"/>
          <w:lang w:val="sq-AL"/>
        </w:rPr>
        <w:t>në</w:t>
      </w:r>
      <w:r>
        <w:rPr>
          <w:rFonts w:cs="Times New Roman"/>
          <w:spacing w:val="7"/>
          <w:lang w:val="sq-AL"/>
        </w:rPr>
        <w:t xml:space="preserve"> </w:t>
      </w:r>
      <w:r>
        <w:rPr>
          <w:rFonts w:cs="Times New Roman"/>
          <w:lang w:val="sq-AL"/>
        </w:rPr>
        <w:t>përputhje</w:t>
      </w:r>
      <w:r>
        <w:rPr>
          <w:rFonts w:cs="Times New Roman"/>
          <w:spacing w:val="21"/>
          <w:lang w:val="sq-AL"/>
        </w:rPr>
        <w:t xml:space="preserve"> </w:t>
      </w:r>
      <w:r>
        <w:rPr>
          <w:rFonts w:cs="Times New Roman"/>
          <w:lang w:val="sq-AL"/>
        </w:rPr>
        <w:t>me</w:t>
      </w:r>
      <w:r>
        <w:rPr>
          <w:rFonts w:cs="Times New Roman"/>
          <w:spacing w:val="8"/>
          <w:lang w:val="sq-AL"/>
        </w:rPr>
        <w:t xml:space="preserve"> </w:t>
      </w:r>
      <w:r>
        <w:rPr>
          <w:rFonts w:cs="Times New Roman"/>
          <w:lang w:val="sq-AL"/>
        </w:rPr>
        <w:t>detyrimet</w:t>
      </w:r>
      <w:r>
        <w:rPr>
          <w:rFonts w:cs="Times New Roman"/>
          <w:spacing w:val="20"/>
          <w:lang w:val="sq-AL"/>
        </w:rPr>
        <w:t xml:space="preserve"> </w:t>
      </w:r>
      <w:r>
        <w:rPr>
          <w:rFonts w:cs="Times New Roman"/>
          <w:lang w:val="sq-AL"/>
        </w:rPr>
        <w:t>e</w:t>
      </w:r>
      <w:r>
        <w:rPr>
          <w:rFonts w:cs="Times New Roman"/>
          <w:spacing w:val="4"/>
          <w:lang w:val="sq-AL"/>
        </w:rPr>
        <w:t xml:space="preserve"> </w:t>
      </w:r>
      <w:r>
        <w:rPr>
          <w:rFonts w:cs="Times New Roman"/>
          <w:lang w:val="sq-AL"/>
        </w:rPr>
        <w:t>tjera</w:t>
      </w:r>
      <w:r>
        <w:rPr>
          <w:rFonts w:cs="Times New Roman"/>
          <w:spacing w:val="11"/>
          <w:lang w:val="sq-AL"/>
        </w:rPr>
        <w:t xml:space="preserve"> </w:t>
      </w:r>
      <w:r>
        <w:rPr>
          <w:rFonts w:cs="Times New Roman"/>
          <w:lang w:val="sq-AL"/>
        </w:rPr>
        <w:t>të</w:t>
      </w:r>
      <w:r>
        <w:rPr>
          <w:rFonts w:cs="Times New Roman"/>
          <w:spacing w:val="6"/>
          <w:lang w:val="sq-AL"/>
        </w:rPr>
        <w:t xml:space="preserve"> </w:t>
      </w:r>
      <w:r>
        <w:rPr>
          <w:rFonts w:cs="Times New Roman"/>
          <w:lang w:val="sq-AL"/>
        </w:rPr>
        <w:t>përcaktuara</w:t>
      </w:r>
      <w:r>
        <w:rPr>
          <w:rFonts w:cs="Times New Roman"/>
          <w:spacing w:val="26"/>
          <w:lang w:val="sq-AL"/>
        </w:rPr>
        <w:t xml:space="preserve"> </w:t>
      </w:r>
      <w:r>
        <w:rPr>
          <w:rFonts w:cs="Times New Roman"/>
          <w:w w:val="103"/>
          <w:lang w:val="sq-AL"/>
        </w:rPr>
        <w:t xml:space="preserve">në </w:t>
      </w:r>
      <w:r>
        <w:rPr>
          <w:rFonts w:cs="Times New Roman"/>
          <w:lang w:val="sq-AL"/>
        </w:rPr>
        <w:t>këtë metodologji.</w:t>
      </w:r>
    </w:p>
    <w:p w:rsidR="002F02C2" w:rsidRDefault="002F02C2" w:rsidP="002F02C2">
      <w:pPr>
        <w:pStyle w:val="Paragrafi"/>
        <w:rPr>
          <w:rFonts w:cs="Times New Roman"/>
          <w:spacing w:val="3"/>
          <w:lang w:val="sq-AL"/>
        </w:rPr>
      </w:pPr>
      <w:r>
        <w:rPr>
          <w:rFonts w:cs="Times New Roman"/>
          <w:lang w:val="sq-AL"/>
        </w:rPr>
        <w:t>4. Çdo OST do të respektojnë procesin për bashkimin e MIRR-së në një MPRR përshkruar në nenin 20.</w:t>
      </w:r>
    </w:p>
    <w:p w:rsidR="002F02C2" w:rsidRDefault="002F02C2" w:rsidP="002F02C2">
      <w:pPr>
        <w:pStyle w:val="Paragrafi"/>
        <w:rPr>
          <w:rFonts w:cs="Times New Roman"/>
          <w:spacing w:val="3"/>
          <w:lang w:val="sq-AL"/>
        </w:rPr>
      </w:pPr>
      <w:r>
        <w:rPr>
          <w:rFonts w:cs="Times New Roman"/>
          <w:lang w:val="sq-AL"/>
        </w:rPr>
        <w:t>5. Çdo</w:t>
      </w:r>
      <w:r>
        <w:rPr>
          <w:rFonts w:cs="Times New Roman"/>
          <w:spacing w:val="8"/>
          <w:lang w:val="sq-AL"/>
        </w:rPr>
        <w:t xml:space="preserve"> </w:t>
      </w:r>
      <w:r>
        <w:rPr>
          <w:rFonts w:cs="Times New Roman"/>
          <w:lang w:val="sq-AL"/>
        </w:rPr>
        <w:t>OST</w:t>
      </w:r>
      <w:r>
        <w:rPr>
          <w:rFonts w:cs="Times New Roman"/>
          <w:spacing w:val="8"/>
          <w:lang w:val="sq-AL"/>
        </w:rPr>
        <w:t xml:space="preserve"> </w:t>
      </w:r>
      <w:r>
        <w:rPr>
          <w:rFonts w:cs="Times New Roman"/>
          <w:lang w:val="sq-AL"/>
        </w:rPr>
        <w:t>do</w:t>
      </w:r>
      <w:r>
        <w:rPr>
          <w:rFonts w:cs="Times New Roman"/>
          <w:spacing w:val="5"/>
          <w:lang w:val="sq-AL"/>
        </w:rPr>
        <w:t xml:space="preserve"> </w:t>
      </w:r>
      <w:r>
        <w:rPr>
          <w:rFonts w:cs="Times New Roman"/>
          <w:lang w:val="sq-AL"/>
        </w:rPr>
        <w:t>të</w:t>
      </w:r>
      <w:r>
        <w:rPr>
          <w:rFonts w:cs="Times New Roman"/>
          <w:spacing w:val="4"/>
          <w:lang w:val="sq-AL"/>
        </w:rPr>
        <w:t xml:space="preserve"> </w:t>
      </w:r>
      <w:r>
        <w:rPr>
          <w:rFonts w:cs="Times New Roman"/>
          <w:lang w:val="sq-AL"/>
        </w:rPr>
        <w:t>përditësojë MIRR-në e</w:t>
      </w:r>
      <w:r>
        <w:rPr>
          <w:rFonts w:cs="Times New Roman"/>
          <w:spacing w:val="3"/>
          <w:lang w:val="sq-AL"/>
        </w:rPr>
        <w:t xml:space="preserve"> </w:t>
      </w:r>
      <w:r>
        <w:rPr>
          <w:rFonts w:cs="Times New Roman"/>
          <w:lang w:val="sq-AL"/>
        </w:rPr>
        <w:t>tij</w:t>
      </w:r>
      <w:r>
        <w:rPr>
          <w:rFonts w:cs="Times New Roman"/>
          <w:spacing w:val="6"/>
          <w:lang w:val="sq-AL"/>
        </w:rPr>
        <w:t xml:space="preserve"> </w:t>
      </w:r>
      <w:r>
        <w:rPr>
          <w:rFonts w:cs="Times New Roman"/>
          <w:lang w:val="sq-AL"/>
        </w:rPr>
        <w:t>me</w:t>
      </w:r>
      <w:r>
        <w:rPr>
          <w:rFonts w:cs="Times New Roman"/>
          <w:spacing w:val="6"/>
          <w:lang w:val="sq-AL"/>
        </w:rPr>
        <w:t xml:space="preserve"> </w:t>
      </w:r>
      <w:r>
        <w:rPr>
          <w:rFonts w:cs="Times New Roman"/>
          <w:lang w:val="sq-AL"/>
        </w:rPr>
        <w:t>masat</w:t>
      </w:r>
      <w:r>
        <w:rPr>
          <w:rFonts w:cs="Times New Roman"/>
          <w:spacing w:val="11"/>
          <w:lang w:val="sq-AL"/>
        </w:rPr>
        <w:t xml:space="preserve"> </w:t>
      </w:r>
      <w:r>
        <w:rPr>
          <w:rFonts w:cs="Times New Roman"/>
          <w:lang w:val="sq-AL"/>
        </w:rPr>
        <w:t>e</w:t>
      </w:r>
      <w:r>
        <w:rPr>
          <w:rFonts w:cs="Times New Roman"/>
          <w:spacing w:val="3"/>
          <w:lang w:val="sq-AL"/>
        </w:rPr>
        <w:t xml:space="preserve"> </w:t>
      </w:r>
      <w:r>
        <w:rPr>
          <w:rFonts w:cs="Times New Roman"/>
          <w:lang w:val="sq-AL"/>
        </w:rPr>
        <w:t>rëna</w:t>
      </w:r>
      <w:r>
        <w:rPr>
          <w:rFonts w:cs="Times New Roman"/>
          <w:spacing w:val="8"/>
          <w:lang w:val="sq-AL"/>
        </w:rPr>
        <w:t xml:space="preserve"> </w:t>
      </w:r>
      <w:r>
        <w:rPr>
          <w:rFonts w:cs="Times New Roman"/>
          <w:lang w:val="sq-AL"/>
        </w:rPr>
        <w:t>dakord,</w:t>
      </w:r>
      <w:r>
        <w:rPr>
          <w:rFonts w:cs="Times New Roman"/>
          <w:spacing w:val="13"/>
          <w:lang w:val="sq-AL"/>
        </w:rPr>
        <w:t xml:space="preserve"> </w:t>
      </w:r>
      <w:r>
        <w:rPr>
          <w:rFonts w:cs="Times New Roman"/>
          <w:lang w:val="sq-AL"/>
        </w:rPr>
        <w:t>nëse</w:t>
      </w:r>
      <w:r>
        <w:rPr>
          <w:rFonts w:cs="Times New Roman"/>
          <w:spacing w:val="9"/>
          <w:lang w:val="sq-AL"/>
        </w:rPr>
        <w:t xml:space="preserve"> </w:t>
      </w:r>
      <w:r>
        <w:rPr>
          <w:rFonts w:cs="Times New Roman"/>
          <w:lang w:val="sq-AL"/>
        </w:rPr>
        <w:t>është</w:t>
      </w:r>
      <w:r>
        <w:rPr>
          <w:rFonts w:cs="Times New Roman"/>
          <w:spacing w:val="10"/>
          <w:lang w:val="sq-AL"/>
        </w:rPr>
        <w:t xml:space="preserve"> </w:t>
      </w:r>
      <w:r>
        <w:rPr>
          <w:rFonts w:cs="Times New Roman"/>
          <w:lang w:val="sq-AL"/>
        </w:rPr>
        <w:t>e</w:t>
      </w:r>
      <w:r>
        <w:rPr>
          <w:rFonts w:cs="Times New Roman"/>
          <w:spacing w:val="3"/>
          <w:lang w:val="sq-AL"/>
        </w:rPr>
        <w:t xml:space="preserve"> </w:t>
      </w:r>
      <w:r>
        <w:rPr>
          <w:rFonts w:cs="Times New Roman"/>
          <w:w w:val="103"/>
          <w:lang w:val="sq-AL"/>
        </w:rPr>
        <w:t>aplikueshme.</w:t>
      </w:r>
    </w:p>
    <w:p w:rsidR="002F02C2" w:rsidRDefault="002F02C2" w:rsidP="002F02C2">
      <w:pPr>
        <w:pStyle w:val="Paragrafi"/>
        <w:rPr>
          <w:rFonts w:cs="Times New Roman"/>
          <w:spacing w:val="3"/>
          <w:lang w:val="sq-AL"/>
        </w:rPr>
      </w:pPr>
      <w:r>
        <w:rPr>
          <w:rFonts w:cs="Times New Roman"/>
          <w:lang w:val="sq-AL"/>
        </w:rPr>
        <w:t>6. Çdo</w:t>
      </w:r>
      <w:r>
        <w:rPr>
          <w:rFonts w:cs="Times New Roman"/>
          <w:spacing w:val="4"/>
          <w:lang w:val="sq-AL"/>
        </w:rPr>
        <w:t xml:space="preserve"> </w:t>
      </w:r>
      <w:r>
        <w:rPr>
          <w:rFonts w:cs="Times New Roman"/>
          <w:lang w:val="sq-AL"/>
        </w:rPr>
        <w:t>OST</w:t>
      </w:r>
      <w:r>
        <w:rPr>
          <w:rFonts w:cs="Times New Roman"/>
          <w:spacing w:val="4"/>
          <w:lang w:val="sq-AL"/>
        </w:rPr>
        <w:t xml:space="preserve"> </w:t>
      </w:r>
      <w:r>
        <w:rPr>
          <w:rFonts w:cs="Times New Roman"/>
          <w:lang w:val="sq-AL"/>
        </w:rPr>
        <w:t>duhet</w:t>
      </w:r>
      <w:r>
        <w:rPr>
          <w:rFonts w:cs="Times New Roman"/>
          <w:spacing w:val="4"/>
          <w:lang w:val="sq-AL"/>
        </w:rPr>
        <w:t xml:space="preserve"> </w:t>
      </w:r>
      <w:r>
        <w:rPr>
          <w:rFonts w:cs="Times New Roman"/>
          <w:lang w:val="sq-AL"/>
        </w:rPr>
        <w:t>të</w:t>
      </w:r>
      <w:r>
        <w:rPr>
          <w:rFonts w:cs="Times New Roman"/>
          <w:spacing w:val="2"/>
          <w:lang w:val="sq-AL"/>
        </w:rPr>
        <w:t xml:space="preserve"> </w:t>
      </w:r>
      <w:r>
        <w:rPr>
          <w:rFonts w:cs="Times New Roman"/>
          <w:lang w:val="sq-AL"/>
        </w:rPr>
        <w:t>respektojë</w:t>
      </w:r>
      <w:r>
        <w:rPr>
          <w:rFonts w:cs="Times New Roman"/>
          <w:spacing w:val="8"/>
          <w:lang w:val="sq-AL"/>
        </w:rPr>
        <w:t xml:space="preserve"> </w:t>
      </w:r>
      <w:r>
        <w:rPr>
          <w:rFonts w:cs="Times New Roman"/>
          <w:lang w:val="sq-AL"/>
        </w:rPr>
        <w:t>kërkesat</w:t>
      </w:r>
      <w:r>
        <w:rPr>
          <w:rFonts w:cs="Times New Roman"/>
          <w:spacing w:val="6"/>
          <w:lang w:val="sq-AL"/>
        </w:rPr>
        <w:t xml:space="preserve"> </w:t>
      </w:r>
      <w:r>
        <w:rPr>
          <w:rFonts w:cs="Times New Roman"/>
          <w:lang w:val="sq-AL"/>
        </w:rPr>
        <w:t>e</w:t>
      </w:r>
      <w:r>
        <w:rPr>
          <w:rFonts w:cs="Times New Roman"/>
          <w:spacing w:val="2"/>
          <w:lang w:val="sq-AL"/>
        </w:rPr>
        <w:t xml:space="preserve"> </w:t>
      </w:r>
      <w:r>
        <w:rPr>
          <w:rFonts w:cs="Times New Roman"/>
          <w:lang w:val="sq-AL"/>
        </w:rPr>
        <w:t>parashikuara</w:t>
      </w:r>
      <w:r>
        <w:rPr>
          <w:rFonts w:cs="Times New Roman"/>
          <w:spacing w:val="9"/>
          <w:lang w:val="sq-AL"/>
        </w:rPr>
        <w:t xml:space="preserve"> </w:t>
      </w:r>
      <w:r>
        <w:rPr>
          <w:rFonts w:cs="Times New Roman"/>
          <w:lang w:val="sq-AL"/>
        </w:rPr>
        <w:t>në</w:t>
      </w:r>
      <w:r>
        <w:rPr>
          <w:rFonts w:cs="Times New Roman"/>
          <w:spacing w:val="3"/>
          <w:lang w:val="sq-AL"/>
        </w:rPr>
        <w:t xml:space="preserve"> </w:t>
      </w:r>
      <w:r>
        <w:rPr>
          <w:rFonts w:cs="Times New Roman"/>
          <w:lang w:val="sq-AL"/>
        </w:rPr>
        <w:t>nenin</w:t>
      </w:r>
      <w:r>
        <w:rPr>
          <w:rFonts w:cs="Times New Roman"/>
          <w:spacing w:val="4"/>
          <w:lang w:val="sq-AL"/>
        </w:rPr>
        <w:t xml:space="preserve"> </w:t>
      </w:r>
      <w:r>
        <w:rPr>
          <w:rFonts w:cs="Times New Roman"/>
          <w:lang w:val="sq-AL"/>
        </w:rPr>
        <w:t>22.</w:t>
      </w:r>
      <w:r>
        <w:rPr>
          <w:rFonts w:cs="Times New Roman"/>
          <w:spacing w:val="3"/>
          <w:lang w:val="sq-AL"/>
        </w:rPr>
        <w:t xml:space="preserve"> Të </w:t>
      </w:r>
      <w:r>
        <w:rPr>
          <w:rFonts w:cs="Times New Roman"/>
          <w:lang w:val="sq-AL"/>
        </w:rPr>
        <w:t>gjitha</w:t>
      </w:r>
      <w:r>
        <w:rPr>
          <w:rFonts w:cs="Times New Roman"/>
          <w:spacing w:val="4"/>
          <w:lang w:val="sq-AL"/>
        </w:rPr>
        <w:t xml:space="preserve"> </w:t>
      </w:r>
      <w:r>
        <w:rPr>
          <w:rFonts w:cs="Times New Roman"/>
          <w:lang w:val="sq-AL"/>
        </w:rPr>
        <w:t>kohët e</w:t>
      </w:r>
      <w:r>
        <w:rPr>
          <w:rFonts w:cs="Times New Roman"/>
          <w:spacing w:val="4"/>
          <w:lang w:val="sq-AL"/>
        </w:rPr>
        <w:t xml:space="preserve"> </w:t>
      </w:r>
      <w:r>
        <w:rPr>
          <w:rFonts w:cs="Times New Roman"/>
          <w:lang w:val="sq-AL"/>
        </w:rPr>
        <w:t>përcaktuara</w:t>
      </w:r>
      <w:r>
        <w:rPr>
          <w:rFonts w:cs="Times New Roman"/>
          <w:spacing w:val="8"/>
          <w:lang w:val="sq-AL"/>
        </w:rPr>
        <w:t xml:space="preserve"> </w:t>
      </w:r>
      <w:r>
        <w:rPr>
          <w:rFonts w:cs="Times New Roman"/>
          <w:lang w:val="sq-AL"/>
        </w:rPr>
        <w:t>në</w:t>
      </w:r>
      <w:r>
        <w:rPr>
          <w:rFonts w:cs="Times New Roman"/>
          <w:spacing w:val="3"/>
          <w:lang w:val="sq-AL"/>
        </w:rPr>
        <w:t xml:space="preserve"> </w:t>
      </w:r>
      <w:r>
        <w:rPr>
          <w:rFonts w:cs="Times New Roman"/>
          <w:lang w:val="sq-AL"/>
        </w:rPr>
        <w:t>këtë</w:t>
      </w:r>
      <w:r>
        <w:rPr>
          <w:rFonts w:cs="Times New Roman"/>
          <w:spacing w:val="4"/>
          <w:lang w:val="sq-AL"/>
        </w:rPr>
        <w:t xml:space="preserve"> propozim të MMPRR-së </w:t>
      </w:r>
      <w:r>
        <w:rPr>
          <w:rFonts w:cs="Times New Roman"/>
          <w:lang w:val="sq-AL"/>
        </w:rPr>
        <w:t>i</w:t>
      </w:r>
      <w:r>
        <w:rPr>
          <w:rFonts w:cs="Times New Roman"/>
          <w:spacing w:val="3"/>
          <w:lang w:val="sq-AL"/>
        </w:rPr>
        <w:t xml:space="preserve"> </w:t>
      </w:r>
      <w:r>
        <w:rPr>
          <w:rFonts w:cs="Times New Roman"/>
          <w:lang w:val="sq-AL"/>
        </w:rPr>
        <w:t>referohen</w:t>
      </w:r>
      <w:r>
        <w:rPr>
          <w:rFonts w:cs="Times New Roman"/>
          <w:spacing w:val="24"/>
          <w:lang w:val="sq-AL"/>
        </w:rPr>
        <w:t xml:space="preserve"> </w:t>
      </w:r>
      <w:r>
        <w:rPr>
          <w:rFonts w:cs="Times New Roman"/>
          <w:lang w:val="sq-AL"/>
        </w:rPr>
        <w:t>kohës</w:t>
      </w:r>
      <w:r>
        <w:rPr>
          <w:rFonts w:cs="Times New Roman"/>
          <w:spacing w:val="16"/>
          <w:lang w:val="sq-AL"/>
        </w:rPr>
        <w:t xml:space="preserve"> </w:t>
      </w:r>
      <w:r>
        <w:rPr>
          <w:rFonts w:cs="Times New Roman"/>
          <w:lang w:val="sq-AL"/>
        </w:rPr>
        <w:t>së</w:t>
      </w:r>
      <w:r>
        <w:rPr>
          <w:rFonts w:cs="Times New Roman"/>
          <w:spacing w:val="7"/>
          <w:lang w:val="sq-AL"/>
        </w:rPr>
        <w:t xml:space="preserve"> </w:t>
      </w:r>
      <w:r>
        <w:rPr>
          <w:rFonts w:cs="Times New Roman"/>
          <w:lang w:val="sq-AL"/>
        </w:rPr>
        <w:t>tregut,</w:t>
      </w:r>
      <w:r>
        <w:rPr>
          <w:rFonts w:cs="Times New Roman"/>
          <w:spacing w:val="17"/>
          <w:lang w:val="sq-AL"/>
        </w:rPr>
        <w:t xml:space="preserve"> </w:t>
      </w:r>
      <w:r>
        <w:rPr>
          <w:rFonts w:cs="Times New Roman"/>
          <w:lang w:val="sq-AL"/>
        </w:rPr>
        <w:t>siç</w:t>
      </w:r>
      <w:r>
        <w:rPr>
          <w:rFonts w:cs="Times New Roman"/>
          <w:spacing w:val="8"/>
          <w:lang w:val="sq-AL"/>
        </w:rPr>
        <w:t xml:space="preserve"> </w:t>
      </w:r>
      <w:r>
        <w:rPr>
          <w:rFonts w:cs="Times New Roman"/>
          <w:lang w:val="sq-AL"/>
        </w:rPr>
        <w:t>përcaktohet</w:t>
      </w:r>
      <w:r>
        <w:rPr>
          <w:rFonts w:cs="Times New Roman"/>
          <w:spacing w:val="29"/>
          <w:lang w:val="sq-AL"/>
        </w:rPr>
        <w:t xml:space="preserve"> </w:t>
      </w:r>
      <w:r>
        <w:rPr>
          <w:rFonts w:cs="Times New Roman"/>
          <w:lang w:val="sq-AL"/>
        </w:rPr>
        <w:t>në</w:t>
      </w:r>
      <w:r>
        <w:rPr>
          <w:rFonts w:cs="Times New Roman"/>
          <w:spacing w:val="8"/>
          <w:lang w:val="sq-AL"/>
        </w:rPr>
        <w:t xml:space="preserve"> </w:t>
      </w:r>
      <w:r>
        <w:rPr>
          <w:rFonts w:cs="Times New Roman"/>
          <w:lang w:val="sq-AL"/>
        </w:rPr>
        <w:t>nenin</w:t>
      </w:r>
      <w:r>
        <w:rPr>
          <w:rFonts w:cs="Times New Roman"/>
          <w:spacing w:val="15"/>
          <w:lang w:val="sq-AL"/>
        </w:rPr>
        <w:t xml:space="preserve"> </w:t>
      </w:r>
      <w:r>
        <w:rPr>
          <w:rFonts w:cs="Times New Roman"/>
          <w:lang w:val="sq-AL"/>
        </w:rPr>
        <w:t>2</w:t>
      </w:r>
      <w:r>
        <w:rPr>
          <w:rFonts w:cs="Times New Roman"/>
          <w:spacing w:val="5"/>
          <w:lang w:val="sq-AL"/>
        </w:rPr>
        <w:t xml:space="preserve"> </w:t>
      </w:r>
      <w:r>
        <w:rPr>
          <w:rFonts w:cs="Times New Roman"/>
          <w:lang w:val="sq-AL"/>
        </w:rPr>
        <w:t>(15)</w:t>
      </w:r>
      <w:r>
        <w:rPr>
          <w:rFonts w:cs="Times New Roman"/>
          <w:spacing w:val="11"/>
          <w:lang w:val="sq-AL"/>
        </w:rPr>
        <w:t xml:space="preserve"> </w:t>
      </w:r>
      <w:r>
        <w:rPr>
          <w:rFonts w:cs="Times New Roman"/>
          <w:lang w:val="sq-AL"/>
        </w:rPr>
        <w:t>të</w:t>
      </w:r>
      <w:r>
        <w:rPr>
          <w:rFonts w:cs="Times New Roman"/>
          <w:spacing w:val="6"/>
          <w:lang w:val="sq-AL"/>
        </w:rPr>
        <w:t xml:space="preserve"> </w:t>
      </w:r>
      <w:r>
        <w:rPr>
          <w:rFonts w:cs="Times New Roman"/>
          <w:lang w:val="sq-AL"/>
        </w:rPr>
        <w:t>Rregullores</w:t>
      </w:r>
      <w:r>
        <w:rPr>
          <w:rFonts w:cs="Times New Roman"/>
          <w:spacing w:val="29"/>
          <w:lang w:val="sq-AL"/>
        </w:rPr>
        <w:t xml:space="preserve"> </w:t>
      </w:r>
      <w:r>
        <w:rPr>
          <w:rFonts w:cs="Times New Roman"/>
          <w:w w:val="104"/>
          <w:lang w:val="sq-AL"/>
        </w:rPr>
        <w:t>2015/1222.</w:t>
      </w:r>
    </w:p>
    <w:p w:rsidR="002F02C2" w:rsidRDefault="002F02C2" w:rsidP="002F02C2">
      <w:pPr>
        <w:pStyle w:val="Hapesira7"/>
        <w:rPr>
          <w:lang w:val="sq-AL"/>
        </w:rPr>
      </w:pPr>
    </w:p>
    <w:p w:rsidR="002F02C2" w:rsidRDefault="002F02C2" w:rsidP="002F02C2">
      <w:pPr>
        <w:pStyle w:val="NeniNr"/>
        <w:rPr>
          <w:lang w:val="sq-AL"/>
        </w:rPr>
      </w:pPr>
      <w:r>
        <w:rPr>
          <w:lang w:val="sq-AL"/>
        </w:rPr>
        <w:t>Neni 5</w:t>
      </w:r>
    </w:p>
    <w:p w:rsidR="002F02C2" w:rsidRDefault="002F02C2" w:rsidP="002F02C2">
      <w:pPr>
        <w:pStyle w:val="NeniNr"/>
        <w:rPr>
          <w:b/>
          <w:lang w:val="sq-AL"/>
        </w:rPr>
      </w:pPr>
      <w:r>
        <w:rPr>
          <w:b/>
          <w:lang w:val="sq-AL"/>
        </w:rPr>
        <w:t>Të dhënat për t’u përfshirë në MIRR</w:t>
      </w:r>
    </w:p>
    <w:p w:rsidR="002F02C2" w:rsidRDefault="002F02C2" w:rsidP="002F02C2">
      <w:pPr>
        <w:pStyle w:val="Hapesira7"/>
        <w:rPr>
          <w:lang w:val="sq-AL"/>
        </w:rPr>
      </w:pPr>
    </w:p>
    <w:p w:rsidR="002F02C2" w:rsidRDefault="002F02C2" w:rsidP="002F02C2">
      <w:pPr>
        <w:pStyle w:val="Paragrafi"/>
        <w:rPr>
          <w:rFonts w:cs="Times New Roman"/>
          <w:lang w:val="sq-AL"/>
        </w:rPr>
      </w:pPr>
      <w:r>
        <w:rPr>
          <w:rFonts w:cs="Times New Roman"/>
          <w:lang w:val="sq-AL"/>
        </w:rPr>
        <w:t xml:space="preserve">1. MIRR-të duhet të përmbajnë elementet e rrjetit të tensionit të lartë dhe ekstra të lartë për aq kohë sa këto përdoren në analizat rajonale të sigurisë operacionale për periudhën përkatëse kohore. </w:t>
      </w:r>
    </w:p>
    <w:p w:rsidR="002F02C2" w:rsidRDefault="002F02C2" w:rsidP="002F02C2">
      <w:pPr>
        <w:pStyle w:val="Paragrafi"/>
        <w:rPr>
          <w:rFonts w:cs="Times New Roman"/>
          <w:lang w:val="sq-AL"/>
        </w:rPr>
      </w:pPr>
      <w:r>
        <w:rPr>
          <w:rFonts w:cs="Times New Roman"/>
          <w:lang w:val="sq-AL"/>
        </w:rPr>
        <w:t>2. Një</w:t>
      </w:r>
      <w:r>
        <w:rPr>
          <w:rFonts w:cs="Times New Roman"/>
          <w:spacing w:val="11"/>
          <w:lang w:val="sq-AL"/>
        </w:rPr>
        <w:t xml:space="preserve"> </w:t>
      </w:r>
      <w:r>
        <w:rPr>
          <w:rFonts w:cs="Times New Roman"/>
          <w:lang w:val="sq-AL"/>
        </w:rPr>
        <w:t>identifikues</w:t>
      </w:r>
      <w:r>
        <w:rPr>
          <w:rFonts w:cs="Times New Roman"/>
          <w:spacing w:val="32"/>
          <w:lang w:val="sq-AL"/>
        </w:rPr>
        <w:t xml:space="preserve"> </w:t>
      </w:r>
      <w:r>
        <w:rPr>
          <w:rFonts w:cs="Times New Roman"/>
          <w:lang w:val="sq-AL"/>
        </w:rPr>
        <w:t>unik</w:t>
      </w:r>
      <w:r>
        <w:rPr>
          <w:rFonts w:cs="Times New Roman"/>
          <w:spacing w:val="15"/>
          <w:lang w:val="sq-AL"/>
        </w:rPr>
        <w:t xml:space="preserve"> </w:t>
      </w:r>
      <w:r>
        <w:rPr>
          <w:rFonts w:cs="Times New Roman"/>
          <w:lang w:val="sq-AL"/>
        </w:rPr>
        <w:t>do</w:t>
      </w:r>
      <w:r>
        <w:rPr>
          <w:rFonts w:cs="Times New Roman"/>
          <w:spacing w:val="9"/>
          <w:lang w:val="sq-AL"/>
        </w:rPr>
        <w:t xml:space="preserve"> </w:t>
      </w:r>
      <w:r>
        <w:rPr>
          <w:rFonts w:cs="Times New Roman"/>
          <w:lang w:val="sq-AL"/>
        </w:rPr>
        <w:t>të</w:t>
      </w:r>
      <w:r>
        <w:rPr>
          <w:rFonts w:cs="Times New Roman"/>
          <w:spacing w:val="7"/>
          <w:lang w:val="sq-AL"/>
        </w:rPr>
        <w:t xml:space="preserve"> </w:t>
      </w:r>
      <w:r>
        <w:rPr>
          <w:rFonts w:cs="Times New Roman"/>
          <w:lang w:val="sq-AL"/>
        </w:rPr>
        <w:t>vendoset</w:t>
      </w:r>
      <w:r>
        <w:rPr>
          <w:rFonts w:cs="Times New Roman"/>
          <w:spacing w:val="27"/>
          <w:lang w:val="sq-AL"/>
        </w:rPr>
        <w:t xml:space="preserve"> </w:t>
      </w:r>
      <w:r>
        <w:rPr>
          <w:rFonts w:cs="Times New Roman"/>
          <w:lang w:val="sq-AL"/>
        </w:rPr>
        <w:t>për</w:t>
      </w:r>
      <w:r>
        <w:rPr>
          <w:rFonts w:cs="Times New Roman"/>
          <w:spacing w:val="11"/>
          <w:lang w:val="sq-AL"/>
        </w:rPr>
        <w:t xml:space="preserve"> </w:t>
      </w:r>
      <w:r>
        <w:rPr>
          <w:rFonts w:cs="Times New Roman"/>
          <w:lang w:val="sq-AL"/>
        </w:rPr>
        <w:t>çdo</w:t>
      </w:r>
      <w:r>
        <w:rPr>
          <w:rFonts w:cs="Times New Roman"/>
          <w:spacing w:val="12"/>
          <w:lang w:val="sq-AL"/>
        </w:rPr>
        <w:t xml:space="preserve"> </w:t>
      </w:r>
      <w:r>
        <w:rPr>
          <w:rFonts w:cs="Times New Roman"/>
          <w:lang w:val="sq-AL"/>
        </w:rPr>
        <w:t>element</w:t>
      </w:r>
      <w:r>
        <w:rPr>
          <w:rFonts w:cs="Times New Roman"/>
          <w:spacing w:val="23"/>
          <w:lang w:val="sq-AL"/>
        </w:rPr>
        <w:t xml:space="preserve"> </w:t>
      </w:r>
      <w:r>
        <w:rPr>
          <w:rFonts w:cs="Times New Roman"/>
          <w:lang w:val="sq-AL"/>
        </w:rPr>
        <w:t>të</w:t>
      </w:r>
      <w:r>
        <w:rPr>
          <w:rFonts w:cs="Times New Roman"/>
          <w:spacing w:val="7"/>
          <w:lang w:val="sq-AL"/>
        </w:rPr>
        <w:t xml:space="preserve"> </w:t>
      </w:r>
      <w:r>
        <w:rPr>
          <w:rFonts w:cs="Times New Roman"/>
          <w:lang w:val="sq-AL"/>
        </w:rPr>
        <w:t>rrjetit</w:t>
      </w:r>
      <w:r>
        <w:rPr>
          <w:rFonts w:cs="Times New Roman"/>
          <w:spacing w:val="15"/>
          <w:lang w:val="sq-AL"/>
        </w:rPr>
        <w:t xml:space="preserve"> </w:t>
      </w:r>
      <w:r>
        <w:rPr>
          <w:rFonts w:cs="Times New Roman"/>
          <w:lang w:val="sq-AL"/>
        </w:rPr>
        <w:t>të</w:t>
      </w:r>
      <w:r>
        <w:rPr>
          <w:rFonts w:cs="Times New Roman"/>
          <w:spacing w:val="7"/>
          <w:lang w:val="sq-AL"/>
        </w:rPr>
        <w:t xml:space="preserve"> </w:t>
      </w:r>
      <w:r>
        <w:rPr>
          <w:rFonts w:cs="Times New Roman"/>
          <w:w w:val="104"/>
          <w:lang w:val="sq-AL"/>
        </w:rPr>
        <w:t>përfshirë në model.</w:t>
      </w:r>
    </w:p>
    <w:p w:rsidR="002F02C2" w:rsidRDefault="002F02C2" w:rsidP="002F02C2">
      <w:pPr>
        <w:pStyle w:val="Paragrafi"/>
        <w:rPr>
          <w:rFonts w:cs="Times New Roman"/>
          <w:lang w:val="sq-AL"/>
        </w:rPr>
      </w:pPr>
      <w:r>
        <w:rPr>
          <w:rFonts w:cs="Times New Roman"/>
          <w:lang w:val="sq-AL"/>
        </w:rPr>
        <w:t>3. Ku kjo metodologji i referohet ndarjes sipas burimeve primare të energjisë, është</w:t>
      </w:r>
      <w:r>
        <w:rPr>
          <w:rFonts w:cs="Times New Roman"/>
          <w:spacing w:val="11"/>
          <w:lang w:val="sq-AL"/>
        </w:rPr>
        <w:t xml:space="preserve"> </w:t>
      </w:r>
      <w:r>
        <w:rPr>
          <w:rFonts w:cs="Times New Roman"/>
          <w:lang w:val="sq-AL"/>
        </w:rPr>
        <w:t>e</w:t>
      </w:r>
      <w:r>
        <w:rPr>
          <w:rFonts w:cs="Times New Roman"/>
          <w:spacing w:val="3"/>
          <w:lang w:val="sq-AL"/>
        </w:rPr>
        <w:t xml:space="preserve"> </w:t>
      </w:r>
      <w:r>
        <w:rPr>
          <w:rFonts w:cs="Times New Roman"/>
          <w:w w:val="103"/>
          <w:lang w:val="sq-AL"/>
        </w:rPr>
        <w:t>nevojshme</w:t>
      </w:r>
      <w:r>
        <w:rPr>
          <w:rFonts w:cs="Times New Roman"/>
          <w:lang w:val="sq-AL"/>
        </w:rPr>
        <w:t xml:space="preserve"> një ndarje në burimet</w:t>
      </w:r>
      <w:r>
        <w:rPr>
          <w:rFonts w:cs="Times New Roman"/>
          <w:spacing w:val="14"/>
          <w:lang w:val="sq-AL"/>
        </w:rPr>
        <w:t xml:space="preserve"> </w:t>
      </w:r>
      <w:r>
        <w:rPr>
          <w:rFonts w:cs="Times New Roman"/>
          <w:lang w:val="sq-AL"/>
        </w:rPr>
        <w:t>e</w:t>
      </w:r>
      <w:r>
        <w:rPr>
          <w:rFonts w:cs="Times New Roman"/>
          <w:spacing w:val="3"/>
          <w:lang w:val="sq-AL"/>
        </w:rPr>
        <w:t xml:space="preserve"> </w:t>
      </w:r>
      <w:r>
        <w:rPr>
          <w:rFonts w:cs="Times New Roman"/>
          <w:lang w:val="sq-AL"/>
        </w:rPr>
        <w:t>primare të energjisë</w:t>
      </w:r>
      <w:r>
        <w:rPr>
          <w:rFonts w:cs="Times New Roman"/>
          <w:spacing w:val="14"/>
          <w:lang w:val="sq-AL"/>
        </w:rPr>
        <w:t xml:space="preserve"> </w:t>
      </w:r>
      <w:r>
        <w:rPr>
          <w:rFonts w:cs="Times New Roman"/>
          <w:lang w:val="sq-AL"/>
        </w:rPr>
        <w:t>në</w:t>
      </w:r>
      <w:r>
        <w:rPr>
          <w:rFonts w:cs="Times New Roman"/>
          <w:spacing w:val="5"/>
          <w:lang w:val="sq-AL"/>
        </w:rPr>
        <w:t xml:space="preserve"> </w:t>
      </w:r>
      <w:r>
        <w:rPr>
          <w:rFonts w:cs="Times New Roman"/>
          <w:lang w:val="sq-AL"/>
        </w:rPr>
        <w:t>përputhje</w:t>
      </w:r>
      <w:r>
        <w:rPr>
          <w:rFonts w:cs="Times New Roman"/>
          <w:spacing w:val="17"/>
          <w:lang w:val="sq-AL"/>
        </w:rPr>
        <w:t xml:space="preserve"> </w:t>
      </w:r>
      <w:r>
        <w:rPr>
          <w:rFonts w:cs="Times New Roman"/>
          <w:lang w:val="sq-AL"/>
        </w:rPr>
        <w:t>me</w:t>
      </w:r>
      <w:r>
        <w:rPr>
          <w:rFonts w:cs="Times New Roman"/>
          <w:spacing w:val="6"/>
          <w:lang w:val="sq-AL"/>
        </w:rPr>
        <w:t xml:space="preserve"> </w:t>
      </w:r>
      <w:r>
        <w:rPr>
          <w:rFonts w:cs="Times New Roman"/>
          <w:lang w:val="sq-AL"/>
        </w:rPr>
        <w:t>ato</w:t>
      </w:r>
      <w:r>
        <w:rPr>
          <w:rFonts w:cs="Times New Roman"/>
          <w:spacing w:val="6"/>
          <w:lang w:val="sq-AL"/>
        </w:rPr>
        <w:t xml:space="preserve"> </w:t>
      </w:r>
      <w:r>
        <w:rPr>
          <w:rFonts w:cs="Times New Roman"/>
          <w:lang w:val="sq-AL"/>
        </w:rPr>
        <w:t>të</w:t>
      </w:r>
      <w:r>
        <w:rPr>
          <w:rFonts w:cs="Times New Roman"/>
          <w:spacing w:val="4"/>
          <w:lang w:val="sq-AL"/>
        </w:rPr>
        <w:t xml:space="preserve"> </w:t>
      </w:r>
      <w:r>
        <w:rPr>
          <w:rFonts w:cs="Times New Roman"/>
          <w:lang w:val="sq-AL"/>
        </w:rPr>
        <w:t>përdorura</w:t>
      </w:r>
      <w:r>
        <w:rPr>
          <w:rFonts w:cs="Times New Roman"/>
          <w:spacing w:val="18"/>
          <w:lang w:val="sq-AL"/>
        </w:rPr>
        <w:t xml:space="preserve"> </w:t>
      </w:r>
      <w:r>
        <w:rPr>
          <w:rFonts w:cs="Times New Roman"/>
          <w:lang w:val="sq-AL"/>
        </w:rPr>
        <w:t>nga</w:t>
      </w:r>
      <w:r>
        <w:rPr>
          <w:rFonts w:cs="Times New Roman"/>
          <w:spacing w:val="8"/>
          <w:lang w:val="sq-AL"/>
        </w:rPr>
        <w:t xml:space="preserve"> </w:t>
      </w:r>
      <w:r>
        <w:rPr>
          <w:rFonts w:cs="Times New Roman"/>
          <w:lang w:val="sq-AL"/>
        </w:rPr>
        <w:t>platforma e</w:t>
      </w:r>
      <w:r>
        <w:rPr>
          <w:rFonts w:cs="Times New Roman"/>
          <w:spacing w:val="17"/>
          <w:lang w:val="sq-AL"/>
        </w:rPr>
        <w:t xml:space="preserve"> </w:t>
      </w:r>
      <w:r>
        <w:rPr>
          <w:rFonts w:cs="Times New Roman"/>
          <w:lang w:val="sq-AL"/>
        </w:rPr>
        <w:t>transparencës</w:t>
      </w:r>
      <w:r>
        <w:rPr>
          <w:rFonts w:cs="Times New Roman"/>
          <w:spacing w:val="26"/>
          <w:lang w:val="sq-AL"/>
        </w:rPr>
        <w:t xml:space="preserve"> </w:t>
      </w:r>
      <w:r>
        <w:rPr>
          <w:rFonts w:cs="Times New Roman"/>
          <w:lang w:val="sq-AL"/>
        </w:rPr>
        <w:t>së</w:t>
      </w:r>
      <w:r>
        <w:rPr>
          <w:rFonts w:cs="Times New Roman"/>
          <w:spacing w:val="5"/>
          <w:lang w:val="sq-AL"/>
        </w:rPr>
        <w:t xml:space="preserve"> </w:t>
      </w:r>
      <w:r>
        <w:rPr>
          <w:rFonts w:cs="Times New Roman"/>
          <w:lang w:val="sq-AL"/>
        </w:rPr>
        <w:t>informacionit</w:t>
      </w:r>
      <w:r>
        <w:rPr>
          <w:rFonts w:cs="Times New Roman"/>
          <w:spacing w:val="23"/>
          <w:lang w:val="sq-AL"/>
        </w:rPr>
        <w:t xml:space="preserve"> </w:t>
      </w:r>
      <w:r>
        <w:rPr>
          <w:rFonts w:cs="Times New Roman"/>
          <w:lang w:val="sq-AL"/>
        </w:rPr>
        <w:t>në</w:t>
      </w:r>
      <w:r>
        <w:rPr>
          <w:rFonts w:cs="Times New Roman"/>
          <w:spacing w:val="5"/>
          <w:lang w:val="sq-AL"/>
        </w:rPr>
        <w:t xml:space="preserve"> </w:t>
      </w:r>
      <w:r>
        <w:rPr>
          <w:rFonts w:cs="Times New Roman"/>
          <w:lang w:val="sq-AL"/>
        </w:rPr>
        <w:t>pajtim</w:t>
      </w:r>
      <w:r>
        <w:rPr>
          <w:rFonts w:cs="Times New Roman"/>
          <w:spacing w:val="11"/>
          <w:lang w:val="sq-AL"/>
        </w:rPr>
        <w:t xml:space="preserve"> </w:t>
      </w:r>
      <w:r>
        <w:rPr>
          <w:rFonts w:cs="Times New Roman"/>
          <w:lang w:val="sq-AL"/>
        </w:rPr>
        <w:t>me</w:t>
      </w:r>
      <w:r>
        <w:rPr>
          <w:rFonts w:cs="Times New Roman"/>
          <w:spacing w:val="6"/>
          <w:lang w:val="sq-AL"/>
        </w:rPr>
        <w:t xml:space="preserve"> </w:t>
      </w:r>
      <w:r>
        <w:rPr>
          <w:rFonts w:cs="Times New Roman"/>
          <w:w w:val="103"/>
          <w:lang w:val="sq-AL"/>
        </w:rPr>
        <w:t xml:space="preserve">Rregulloren </w:t>
      </w:r>
      <w:r>
        <w:rPr>
          <w:rFonts w:cs="Times New Roman"/>
          <w:lang w:val="sq-AL"/>
        </w:rPr>
        <w:t>543/2013</w:t>
      </w:r>
      <w:r>
        <w:rPr>
          <w:rFonts w:cs="Times New Roman"/>
          <w:w w:val="103"/>
          <w:lang w:val="sq-AL"/>
        </w:rPr>
        <w:t>.</w:t>
      </w:r>
    </w:p>
    <w:p w:rsidR="002F02C2" w:rsidRDefault="002F02C2" w:rsidP="002F02C2">
      <w:pPr>
        <w:pStyle w:val="Paragrafi"/>
        <w:rPr>
          <w:rFonts w:cs="Times New Roman"/>
          <w:lang w:val="sq-AL"/>
        </w:rPr>
      </w:pPr>
      <w:r>
        <w:rPr>
          <w:rFonts w:cs="Times New Roman"/>
          <w:lang w:val="sq-AL"/>
        </w:rPr>
        <w:t>4. Nëse</w:t>
      </w:r>
      <w:r>
        <w:rPr>
          <w:rFonts w:cs="Times New Roman"/>
          <w:spacing w:val="7"/>
          <w:lang w:val="sq-AL"/>
        </w:rPr>
        <w:t xml:space="preserve"> </w:t>
      </w:r>
      <w:r>
        <w:rPr>
          <w:rFonts w:cs="Times New Roman"/>
          <w:lang w:val="sq-AL"/>
        </w:rPr>
        <w:t>ndonjë</w:t>
      </w:r>
      <w:r>
        <w:rPr>
          <w:rFonts w:cs="Times New Roman"/>
          <w:spacing w:val="8"/>
          <w:lang w:val="sq-AL"/>
        </w:rPr>
        <w:t xml:space="preserve"> </w:t>
      </w:r>
      <w:r>
        <w:rPr>
          <w:rFonts w:cs="Times New Roman"/>
          <w:lang w:val="sq-AL"/>
        </w:rPr>
        <w:t>nga të dhënat</w:t>
      </w:r>
      <w:r>
        <w:rPr>
          <w:rFonts w:cs="Times New Roman"/>
          <w:spacing w:val="8"/>
          <w:lang w:val="sq-AL"/>
        </w:rPr>
        <w:t xml:space="preserve"> </w:t>
      </w:r>
      <w:r>
        <w:rPr>
          <w:rFonts w:cs="Times New Roman"/>
          <w:lang w:val="sq-AL"/>
        </w:rPr>
        <w:t>e</w:t>
      </w:r>
      <w:r>
        <w:rPr>
          <w:rFonts w:cs="Times New Roman"/>
          <w:spacing w:val="2"/>
          <w:lang w:val="sq-AL"/>
        </w:rPr>
        <w:t xml:space="preserve"> </w:t>
      </w:r>
      <w:r>
        <w:rPr>
          <w:rFonts w:cs="Times New Roman"/>
          <w:lang w:val="sq-AL"/>
        </w:rPr>
        <w:t>kërkuara nuk është e disponueshme</w:t>
      </w:r>
      <w:r>
        <w:rPr>
          <w:rFonts w:cs="Times New Roman"/>
          <w:spacing w:val="13"/>
          <w:lang w:val="sq-AL"/>
        </w:rPr>
        <w:t xml:space="preserve"> </w:t>
      </w:r>
      <w:r>
        <w:rPr>
          <w:rFonts w:cs="Times New Roman"/>
          <w:lang w:val="sq-AL"/>
        </w:rPr>
        <w:t>për</w:t>
      </w:r>
      <w:r>
        <w:rPr>
          <w:rFonts w:cs="Times New Roman"/>
          <w:spacing w:val="4"/>
          <w:lang w:val="sq-AL"/>
        </w:rPr>
        <w:t xml:space="preserve"> ndonjë </w:t>
      </w:r>
      <w:r>
        <w:rPr>
          <w:rFonts w:cs="Times New Roman"/>
          <w:lang w:val="sq-AL"/>
        </w:rPr>
        <w:t>OST,</w:t>
      </w:r>
      <w:r>
        <w:rPr>
          <w:rFonts w:cs="Times New Roman"/>
          <w:spacing w:val="7"/>
          <w:lang w:val="sq-AL"/>
        </w:rPr>
        <w:t xml:space="preserve"> në vend të saj, </w:t>
      </w:r>
      <w:r>
        <w:rPr>
          <w:rFonts w:cs="Times New Roman"/>
          <w:lang w:val="sq-AL"/>
        </w:rPr>
        <w:t>OST-ja</w:t>
      </w:r>
      <w:r>
        <w:rPr>
          <w:rFonts w:cs="Times New Roman"/>
          <w:spacing w:val="6"/>
          <w:lang w:val="sq-AL"/>
        </w:rPr>
        <w:t xml:space="preserve"> </w:t>
      </w:r>
      <w:r>
        <w:rPr>
          <w:rFonts w:cs="Times New Roman"/>
          <w:lang w:val="sq-AL"/>
        </w:rPr>
        <w:t>do</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përdorë</w:t>
      </w:r>
      <w:r>
        <w:rPr>
          <w:rFonts w:cs="Times New Roman"/>
          <w:spacing w:val="9"/>
          <w:lang w:val="sq-AL"/>
        </w:rPr>
        <w:t xml:space="preserve"> </w:t>
      </w:r>
      <w:r>
        <w:rPr>
          <w:rFonts w:cs="Times New Roman"/>
          <w:lang w:val="sq-AL"/>
        </w:rPr>
        <w:t>parashikimin e tij më</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mirë</w:t>
      </w:r>
      <w:r>
        <w:rPr>
          <w:rFonts w:cs="Times New Roman"/>
          <w:w w:val="102"/>
          <w:lang w:val="sq-AL"/>
        </w:rPr>
        <w:t>.</w:t>
      </w:r>
    </w:p>
    <w:p w:rsidR="002F02C2" w:rsidRDefault="002F02C2" w:rsidP="002F02C2">
      <w:pPr>
        <w:pStyle w:val="Hapesira7"/>
        <w:rPr>
          <w:w w:val="103"/>
          <w:lang w:val="sq-AL"/>
        </w:rPr>
      </w:pPr>
    </w:p>
    <w:p w:rsidR="002F02C2" w:rsidRDefault="002F02C2" w:rsidP="002F02C2">
      <w:pPr>
        <w:pStyle w:val="NeniNr"/>
        <w:rPr>
          <w:lang w:val="sq-AL"/>
        </w:rPr>
      </w:pPr>
      <w:r>
        <w:rPr>
          <w:lang w:val="sq-AL"/>
        </w:rPr>
        <w:t>Neni 6</w:t>
      </w:r>
    </w:p>
    <w:p w:rsidR="002F02C2" w:rsidRDefault="002F02C2" w:rsidP="002F02C2">
      <w:pPr>
        <w:pStyle w:val="NeniNr"/>
        <w:rPr>
          <w:b/>
          <w:lang w:val="sq-AL"/>
        </w:rPr>
      </w:pPr>
      <w:r>
        <w:rPr>
          <w:b/>
          <w:lang w:val="sq-AL"/>
        </w:rPr>
        <w:t>Elementet e rrjetit</w:t>
      </w:r>
    </w:p>
    <w:p w:rsidR="002F02C2" w:rsidRDefault="002F02C2" w:rsidP="002F02C2">
      <w:pPr>
        <w:pStyle w:val="Hapesira7"/>
        <w:rPr>
          <w:lang w:val="sq-AL"/>
        </w:rPr>
      </w:pPr>
    </w:p>
    <w:p w:rsidR="002F02C2" w:rsidRDefault="002F02C2" w:rsidP="002F02C2">
      <w:pPr>
        <w:pStyle w:val="Paragrafi"/>
        <w:rPr>
          <w:lang w:val="sq-AL"/>
        </w:rPr>
      </w:pPr>
      <w:r>
        <w:rPr>
          <w:lang w:val="sq-AL"/>
        </w:rPr>
        <w:t>1. Elementet e rrjetit të përshkruar në paragrafin 2 të këtij neni duhet të përfshihen në çdo MIRR pavarësisht nëse</w:t>
      </w:r>
      <w:r>
        <w:rPr>
          <w:spacing w:val="17"/>
          <w:lang w:val="sq-AL"/>
        </w:rPr>
        <w:t xml:space="preserve"> </w:t>
      </w:r>
      <w:r>
        <w:rPr>
          <w:lang w:val="sq-AL"/>
        </w:rPr>
        <w:t>këto</w:t>
      </w:r>
      <w:r>
        <w:rPr>
          <w:spacing w:val="15"/>
          <w:lang w:val="sq-AL"/>
        </w:rPr>
        <w:t xml:space="preserve"> </w:t>
      </w:r>
      <w:r>
        <w:rPr>
          <w:lang w:val="sq-AL"/>
        </w:rPr>
        <w:t>janë</w:t>
      </w:r>
      <w:r>
        <w:rPr>
          <w:spacing w:val="15"/>
          <w:lang w:val="sq-AL"/>
        </w:rPr>
        <w:t xml:space="preserve"> </w:t>
      </w:r>
      <w:r>
        <w:rPr>
          <w:lang w:val="sq-AL"/>
        </w:rPr>
        <w:t>të</w:t>
      </w:r>
      <w:r>
        <w:rPr>
          <w:spacing w:val="8"/>
          <w:lang w:val="sq-AL"/>
        </w:rPr>
        <w:t xml:space="preserve"> </w:t>
      </w:r>
      <w:r>
        <w:rPr>
          <w:lang w:val="sq-AL"/>
        </w:rPr>
        <w:t>operuar</w:t>
      </w:r>
      <w:r>
        <w:rPr>
          <w:spacing w:val="26"/>
          <w:lang w:val="sq-AL"/>
        </w:rPr>
        <w:t xml:space="preserve"> </w:t>
      </w:r>
      <w:r>
        <w:rPr>
          <w:lang w:val="sq-AL"/>
        </w:rPr>
        <w:t>nga</w:t>
      </w:r>
      <w:r>
        <w:rPr>
          <w:spacing w:val="14"/>
          <w:lang w:val="sq-AL"/>
        </w:rPr>
        <w:t xml:space="preserve"> </w:t>
      </w:r>
      <w:r>
        <w:rPr>
          <w:lang w:val="sq-AL"/>
        </w:rPr>
        <w:t>OST-ja</w:t>
      </w:r>
      <w:r>
        <w:rPr>
          <w:spacing w:val="16"/>
          <w:lang w:val="sq-AL"/>
        </w:rPr>
        <w:t xml:space="preserve"> </w:t>
      </w:r>
      <w:r>
        <w:rPr>
          <w:lang w:val="sq-AL"/>
        </w:rPr>
        <w:t>ose</w:t>
      </w:r>
      <w:r>
        <w:rPr>
          <w:spacing w:val="13"/>
          <w:lang w:val="sq-AL"/>
        </w:rPr>
        <w:t xml:space="preserve"> </w:t>
      </w:r>
      <w:r>
        <w:rPr>
          <w:lang w:val="sq-AL"/>
        </w:rPr>
        <w:t>OSSH-ja (përfshirë OSMSH-në)</w:t>
      </w:r>
      <w:r>
        <w:rPr>
          <w:spacing w:val="25"/>
          <w:lang w:val="sq-AL"/>
        </w:rPr>
        <w:t xml:space="preserve"> </w:t>
      </w:r>
      <w:r>
        <w:rPr>
          <w:lang w:val="sq-AL"/>
        </w:rPr>
        <w:t>në</w:t>
      </w:r>
      <w:r>
        <w:rPr>
          <w:spacing w:val="10"/>
          <w:lang w:val="sq-AL"/>
        </w:rPr>
        <w:t xml:space="preserve"> </w:t>
      </w:r>
      <w:r>
        <w:rPr>
          <w:lang w:val="sq-AL"/>
        </w:rPr>
        <w:t>qoftë</w:t>
      </w:r>
      <w:r>
        <w:rPr>
          <w:spacing w:val="18"/>
          <w:lang w:val="sq-AL"/>
        </w:rPr>
        <w:t xml:space="preserve"> </w:t>
      </w:r>
      <w:r>
        <w:rPr>
          <w:lang w:val="sq-AL"/>
        </w:rPr>
        <w:t>se</w:t>
      </w:r>
      <w:r>
        <w:rPr>
          <w:spacing w:val="9"/>
          <w:lang w:val="sq-AL"/>
        </w:rPr>
        <w:t xml:space="preserve"> </w:t>
      </w:r>
      <w:r>
        <w:rPr>
          <w:lang w:val="sq-AL"/>
        </w:rPr>
        <w:t>këto</w:t>
      </w:r>
      <w:r>
        <w:rPr>
          <w:spacing w:val="15"/>
          <w:lang w:val="sq-AL"/>
        </w:rPr>
        <w:t xml:space="preserve"> </w:t>
      </w:r>
      <w:r>
        <w:rPr>
          <w:lang w:val="sq-AL"/>
        </w:rPr>
        <w:t>elemente</w:t>
      </w:r>
      <w:r>
        <w:rPr>
          <w:spacing w:val="31"/>
          <w:lang w:val="sq-AL"/>
        </w:rPr>
        <w:t xml:space="preserve"> </w:t>
      </w:r>
      <w:r>
        <w:rPr>
          <w:lang w:val="sq-AL"/>
        </w:rPr>
        <w:t>e</w:t>
      </w:r>
      <w:r>
        <w:rPr>
          <w:spacing w:val="6"/>
          <w:lang w:val="sq-AL"/>
        </w:rPr>
        <w:t xml:space="preserve"> </w:t>
      </w:r>
      <w:r>
        <w:rPr>
          <w:lang w:val="sq-AL"/>
        </w:rPr>
        <w:t>rrjetit</w:t>
      </w:r>
      <w:r>
        <w:rPr>
          <w:spacing w:val="18"/>
          <w:lang w:val="sq-AL"/>
        </w:rPr>
        <w:t xml:space="preserve"> </w:t>
      </w:r>
      <w:r>
        <w:rPr>
          <w:lang w:val="sq-AL"/>
        </w:rPr>
        <w:t>janë</w:t>
      </w:r>
      <w:r>
        <w:rPr>
          <w:spacing w:val="15"/>
          <w:lang w:val="sq-AL"/>
        </w:rPr>
        <w:t xml:space="preserve"> </w:t>
      </w:r>
      <w:r>
        <w:rPr>
          <w:lang w:val="sq-AL"/>
        </w:rPr>
        <w:t>të</w:t>
      </w:r>
      <w:r>
        <w:rPr>
          <w:spacing w:val="11"/>
          <w:lang w:val="sq-AL"/>
        </w:rPr>
        <w:t xml:space="preserve"> </w:t>
      </w:r>
      <w:r>
        <w:rPr>
          <w:lang w:val="sq-AL"/>
        </w:rPr>
        <w:t>nivelit</w:t>
      </w:r>
      <w:r>
        <w:rPr>
          <w:spacing w:val="18"/>
          <w:lang w:val="sq-AL"/>
        </w:rPr>
        <w:t xml:space="preserve"> </w:t>
      </w:r>
      <w:r>
        <w:rPr>
          <w:lang w:val="sq-AL"/>
        </w:rPr>
        <w:t>të</w:t>
      </w:r>
      <w:r>
        <w:rPr>
          <w:spacing w:val="8"/>
          <w:lang w:val="sq-AL"/>
        </w:rPr>
        <w:t xml:space="preserve"> </w:t>
      </w:r>
      <w:r>
        <w:rPr>
          <w:w w:val="105"/>
          <w:lang w:val="sq-AL"/>
        </w:rPr>
        <w:t>tensionit:</w:t>
      </w:r>
    </w:p>
    <w:p w:rsidR="002F02C2" w:rsidRDefault="002F02C2" w:rsidP="002F02C2">
      <w:pPr>
        <w:pStyle w:val="Paragrafi"/>
        <w:rPr>
          <w:rFonts w:cs="Times New Roman"/>
          <w:lang w:val="sq-AL"/>
        </w:rPr>
      </w:pPr>
      <w:r>
        <w:rPr>
          <w:rFonts w:cs="Times New Roman"/>
          <w:lang w:val="sq-AL"/>
        </w:rPr>
        <w:t>a) 220</w:t>
      </w:r>
      <w:r>
        <w:rPr>
          <w:rFonts w:cs="Times New Roman"/>
          <w:spacing w:val="8"/>
          <w:lang w:val="sq-AL"/>
        </w:rPr>
        <w:t xml:space="preserve"> </w:t>
      </w:r>
      <w:r>
        <w:rPr>
          <w:rFonts w:cs="Times New Roman"/>
          <w:lang w:val="sq-AL"/>
        </w:rPr>
        <w:t>kV</w:t>
      </w:r>
      <w:r>
        <w:rPr>
          <w:rFonts w:cs="Times New Roman"/>
          <w:spacing w:val="6"/>
          <w:lang w:val="sq-AL"/>
        </w:rPr>
        <w:t xml:space="preserve"> </w:t>
      </w:r>
      <w:r>
        <w:rPr>
          <w:rFonts w:cs="Times New Roman"/>
          <w:lang w:val="sq-AL"/>
        </w:rPr>
        <w:t>ose</w:t>
      </w:r>
      <w:r>
        <w:rPr>
          <w:rFonts w:cs="Times New Roman"/>
          <w:spacing w:val="8"/>
          <w:lang w:val="sq-AL"/>
        </w:rPr>
        <w:t xml:space="preserve"> </w:t>
      </w:r>
      <w:r>
        <w:rPr>
          <w:rFonts w:cs="Times New Roman"/>
          <w:lang w:val="sq-AL"/>
        </w:rPr>
        <w:t>më</w:t>
      </w:r>
      <w:r>
        <w:rPr>
          <w:rFonts w:cs="Times New Roman"/>
          <w:spacing w:val="7"/>
          <w:lang w:val="sq-AL"/>
        </w:rPr>
        <w:t xml:space="preserve"> </w:t>
      </w:r>
      <w:r>
        <w:rPr>
          <w:rFonts w:cs="Times New Roman"/>
          <w:w w:val="103"/>
          <w:lang w:val="sq-AL"/>
        </w:rPr>
        <w:t>lart;</w:t>
      </w:r>
    </w:p>
    <w:p w:rsidR="002F02C2" w:rsidRDefault="002F02C2" w:rsidP="002F02C2">
      <w:pPr>
        <w:pStyle w:val="Paragrafi"/>
        <w:rPr>
          <w:rFonts w:cs="Times New Roman"/>
          <w:lang w:val="sq-AL"/>
        </w:rPr>
      </w:pPr>
      <w:r>
        <w:rPr>
          <w:rFonts w:cs="Times New Roman"/>
          <w:lang w:val="sq-AL"/>
        </w:rPr>
        <w:t>b) Prej</w:t>
      </w:r>
      <w:r>
        <w:rPr>
          <w:rFonts w:cs="Times New Roman"/>
          <w:spacing w:val="11"/>
          <w:lang w:val="sq-AL"/>
        </w:rPr>
        <w:t xml:space="preserve"> </w:t>
      </w:r>
      <w:r>
        <w:rPr>
          <w:rFonts w:cs="Times New Roman"/>
          <w:lang w:val="sq-AL"/>
        </w:rPr>
        <w:t>më</w:t>
      </w:r>
      <w:r>
        <w:rPr>
          <w:rFonts w:cs="Times New Roman"/>
          <w:spacing w:val="10"/>
          <w:lang w:val="sq-AL"/>
        </w:rPr>
        <w:t xml:space="preserve"> </w:t>
      </w:r>
      <w:r>
        <w:rPr>
          <w:rFonts w:cs="Times New Roman"/>
          <w:lang w:val="sq-AL"/>
        </w:rPr>
        <w:t>pak</w:t>
      </w:r>
      <w:r>
        <w:rPr>
          <w:rFonts w:cs="Times New Roman"/>
          <w:spacing w:val="11"/>
          <w:lang w:val="sq-AL"/>
        </w:rPr>
        <w:t xml:space="preserve"> </w:t>
      </w:r>
      <w:r>
        <w:rPr>
          <w:rFonts w:cs="Times New Roman"/>
          <w:lang w:val="sq-AL"/>
        </w:rPr>
        <w:t>se</w:t>
      </w:r>
      <w:r>
        <w:rPr>
          <w:rFonts w:cs="Times New Roman"/>
          <w:spacing w:val="8"/>
          <w:lang w:val="sq-AL"/>
        </w:rPr>
        <w:t xml:space="preserve"> </w:t>
      </w:r>
      <w:r>
        <w:rPr>
          <w:rFonts w:cs="Times New Roman"/>
          <w:lang w:val="sq-AL"/>
        </w:rPr>
        <w:t>220</w:t>
      </w:r>
      <w:r>
        <w:rPr>
          <w:rFonts w:cs="Times New Roman"/>
          <w:spacing w:val="11"/>
          <w:lang w:val="sq-AL"/>
        </w:rPr>
        <w:t xml:space="preserve"> </w:t>
      </w:r>
      <w:r>
        <w:rPr>
          <w:rFonts w:cs="Times New Roman"/>
          <w:lang w:val="sq-AL"/>
        </w:rPr>
        <w:t>kV</w:t>
      </w:r>
      <w:r>
        <w:rPr>
          <w:rFonts w:cs="Times New Roman"/>
          <w:spacing w:val="9"/>
          <w:lang w:val="sq-AL"/>
        </w:rPr>
        <w:t xml:space="preserve"> </w:t>
      </w:r>
      <w:r>
        <w:rPr>
          <w:rFonts w:cs="Times New Roman"/>
          <w:lang w:val="sq-AL"/>
        </w:rPr>
        <w:t>dhe</w:t>
      </w:r>
      <w:r>
        <w:rPr>
          <w:rFonts w:cs="Times New Roman"/>
          <w:spacing w:val="11"/>
          <w:lang w:val="sq-AL"/>
        </w:rPr>
        <w:t xml:space="preserve"> </w:t>
      </w:r>
      <w:r>
        <w:rPr>
          <w:rFonts w:cs="Times New Roman"/>
          <w:lang w:val="sq-AL"/>
        </w:rPr>
        <w:t>elementet</w:t>
      </w:r>
      <w:r>
        <w:rPr>
          <w:rFonts w:cs="Times New Roman"/>
          <w:spacing w:val="27"/>
          <w:lang w:val="sq-AL"/>
        </w:rPr>
        <w:t xml:space="preserve"> </w:t>
      </w:r>
      <w:r>
        <w:rPr>
          <w:rFonts w:cs="Times New Roman"/>
          <w:lang w:val="sq-AL"/>
        </w:rPr>
        <w:t>e</w:t>
      </w:r>
      <w:r>
        <w:rPr>
          <w:rFonts w:cs="Times New Roman"/>
          <w:spacing w:val="5"/>
          <w:lang w:val="sq-AL"/>
        </w:rPr>
        <w:t xml:space="preserve"> </w:t>
      </w:r>
      <w:r>
        <w:rPr>
          <w:rFonts w:cs="Times New Roman"/>
          <w:lang w:val="sq-AL"/>
        </w:rPr>
        <w:t>rrjetit</w:t>
      </w:r>
      <w:r>
        <w:rPr>
          <w:rFonts w:cs="Times New Roman"/>
          <w:spacing w:val="14"/>
          <w:lang w:val="sq-AL"/>
        </w:rPr>
        <w:t xml:space="preserve"> </w:t>
      </w:r>
      <w:r>
        <w:rPr>
          <w:rFonts w:cs="Times New Roman"/>
          <w:lang w:val="sq-AL"/>
        </w:rPr>
        <w:t>të</w:t>
      </w:r>
      <w:r>
        <w:rPr>
          <w:rFonts w:cs="Times New Roman"/>
          <w:spacing w:val="7"/>
          <w:lang w:val="sq-AL"/>
        </w:rPr>
        <w:t xml:space="preserve"> </w:t>
      </w:r>
      <w:r>
        <w:rPr>
          <w:rFonts w:cs="Times New Roman"/>
          <w:lang w:val="sq-AL"/>
        </w:rPr>
        <w:t>cilat</w:t>
      </w:r>
      <w:r>
        <w:rPr>
          <w:rFonts w:cs="Times New Roman"/>
          <w:spacing w:val="13"/>
          <w:lang w:val="sq-AL"/>
        </w:rPr>
        <w:t xml:space="preserve"> </w:t>
      </w:r>
      <w:r>
        <w:rPr>
          <w:rFonts w:cs="Times New Roman"/>
          <w:lang w:val="sq-AL"/>
        </w:rPr>
        <w:t>përdoren</w:t>
      </w:r>
      <w:r>
        <w:rPr>
          <w:rFonts w:cs="Times New Roman"/>
          <w:spacing w:val="23"/>
          <w:lang w:val="sq-AL"/>
        </w:rPr>
        <w:t xml:space="preserve"> </w:t>
      </w:r>
      <w:r>
        <w:rPr>
          <w:rFonts w:cs="Times New Roman"/>
          <w:lang w:val="sq-AL"/>
        </w:rPr>
        <w:t>në</w:t>
      </w:r>
      <w:r>
        <w:rPr>
          <w:rFonts w:cs="Times New Roman"/>
          <w:spacing w:val="8"/>
          <w:lang w:val="sq-AL"/>
        </w:rPr>
        <w:t xml:space="preserve"> analizat e </w:t>
      </w:r>
      <w:r>
        <w:rPr>
          <w:rFonts w:cs="Times New Roman"/>
          <w:lang w:val="sq-AL"/>
        </w:rPr>
        <w:t>sigurisë operative</w:t>
      </w:r>
      <w:r>
        <w:rPr>
          <w:rFonts w:cs="Times New Roman"/>
          <w:spacing w:val="8"/>
          <w:lang w:val="sq-AL"/>
        </w:rPr>
        <w:t xml:space="preserve"> rajonale</w:t>
      </w:r>
      <w:r>
        <w:rPr>
          <w:rFonts w:cs="Times New Roman"/>
          <w:lang w:val="sq-AL"/>
        </w:rPr>
        <w:t>.</w:t>
      </w:r>
    </w:p>
    <w:p w:rsidR="002F02C2" w:rsidRDefault="002F02C2" w:rsidP="002F02C2">
      <w:pPr>
        <w:pStyle w:val="Paragrafi"/>
        <w:rPr>
          <w:lang w:val="sq-AL"/>
        </w:rPr>
      </w:pPr>
      <w:r>
        <w:rPr>
          <w:lang w:val="sq-AL"/>
        </w:rPr>
        <w:t>2. Elementet</w:t>
      </w:r>
      <w:r>
        <w:rPr>
          <w:spacing w:val="8"/>
          <w:lang w:val="sq-AL"/>
        </w:rPr>
        <w:t xml:space="preserve"> </w:t>
      </w:r>
      <w:r>
        <w:rPr>
          <w:lang w:val="sq-AL"/>
        </w:rPr>
        <w:t>e rëndësishme</w:t>
      </w:r>
      <w:r>
        <w:rPr>
          <w:spacing w:val="8"/>
          <w:lang w:val="sq-AL"/>
        </w:rPr>
        <w:t xml:space="preserve"> të </w:t>
      </w:r>
      <w:r>
        <w:rPr>
          <w:lang w:val="sq-AL"/>
        </w:rPr>
        <w:t>rrjetit</w:t>
      </w:r>
      <w:r>
        <w:rPr>
          <w:spacing w:val="4"/>
          <w:lang w:val="sq-AL"/>
        </w:rPr>
        <w:t xml:space="preserve"> </w:t>
      </w:r>
      <w:r>
        <w:rPr>
          <w:lang w:val="sq-AL"/>
        </w:rPr>
        <w:t>dhe</w:t>
      </w:r>
      <w:r>
        <w:rPr>
          <w:spacing w:val="3"/>
          <w:lang w:val="sq-AL"/>
        </w:rPr>
        <w:t xml:space="preserve"> </w:t>
      </w:r>
      <w:r>
        <w:rPr>
          <w:lang w:val="sq-AL"/>
        </w:rPr>
        <w:t>të</w:t>
      </w:r>
      <w:r>
        <w:rPr>
          <w:spacing w:val="2"/>
          <w:lang w:val="sq-AL"/>
        </w:rPr>
        <w:t xml:space="preserve"> </w:t>
      </w:r>
      <w:r>
        <w:rPr>
          <w:lang w:val="sq-AL"/>
        </w:rPr>
        <w:t>dhënat</w:t>
      </w:r>
      <w:r>
        <w:rPr>
          <w:spacing w:val="6"/>
          <w:lang w:val="sq-AL"/>
        </w:rPr>
        <w:t xml:space="preserve"> </w:t>
      </w:r>
      <w:r>
        <w:rPr>
          <w:lang w:val="sq-AL"/>
        </w:rPr>
        <w:t>që</w:t>
      </w:r>
      <w:r>
        <w:rPr>
          <w:spacing w:val="3"/>
          <w:lang w:val="sq-AL"/>
        </w:rPr>
        <w:t xml:space="preserve"> </w:t>
      </w:r>
      <w:r>
        <w:rPr>
          <w:lang w:val="sq-AL"/>
        </w:rPr>
        <w:t>duhet të</w:t>
      </w:r>
      <w:r>
        <w:rPr>
          <w:spacing w:val="2"/>
          <w:lang w:val="sq-AL"/>
        </w:rPr>
        <w:t xml:space="preserve"> </w:t>
      </w:r>
      <w:r>
        <w:rPr>
          <w:lang w:val="sq-AL"/>
        </w:rPr>
        <w:t>ofrohen</w:t>
      </w:r>
      <w:r>
        <w:rPr>
          <w:spacing w:val="6"/>
          <w:lang w:val="sq-AL"/>
        </w:rPr>
        <w:t xml:space="preserve"> </w:t>
      </w:r>
      <w:r>
        <w:rPr>
          <w:lang w:val="sq-AL"/>
        </w:rPr>
        <w:t>për</w:t>
      </w:r>
      <w:r>
        <w:rPr>
          <w:spacing w:val="3"/>
          <w:lang w:val="sq-AL"/>
        </w:rPr>
        <w:t xml:space="preserve"> </w:t>
      </w:r>
      <w:r>
        <w:rPr>
          <w:lang w:val="sq-AL"/>
        </w:rPr>
        <w:t>ta</w:t>
      </w:r>
      <w:r>
        <w:rPr>
          <w:spacing w:val="4"/>
          <w:lang w:val="sq-AL"/>
        </w:rPr>
        <w:t xml:space="preserve"> </w:t>
      </w:r>
      <w:r>
        <w:rPr>
          <w:w w:val="101"/>
          <w:lang w:val="sq-AL"/>
        </w:rPr>
        <w:t>janë:</w:t>
      </w:r>
    </w:p>
    <w:p w:rsidR="002F02C2" w:rsidRDefault="002F02C2" w:rsidP="002F02C2">
      <w:pPr>
        <w:pStyle w:val="Paragrafi"/>
        <w:rPr>
          <w:rFonts w:cs="Times New Roman"/>
          <w:lang w:val="sq-AL"/>
        </w:rPr>
      </w:pPr>
      <w:r>
        <w:rPr>
          <w:rFonts w:cs="Times New Roman"/>
          <w:lang w:val="sq-AL"/>
        </w:rPr>
        <w:t>a) Për nënstacionet: nivelet</w:t>
      </w:r>
      <w:r>
        <w:rPr>
          <w:rFonts w:cs="Times New Roman"/>
          <w:spacing w:val="21"/>
          <w:lang w:val="sq-AL"/>
        </w:rPr>
        <w:t xml:space="preserve"> </w:t>
      </w:r>
      <w:r>
        <w:rPr>
          <w:rFonts w:cs="Times New Roman"/>
          <w:lang w:val="sq-AL"/>
        </w:rPr>
        <w:t>e</w:t>
      </w:r>
      <w:r>
        <w:rPr>
          <w:rFonts w:cs="Times New Roman"/>
          <w:spacing w:val="6"/>
          <w:lang w:val="sq-AL"/>
        </w:rPr>
        <w:t xml:space="preserve"> </w:t>
      </w:r>
      <w:r>
        <w:rPr>
          <w:rFonts w:cs="Times New Roman"/>
          <w:lang w:val="sq-AL"/>
        </w:rPr>
        <w:t>tensionit,</w:t>
      </w:r>
      <w:r>
        <w:rPr>
          <w:rFonts w:cs="Times New Roman"/>
          <w:spacing w:val="28"/>
          <w:lang w:val="sq-AL"/>
        </w:rPr>
        <w:t xml:space="preserve"> </w:t>
      </w:r>
      <w:r>
        <w:rPr>
          <w:rFonts w:cs="Times New Roman"/>
          <w:lang w:val="sq-AL"/>
        </w:rPr>
        <w:t>seksionet</w:t>
      </w:r>
      <w:r>
        <w:rPr>
          <w:rFonts w:cs="Times New Roman"/>
          <w:spacing w:val="29"/>
          <w:lang w:val="sq-AL"/>
        </w:rPr>
        <w:t xml:space="preserve"> e </w:t>
      </w:r>
      <w:r>
        <w:rPr>
          <w:rFonts w:cs="Times New Roman"/>
          <w:lang w:val="sq-AL"/>
        </w:rPr>
        <w:t>skarave</w:t>
      </w:r>
      <w:r>
        <w:rPr>
          <w:rFonts w:cs="Times New Roman"/>
          <w:spacing w:val="27"/>
          <w:lang w:val="sq-AL"/>
        </w:rPr>
        <w:t xml:space="preserve"> </w:t>
      </w:r>
      <w:r>
        <w:rPr>
          <w:rFonts w:cs="Times New Roman"/>
          <w:lang w:val="sq-AL"/>
        </w:rPr>
        <w:t>dhe</w:t>
      </w:r>
      <w:r>
        <w:rPr>
          <w:rFonts w:cs="Times New Roman"/>
          <w:spacing w:val="13"/>
          <w:lang w:val="sq-AL"/>
        </w:rPr>
        <w:t xml:space="preserve"> </w:t>
      </w:r>
      <w:r>
        <w:rPr>
          <w:rFonts w:cs="Times New Roman"/>
          <w:lang w:val="sq-AL"/>
        </w:rPr>
        <w:t>nëse</w:t>
      </w:r>
      <w:r>
        <w:rPr>
          <w:rFonts w:cs="Times New Roman"/>
          <w:spacing w:val="16"/>
          <w:lang w:val="sq-AL"/>
        </w:rPr>
        <w:t xml:space="preserve"> </w:t>
      </w:r>
      <w:r>
        <w:rPr>
          <w:rFonts w:cs="Times New Roman"/>
          <w:lang w:val="sq-AL"/>
        </w:rPr>
        <w:t>është</w:t>
      </w:r>
      <w:r>
        <w:rPr>
          <w:rFonts w:cs="Times New Roman"/>
          <w:spacing w:val="18"/>
          <w:lang w:val="sq-AL"/>
        </w:rPr>
        <w:t xml:space="preserve"> </w:t>
      </w:r>
      <w:r>
        <w:rPr>
          <w:rFonts w:cs="Times New Roman"/>
          <w:lang w:val="sq-AL"/>
        </w:rPr>
        <w:t>e</w:t>
      </w:r>
      <w:r>
        <w:rPr>
          <w:rFonts w:cs="Times New Roman"/>
          <w:spacing w:val="6"/>
          <w:lang w:val="sq-AL"/>
        </w:rPr>
        <w:t xml:space="preserve"> </w:t>
      </w:r>
      <w:r>
        <w:rPr>
          <w:rFonts w:cs="Times New Roman"/>
          <w:lang w:val="sq-AL"/>
        </w:rPr>
        <w:t>aplikueshme metoda e</w:t>
      </w:r>
      <w:r>
        <w:rPr>
          <w:rFonts w:cs="Times New Roman"/>
          <w:spacing w:val="2"/>
          <w:lang w:val="sq-AL"/>
        </w:rPr>
        <w:t xml:space="preserve"> </w:t>
      </w:r>
      <w:r>
        <w:rPr>
          <w:rFonts w:cs="Times New Roman"/>
          <w:w w:val="105"/>
          <w:lang w:val="sq-AL"/>
        </w:rPr>
        <w:t xml:space="preserve">modelimit e përdorur për </w:t>
      </w:r>
      <w:r>
        <w:rPr>
          <w:rFonts w:cs="Times New Roman"/>
          <w:lang w:val="sq-AL"/>
        </w:rPr>
        <w:t>pajisjet komutuese,</w:t>
      </w:r>
      <w:r>
        <w:rPr>
          <w:rFonts w:cs="Times New Roman"/>
          <w:spacing w:val="4"/>
          <w:lang w:val="sq-AL"/>
        </w:rPr>
        <w:t xml:space="preserve"> </w:t>
      </w:r>
      <w:r>
        <w:rPr>
          <w:rFonts w:cs="Times New Roman"/>
          <w:lang w:val="sq-AL"/>
        </w:rPr>
        <w:t>lloji</w:t>
      </w:r>
      <w:r>
        <w:rPr>
          <w:rFonts w:cs="Times New Roman"/>
          <w:spacing w:val="4"/>
          <w:lang w:val="sq-AL"/>
        </w:rPr>
        <w:t xml:space="preserve"> i </w:t>
      </w:r>
      <w:r>
        <w:rPr>
          <w:rFonts w:cs="Times New Roman"/>
          <w:lang w:val="sq-AL"/>
        </w:rPr>
        <w:t>çelësave,</w:t>
      </w:r>
      <w:r>
        <w:rPr>
          <w:rFonts w:cs="Times New Roman"/>
          <w:spacing w:val="6"/>
          <w:lang w:val="sq-AL"/>
        </w:rPr>
        <w:t xml:space="preserve"> i thikave</w:t>
      </w:r>
      <w:r>
        <w:rPr>
          <w:rFonts w:cs="Times New Roman"/>
          <w:lang w:val="sq-AL"/>
        </w:rPr>
        <w:t>,</w:t>
      </w:r>
      <w:r>
        <w:rPr>
          <w:rFonts w:cs="Times New Roman"/>
          <w:spacing w:val="6"/>
          <w:lang w:val="sq-AL"/>
        </w:rPr>
        <w:t xml:space="preserve"> i izolatorëve dhe i çelësave të ngarkesës</w:t>
      </w:r>
      <w:r>
        <w:rPr>
          <w:rFonts w:cs="Times New Roman"/>
          <w:w w:val="101"/>
          <w:lang w:val="sq-AL"/>
        </w:rPr>
        <w:t>;</w:t>
      </w:r>
    </w:p>
    <w:p w:rsidR="002F02C2" w:rsidRDefault="002F02C2" w:rsidP="002F02C2">
      <w:pPr>
        <w:pStyle w:val="Paragrafi"/>
        <w:rPr>
          <w:rFonts w:cs="Times New Roman"/>
          <w:lang w:val="sq-AL"/>
        </w:rPr>
      </w:pPr>
      <w:r>
        <w:rPr>
          <w:rFonts w:cs="Times New Roman"/>
          <w:lang w:val="sq-AL"/>
        </w:rPr>
        <w:t>b) Për linjat ose kabllot: karakteristikat elektrike, nënstacionet në të cilat janë të lidhura;</w:t>
      </w:r>
    </w:p>
    <w:p w:rsidR="002F02C2" w:rsidRDefault="002F02C2" w:rsidP="002F02C2">
      <w:pPr>
        <w:pStyle w:val="Paragrafi"/>
        <w:rPr>
          <w:rFonts w:cs="Times New Roman"/>
          <w:lang w:val="sq-AL"/>
        </w:rPr>
      </w:pPr>
      <w:r>
        <w:rPr>
          <w:rFonts w:cs="Times New Roman"/>
          <w:lang w:val="sq-AL"/>
        </w:rPr>
        <w:t>c) Për transformatorët e</w:t>
      </w:r>
      <w:r>
        <w:rPr>
          <w:rFonts w:cs="Times New Roman"/>
          <w:spacing w:val="11"/>
          <w:lang w:val="sq-AL"/>
        </w:rPr>
        <w:t xml:space="preserve"> </w:t>
      </w:r>
      <w:r>
        <w:rPr>
          <w:rFonts w:cs="Times New Roman"/>
          <w:lang w:val="sq-AL"/>
        </w:rPr>
        <w:t>fuqisë përfshirë transformatorët fazues:</w:t>
      </w:r>
      <w:r>
        <w:rPr>
          <w:rFonts w:cs="Times New Roman"/>
          <w:spacing w:val="11"/>
          <w:lang w:val="sq-AL"/>
        </w:rPr>
        <w:t xml:space="preserve"> </w:t>
      </w:r>
      <w:r>
        <w:rPr>
          <w:rFonts w:cs="Times New Roman"/>
          <w:lang w:val="sq-AL"/>
        </w:rPr>
        <w:t>karakteristikat</w:t>
      </w:r>
      <w:r>
        <w:rPr>
          <w:rFonts w:cs="Times New Roman"/>
          <w:spacing w:val="9"/>
          <w:lang w:val="sq-AL"/>
        </w:rPr>
        <w:t xml:space="preserve"> </w:t>
      </w:r>
      <w:r>
        <w:rPr>
          <w:rFonts w:cs="Times New Roman"/>
          <w:w w:val="101"/>
          <w:lang w:val="sq-AL"/>
        </w:rPr>
        <w:t xml:space="preserve">elektrike, </w:t>
      </w:r>
      <w:r>
        <w:rPr>
          <w:rFonts w:cs="Times New Roman"/>
          <w:lang w:val="sq-AL"/>
        </w:rPr>
        <w:t>nënstacionet ku janë të lidhur, lloji i ancafkave, dhe llojin e rregullimit ku është e mundur;</w:t>
      </w:r>
    </w:p>
    <w:p w:rsidR="002F02C2" w:rsidRDefault="002F02C2" w:rsidP="002F02C2">
      <w:pPr>
        <w:pStyle w:val="Paragrafi"/>
        <w:rPr>
          <w:rFonts w:cs="Times New Roman"/>
          <w:lang w:val="sq-AL"/>
        </w:rPr>
      </w:pPr>
      <w:r>
        <w:rPr>
          <w:rFonts w:cs="Times New Roman"/>
          <w:lang w:val="sq-AL"/>
        </w:rPr>
        <w:t xml:space="preserve">d) Për pajisjet kompensuese të fuqisë dhe sistemet e transmetimit fleksibël AC (FACTS): tipi, </w:t>
      </w:r>
      <w:r>
        <w:rPr>
          <w:rFonts w:cs="Times New Roman"/>
          <w:lang w:val="sq-AL"/>
        </w:rPr>
        <w:lastRenderedPageBreak/>
        <w:t>karakteristikat elektrike</w:t>
      </w:r>
      <w:r>
        <w:rPr>
          <w:rFonts w:cs="Times New Roman"/>
          <w:spacing w:val="30"/>
          <w:lang w:val="sq-AL"/>
        </w:rPr>
        <w:t xml:space="preserve"> </w:t>
      </w:r>
      <w:r>
        <w:rPr>
          <w:rFonts w:cs="Times New Roman"/>
          <w:lang w:val="sq-AL"/>
        </w:rPr>
        <w:t>dhe</w:t>
      </w:r>
      <w:r>
        <w:rPr>
          <w:rFonts w:cs="Times New Roman"/>
          <w:spacing w:val="14"/>
          <w:lang w:val="sq-AL"/>
        </w:rPr>
        <w:t xml:space="preserve"> </w:t>
      </w:r>
      <w:r>
        <w:rPr>
          <w:rFonts w:cs="Times New Roman"/>
          <w:lang w:val="sq-AL"/>
        </w:rPr>
        <w:t>llojin</w:t>
      </w:r>
      <w:r>
        <w:rPr>
          <w:rFonts w:cs="Times New Roman"/>
          <w:spacing w:val="16"/>
          <w:lang w:val="sq-AL"/>
        </w:rPr>
        <w:t xml:space="preserve"> </w:t>
      </w:r>
      <w:r>
        <w:rPr>
          <w:rFonts w:cs="Times New Roman"/>
          <w:lang w:val="sq-AL"/>
        </w:rPr>
        <w:t>e</w:t>
      </w:r>
      <w:r>
        <w:rPr>
          <w:rFonts w:cs="Times New Roman"/>
          <w:spacing w:val="6"/>
          <w:lang w:val="sq-AL"/>
        </w:rPr>
        <w:t xml:space="preserve"> </w:t>
      </w:r>
      <w:r>
        <w:rPr>
          <w:rFonts w:cs="Times New Roman"/>
          <w:lang w:val="sq-AL"/>
        </w:rPr>
        <w:t>rregullimit</w:t>
      </w:r>
      <w:r>
        <w:rPr>
          <w:rFonts w:cs="Times New Roman"/>
          <w:spacing w:val="32"/>
          <w:lang w:val="sq-AL"/>
        </w:rPr>
        <w:t xml:space="preserve"> </w:t>
      </w:r>
      <w:r>
        <w:rPr>
          <w:rFonts w:cs="Times New Roman"/>
          <w:lang w:val="sq-AL"/>
        </w:rPr>
        <w:t>ku</w:t>
      </w:r>
      <w:r>
        <w:rPr>
          <w:rFonts w:cs="Times New Roman"/>
          <w:spacing w:val="9"/>
          <w:lang w:val="sq-AL"/>
        </w:rPr>
        <w:t xml:space="preserve"> </w:t>
      </w:r>
      <w:r>
        <w:rPr>
          <w:rFonts w:cs="Times New Roman"/>
          <w:lang w:val="sq-AL"/>
        </w:rPr>
        <w:t>është</w:t>
      </w:r>
      <w:r>
        <w:rPr>
          <w:rFonts w:cs="Times New Roman"/>
          <w:spacing w:val="19"/>
          <w:lang w:val="sq-AL"/>
        </w:rPr>
        <w:t xml:space="preserve"> </w:t>
      </w:r>
      <w:r>
        <w:rPr>
          <w:rFonts w:cs="Times New Roman"/>
          <w:lang w:val="sq-AL"/>
        </w:rPr>
        <w:t>e</w:t>
      </w:r>
      <w:r>
        <w:rPr>
          <w:rFonts w:cs="Times New Roman"/>
          <w:spacing w:val="6"/>
          <w:lang w:val="sq-AL"/>
        </w:rPr>
        <w:t xml:space="preserve"> </w:t>
      </w:r>
      <w:r>
        <w:rPr>
          <w:rFonts w:cs="Times New Roman"/>
          <w:w w:val="105"/>
          <w:lang w:val="sq-AL"/>
        </w:rPr>
        <w:t>mundur.</w:t>
      </w:r>
    </w:p>
    <w:p w:rsidR="002F02C2" w:rsidRDefault="002F02C2" w:rsidP="002F02C2">
      <w:pPr>
        <w:pStyle w:val="Paragrafi"/>
        <w:rPr>
          <w:lang w:val="sq-AL"/>
        </w:rPr>
      </w:pPr>
      <w:r>
        <w:rPr>
          <w:lang w:val="sq-AL"/>
        </w:rPr>
        <w:t>3. Një</w:t>
      </w:r>
      <w:r>
        <w:rPr>
          <w:spacing w:val="5"/>
          <w:lang w:val="sq-AL"/>
        </w:rPr>
        <w:t xml:space="preserve"> </w:t>
      </w:r>
      <w:r>
        <w:rPr>
          <w:lang w:val="sq-AL"/>
        </w:rPr>
        <w:t>model</w:t>
      </w:r>
      <w:r>
        <w:rPr>
          <w:spacing w:val="9"/>
          <w:lang w:val="sq-AL"/>
        </w:rPr>
        <w:t xml:space="preserve"> </w:t>
      </w:r>
      <w:r>
        <w:rPr>
          <w:lang w:val="sq-AL"/>
        </w:rPr>
        <w:t>apo</w:t>
      </w:r>
      <w:r>
        <w:rPr>
          <w:spacing w:val="6"/>
          <w:lang w:val="sq-AL"/>
        </w:rPr>
        <w:t xml:space="preserve"> </w:t>
      </w:r>
      <w:r>
        <w:rPr>
          <w:lang w:val="sq-AL"/>
        </w:rPr>
        <w:t>një</w:t>
      </w:r>
      <w:r>
        <w:rPr>
          <w:spacing w:val="5"/>
          <w:lang w:val="sq-AL"/>
        </w:rPr>
        <w:t xml:space="preserve"> </w:t>
      </w:r>
      <w:r>
        <w:rPr>
          <w:lang w:val="sq-AL"/>
        </w:rPr>
        <w:t>model</w:t>
      </w:r>
      <w:r>
        <w:rPr>
          <w:spacing w:val="9"/>
          <w:lang w:val="sq-AL"/>
        </w:rPr>
        <w:t xml:space="preserve"> </w:t>
      </w:r>
      <w:r>
        <w:rPr>
          <w:lang w:val="sq-AL"/>
        </w:rPr>
        <w:t>ekuivalent</w:t>
      </w:r>
      <w:r>
        <w:rPr>
          <w:spacing w:val="14"/>
          <w:lang w:val="sq-AL"/>
        </w:rPr>
        <w:t xml:space="preserve"> </w:t>
      </w:r>
      <w:r>
        <w:rPr>
          <w:lang w:val="sq-AL"/>
        </w:rPr>
        <w:t>i</w:t>
      </w:r>
      <w:r>
        <w:rPr>
          <w:spacing w:val="2"/>
          <w:lang w:val="sq-AL"/>
        </w:rPr>
        <w:t xml:space="preserve"> </w:t>
      </w:r>
      <w:r>
        <w:rPr>
          <w:lang w:val="sq-AL"/>
        </w:rPr>
        <w:t>atyre</w:t>
      </w:r>
      <w:r>
        <w:rPr>
          <w:spacing w:val="8"/>
          <w:lang w:val="sq-AL"/>
        </w:rPr>
        <w:t xml:space="preserve"> </w:t>
      </w:r>
      <w:r>
        <w:rPr>
          <w:lang w:val="sq-AL"/>
        </w:rPr>
        <w:t>pjesëve</w:t>
      </w:r>
      <w:r>
        <w:rPr>
          <w:spacing w:val="11"/>
          <w:lang w:val="sq-AL"/>
        </w:rPr>
        <w:t xml:space="preserve"> </w:t>
      </w:r>
      <w:r>
        <w:rPr>
          <w:lang w:val="sq-AL"/>
        </w:rPr>
        <w:t>të</w:t>
      </w:r>
      <w:r>
        <w:rPr>
          <w:spacing w:val="3"/>
          <w:lang w:val="sq-AL"/>
        </w:rPr>
        <w:t xml:space="preserve"> </w:t>
      </w:r>
      <w:r>
        <w:rPr>
          <w:lang w:val="sq-AL"/>
        </w:rPr>
        <w:t>rrjetit</w:t>
      </w:r>
      <w:r>
        <w:rPr>
          <w:spacing w:val="8"/>
          <w:lang w:val="sq-AL"/>
        </w:rPr>
        <w:t xml:space="preserve"> </w:t>
      </w:r>
      <w:r>
        <w:rPr>
          <w:lang w:val="sq-AL"/>
        </w:rPr>
        <w:t>që</w:t>
      </w:r>
      <w:r>
        <w:rPr>
          <w:spacing w:val="3"/>
          <w:lang w:val="sq-AL"/>
        </w:rPr>
        <w:t xml:space="preserve"> </w:t>
      </w:r>
      <w:r>
        <w:rPr>
          <w:lang w:val="sq-AL"/>
        </w:rPr>
        <w:t>operohen</w:t>
      </w:r>
      <w:r>
        <w:rPr>
          <w:spacing w:val="11"/>
          <w:lang w:val="sq-AL"/>
        </w:rPr>
        <w:t xml:space="preserve"> </w:t>
      </w:r>
      <w:r>
        <w:rPr>
          <w:lang w:val="sq-AL"/>
        </w:rPr>
        <w:t>në</w:t>
      </w:r>
      <w:r>
        <w:rPr>
          <w:spacing w:val="5"/>
          <w:lang w:val="sq-AL"/>
        </w:rPr>
        <w:t xml:space="preserve"> </w:t>
      </w:r>
      <w:r>
        <w:rPr>
          <w:lang w:val="sq-AL"/>
        </w:rPr>
        <w:t>tension</w:t>
      </w:r>
      <w:r>
        <w:rPr>
          <w:spacing w:val="11"/>
          <w:lang w:val="sq-AL"/>
        </w:rPr>
        <w:t xml:space="preserve"> më </w:t>
      </w:r>
      <w:r>
        <w:rPr>
          <w:lang w:val="sq-AL"/>
        </w:rPr>
        <w:t>të</w:t>
      </w:r>
      <w:r>
        <w:rPr>
          <w:spacing w:val="3"/>
          <w:lang w:val="sq-AL"/>
        </w:rPr>
        <w:t xml:space="preserve"> </w:t>
      </w:r>
      <w:r>
        <w:rPr>
          <w:lang w:val="sq-AL"/>
        </w:rPr>
        <w:t>vogël</w:t>
      </w:r>
      <w:r>
        <w:rPr>
          <w:spacing w:val="8"/>
          <w:lang w:val="sq-AL"/>
        </w:rPr>
        <w:t xml:space="preserve"> </w:t>
      </w:r>
      <w:r>
        <w:rPr>
          <w:lang w:val="sq-AL"/>
        </w:rPr>
        <w:t>se</w:t>
      </w:r>
      <w:r>
        <w:rPr>
          <w:spacing w:val="4"/>
          <w:lang w:val="sq-AL"/>
        </w:rPr>
        <w:t xml:space="preserve"> </w:t>
      </w:r>
      <w:r>
        <w:rPr>
          <w:lang w:val="sq-AL"/>
        </w:rPr>
        <w:t>220</w:t>
      </w:r>
      <w:r>
        <w:rPr>
          <w:spacing w:val="6"/>
          <w:lang w:val="sq-AL"/>
        </w:rPr>
        <w:t xml:space="preserve"> </w:t>
      </w:r>
      <w:r>
        <w:rPr>
          <w:w w:val="102"/>
          <w:lang w:val="sq-AL"/>
        </w:rPr>
        <w:t xml:space="preserve">kV </w:t>
      </w:r>
      <w:r>
        <w:rPr>
          <w:lang w:val="sq-AL"/>
        </w:rPr>
        <w:t>do të përfshihen në MIRR, pavarësisht nëse janë pjesë e rrjetit OST ose OSSH (përfshirë OSMSH-në), nëse:</w:t>
      </w:r>
    </w:p>
    <w:p w:rsidR="002F02C2" w:rsidRDefault="002F02C2" w:rsidP="002F02C2">
      <w:pPr>
        <w:pStyle w:val="Paragrafi"/>
        <w:rPr>
          <w:rFonts w:cs="Times New Roman"/>
          <w:lang w:val="sq-AL"/>
        </w:rPr>
      </w:pPr>
      <w:r>
        <w:rPr>
          <w:rFonts w:cs="Times New Roman"/>
          <w:lang w:val="sq-AL"/>
        </w:rPr>
        <w:t>a) Këto</w:t>
      </w:r>
      <w:r>
        <w:rPr>
          <w:rFonts w:cs="Times New Roman"/>
          <w:spacing w:val="16"/>
          <w:lang w:val="sq-AL"/>
        </w:rPr>
        <w:t xml:space="preserve"> </w:t>
      </w:r>
      <w:r>
        <w:rPr>
          <w:rFonts w:cs="Times New Roman"/>
          <w:lang w:val="sq-AL"/>
        </w:rPr>
        <w:t>pjesë</w:t>
      </w:r>
      <w:r>
        <w:rPr>
          <w:rFonts w:cs="Times New Roman"/>
          <w:spacing w:val="20"/>
          <w:lang w:val="sq-AL"/>
        </w:rPr>
        <w:t xml:space="preserve"> </w:t>
      </w:r>
      <w:r>
        <w:rPr>
          <w:rFonts w:cs="Times New Roman"/>
          <w:lang w:val="sq-AL"/>
        </w:rPr>
        <w:t>të</w:t>
      </w:r>
      <w:r>
        <w:rPr>
          <w:rFonts w:cs="Times New Roman"/>
          <w:spacing w:val="8"/>
          <w:lang w:val="sq-AL"/>
        </w:rPr>
        <w:t xml:space="preserve"> </w:t>
      </w:r>
      <w:r>
        <w:rPr>
          <w:rFonts w:cs="Times New Roman"/>
          <w:lang w:val="sq-AL"/>
        </w:rPr>
        <w:t>rrjetit</w:t>
      </w:r>
      <w:r>
        <w:rPr>
          <w:rFonts w:cs="Times New Roman"/>
          <w:spacing w:val="19"/>
          <w:lang w:val="sq-AL"/>
        </w:rPr>
        <w:t xml:space="preserve"> </w:t>
      </w:r>
      <w:r>
        <w:rPr>
          <w:rFonts w:cs="Times New Roman"/>
          <w:lang w:val="sq-AL"/>
        </w:rPr>
        <w:t>kanë</w:t>
      </w:r>
      <w:r>
        <w:rPr>
          <w:rFonts w:cs="Times New Roman"/>
          <w:spacing w:val="18"/>
          <w:lang w:val="sq-AL"/>
        </w:rPr>
        <w:t xml:space="preserve"> </w:t>
      </w:r>
      <w:r>
        <w:rPr>
          <w:rFonts w:cs="Times New Roman"/>
          <w:lang w:val="sq-AL"/>
        </w:rPr>
        <w:t>elemente</w:t>
      </w:r>
      <w:r>
        <w:rPr>
          <w:rFonts w:cs="Times New Roman"/>
          <w:spacing w:val="33"/>
          <w:lang w:val="sq-AL"/>
        </w:rPr>
        <w:t xml:space="preserve"> </w:t>
      </w:r>
      <w:r>
        <w:rPr>
          <w:lang w:val="sq-AL"/>
        </w:rPr>
        <w:t>të</w:t>
      </w:r>
      <w:r>
        <w:rPr>
          <w:rFonts w:cs="Times New Roman"/>
          <w:spacing w:val="33"/>
          <w:lang w:val="sq-AL"/>
        </w:rPr>
        <w:t xml:space="preserve"> </w:t>
      </w:r>
      <w:r>
        <w:rPr>
          <w:rFonts w:cs="Times New Roman"/>
          <w:lang w:val="sq-AL"/>
        </w:rPr>
        <w:t>përdorura</w:t>
      </w:r>
      <w:r>
        <w:rPr>
          <w:rFonts w:cs="Times New Roman"/>
          <w:spacing w:val="30"/>
          <w:lang w:val="sq-AL"/>
        </w:rPr>
        <w:t xml:space="preserve"> </w:t>
      </w:r>
      <w:r>
        <w:rPr>
          <w:rFonts w:cs="Times New Roman"/>
          <w:lang w:val="sq-AL"/>
        </w:rPr>
        <w:t>në</w:t>
      </w:r>
      <w:r>
        <w:rPr>
          <w:rFonts w:cs="Times New Roman"/>
          <w:spacing w:val="10"/>
          <w:lang w:val="sq-AL"/>
        </w:rPr>
        <w:t xml:space="preserve"> </w:t>
      </w:r>
      <w:r>
        <w:rPr>
          <w:rFonts w:cs="Times New Roman"/>
          <w:spacing w:val="8"/>
          <w:lang w:val="sq-AL"/>
        </w:rPr>
        <w:t xml:space="preserve">analizat rajonale të </w:t>
      </w:r>
      <w:r>
        <w:rPr>
          <w:rFonts w:cs="Times New Roman"/>
          <w:lang w:val="sq-AL"/>
        </w:rPr>
        <w:t>sigurisë operative; ose</w:t>
      </w:r>
    </w:p>
    <w:p w:rsidR="002F02C2" w:rsidRDefault="002F02C2" w:rsidP="002F02C2">
      <w:pPr>
        <w:pStyle w:val="Paragrafi"/>
        <w:rPr>
          <w:rFonts w:cs="Times New Roman"/>
          <w:lang w:val="sq-AL"/>
        </w:rPr>
      </w:pPr>
      <w:r>
        <w:rPr>
          <w:rFonts w:cs="Times New Roman"/>
          <w:lang w:val="sq-AL"/>
        </w:rPr>
        <w:t>b) Elementet përkatëse të rrjetit në këtë pjesë të rrjetit lidhin:</w:t>
      </w:r>
    </w:p>
    <w:p w:rsidR="002F02C2" w:rsidRDefault="002F02C2" w:rsidP="002F02C2">
      <w:pPr>
        <w:pStyle w:val="Paragrafi"/>
        <w:rPr>
          <w:rFonts w:cs="Times New Roman"/>
          <w:lang w:val="sq-AL"/>
        </w:rPr>
      </w:pPr>
      <w:r>
        <w:rPr>
          <w:rFonts w:cs="Times New Roman"/>
          <w:lang w:val="sq-AL"/>
        </w:rPr>
        <w:t>i. një</w:t>
      </w:r>
      <w:r>
        <w:rPr>
          <w:rFonts w:cs="Times New Roman"/>
          <w:spacing w:val="-2"/>
          <w:lang w:val="sq-AL"/>
        </w:rPr>
        <w:t xml:space="preserve"> </w:t>
      </w:r>
      <w:r>
        <w:rPr>
          <w:rFonts w:cs="Times New Roman"/>
          <w:lang w:val="sq-AL"/>
        </w:rPr>
        <w:t>njësi gjeneruese</w:t>
      </w:r>
      <w:r>
        <w:rPr>
          <w:rFonts w:cs="Times New Roman"/>
          <w:spacing w:val="-3"/>
          <w:lang w:val="sq-AL"/>
        </w:rPr>
        <w:t xml:space="preserve"> </w:t>
      </w:r>
      <w:r>
        <w:rPr>
          <w:rFonts w:cs="Times New Roman"/>
          <w:lang w:val="sq-AL"/>
        </w:rPr>
        <w:t>ose</w:t>
      </w:r>
      <w:r>
        <w:rPr>
          <w:rFonts w:cs="Times New Roman"/>
          <w:spacing w:val="-2"/>
          <w:lang w:val="sq-AL"/>
        </w:rPr>
        <w:t xml:space="preserve"> </w:t>
      </w:r>
      <w:r>
        <w:rPr>
          <w:rFonts w:cs="Times New Roman"/>
          <w:lang w:val="sq-AL"/>
        </w:rPr>
        <w:t>ngarkese</w:t>
      </w:r>
      <w:r>
        <w:rPr>
          <w:rFonts w:cs="Times New Roman"/>
          <w:spacing w:val="-6"/>
          <w:lang w:val="sq-AL"/>
        </w:rPr>
        <w:t xml:space="preserve"> të </w:t>
      </w:r>
      <w:r>
        <w:rPr>
          <w:rFonts w:cs="Times New Roman"/>
          <w:lang w:val="sq-AL"/>
        </w:rPr>
        <w:t>modeluar</w:t>
      </w:r>
      <w:r>
        <w:rPr>
          <w:rFonts w:cs="Times New Roman"/>
          <w:spacing w:val="-6"/>
          <w:lang w:val="sq-AL"/>
        </w:rPr>
        <w:t xml:space="preserve"> </w:t>
      </w:r>
      <w:r>
        <w:rPr>
          <w:rFonts w:cs="Times New Roman"/>
          <w:lang w:val="sq-AL"/>
        </w:rPr>
        <w:t>në</w:t>
      </w:r>
      <w:r>
        <w:rPr>
          <w:rFonts w:cs="Times New Roman"/>
          <w:spacing w:val="-2"/>
          <w:lang w:val="sq-AL"/>
        </w:rPr>
        <w:t xml:space="preserve"> </w:t>
      </w:r>
      <w:r>
        <w:rPr>
          <w:rFonts w:cs="Times New Roman"/>
          <w:lang w:val="sq-AL"/>
        </w:rPr>
        <w:t>mënyrë</w:t>
      </w:r>
      <w:r>
        <w:rPr>
          <w:rFonts w:cs="Times New Roman"/>
          <w:spacing w:val="-5"/>
          <w:lang w:val="sq-AL"/>
        </w:rPr>
        <w:t xml:space="preserve"> </w:t>
      </w:r>
      <w:r>
        <w:rPr>
          <w:rFonts w:cs="Times New Roman"/>
          <w:lang w:val="sq-AL"/>
        </w:rPr>
        <w:t>të</w:t>
      </w:r>
      <w:r>
        <w:rPr>
          <w:rFonts w:cs="Times New Roman"/>
          <w:spacing w:val="-1"/>
          <w:lang w:val="sq-AL"/>
        </w:rPr>
        <w:t xml:space="preserve"> </w:t>
      </w:r>
      <w:r>
        <w:rPr>
          <w:rFonts w:cs="Times New Roman"/>
          <w:lang w:val="sq-AL"/>
        </w:rPr>
        <w:t>detajuar</w:t>
      </w:r>
      <w:r>
        <w:rPr>
          <w:rFonts w:cs="Times New Roman"/>
          <w:spacing w:val="-5"/>
          <w:lang w:val="sq-AL"/>
        </w:rPr>
        <w:t xml:space="preserve"> </w:t>
      </w:r>
      <w:r>
        <w:rPr>
          <w:rFonts w:cs="Times New Roman"/>
          <w:lang w:val="sq-AL"/>
        </w:rPr>
        <w:t>në</w:t>
      </w:r>
      <w:r>
        <w:rPr>
          <w:rFonts w:cs="Times New Roman"/>
          <w:spacing w:val="-2"/>
          <w:lang w:val="sq-AL"/>
        </w:rPr>
        <w:t xml:space="preserve"> </w:t>
      </w:r>
      <w:r>
        <w:rPr>
          <w:rFonts w:cs="Times New Roman"/>
          <w:lang w:val="sq-AL"/>
        </w:rPr>
        <w:t>përputhje</w:t>
      </w:r>
      <w:r>
        <w:rPr>
          <w:rFonts w:cs="Times New Roman"/>
          <w:spacing w:val="-6"/>
          <w:lang w:val="sq-AL"/>
        </w:rPr>
        <w:t xml:space="preserve"> </w:t>
      </w:r>
      <w:r>
        <w:rPr>
          <w:rFonts w:cs="Times New Roman"/>
          <w:lang w:val="sq-AL"/>
        </w:rPr>
        <w:t>me nenin</w:t>
      </w:r>
      <w:r>
        <w:rPr>
          <w:rFonts w:cs="Times New Roman"/>
          <w:spacing w:val="-3"/>
          <w:lang w:val="sq-AL"/>
        </w:rPr>
        <w:t xml:space="preserve"> </w:t>
      </w:r>
      <w:r>
        <w:rPr>
          <w:rFonts w:cs="Times New Roman"/>
          <w:lang w:val="sq-AL"/>
        </w:rPr>
        <w:t>8</w:t>
      </w:r>
      <w:r>
        <w:rPr>
          <w:rFonts w:cs="Times New Roman"/>
          <w:spacing w:val="-1"/>
          <w:lang w:val="sq-AL"/>
        </w:rPr>
        <w:t xml:space="preserve"> </w:t>
      </w:r>
      <w:r>
        <w:rPr>
          <w:rFonts w:cs="Times New Roman"/>
          <w:lang w:val="sq-AL"/>
        </w:rPr>
        <w:t>ose</w:t>
      </w:r>
      <w:r>
        <w:rPr>
          <w:rFonts w:cs="Times New Roman"/>
          <w:spacing w:val="-2"/>
          <w:lang w:val="sq-AL"/>
        </w:rPr>
        <w:t xml:space="preserve"> </w:t>
      </w:r>
      <w:r>
        <w:rPr>
          <w:rFonts w:cs="Times New Roman"/>
          <w:lang w:val="sq-AL"/>
        </w:rPr>
        <w:t>9</w:t>
      </w:r>
      <w:r>
        <w:rPr>
          <w:rFonts w:cs="Times New Roman"/>
          <w:spacing w:val="-1"/>
          <w:lang w:val="sq-AL"/>
        </w:rPr>
        <w:t xml:space="preserve"> n</w:t>
      </w:r>
      <w:r>
        <w:rPr>
          <w:rFonts w:cs="Times New Roman"/>
          <w:w w:val="99"/>
          <w:lang w:val="sq-AL"/>
        </w:rPr>
        <w:t xml:space="preserve">ë tension </w:t>
      </w:r>
      <w:r>
        <w:rPr>
          <w:rFonts w:cs="Times New Roman"/>
          <w:lang w:val="sq-AL"/>
        </w:rPr>
        <w:t>220</w:t>
      </w:r>
      <w:r>
        <w:rPr>
          <w:rFonts w:cs="Times New Roman"/>
          <w:spacing w:val="7"/>
          <w:lang w:val="sq-AL"/>
        </w:rPr>
        <w:t xml:space="preserve"> </w:t>
      </w:r>
      <w:r>
        <w:rPr>
          <w:rFonts w:cs="Times New Roman"/>
          <w:lang w:val="sq-AL"/>
        </w:rPr>
        <w:t>kV</w:t>
      </w:r>
      <w:r>
        <w:rPr>
          <w:rFonts w:cs="Times New Roman"/>
          <w:spacing w:val="5"/>
          <w:lang w:val="sq-AL"/>
        </w:rPr>
        <w:t xml:space="preserve"> </w:t>
      </w:r>
      <w:r>
        <w:rPr>
          <w:rFonts w:cs="Times New Roman"/>
          <w:lang w:val="sq-AL"/>
        </w:rPr>
        <w:t>apo</w:t>
      </w:r>
      <w:r>
        <w:rPr>
          <w:rFonts w:cs="Times New Roman"/>
          <w:spacing w:val="8"/>
          <w:lang w:val="sq-AL"/>
        </w:rPr>
        <w:t xml:space="preserve"> </w:t>
      </w:r>
      <w:r>
        <w:rPr>
          <w:rFonts w:cs="Times New Roman"/>
          <w:lang w:val="sq-AL"/>
        </w:rPr>
        <w:t>më</w:t>
      </w:r>
      <w:r>
        <w:rPr>
          <w:rFonts w:cs="Times New Roman"/>
          <w:spacing w:val="6"/>
          <w:lang w:val="sq-AL"/>
        </w:rPr>
        <w:t xml:space="preserve"> </w:t>
      </w:r>
      <w:r>
        <w:rPr>
          <w:rFonts w:cs="Times New Roman"/>
          <w:lang w:val="sq-AL"/>
        </w:rPr>
        <w:t>të</w:t>
      </w:r>
      <w:r>
        <w:rPr>
          <w:rFonts w:cs="Times New Roman"/>
          <w:spacing w:val="4"/>
          <w:lang w:val="sq-AL"/>
        </w:rPr>
        <w:t xml:space="preserve"> </w:t>
      </w:r>
      <w:r>
        <w:rPr>
          <w:rFonts w:cs="Times New Roman"/>
          <w:lang w:val="sq-AL"/>
        </w:rPr>
        <w:t>lartë</w:t>
      </w:r>
      <w:r>
        <w:rPr>
          <w:rFonts w:cs="Times New Roman"/>
          <w:w w:val="103"/>
          <w:lang w:val="sq-AL"/>
        </w:rPr>
        <w:t>;</w:t>
      </w:r>
    </w:p>
    <w:p w:rsidR="002F02C2" w:rsidRDefault="002F02C2" w:rsidP="002F02C2">
      <w:pPr>
        <w:pStyle w:val="Paragrafi"/>
        <w:rPr>
          <w:rFonts w:cs="Times New Roman"/>
          <w:lang w:val="sq-AL"/>
        </w:rPr>
      </w:pPr>
      <w:r>
        <w:rPr>
          <w:rFonts w:cs="Times New Roman"/>
          <w:lang w:val="sq-AL"/>
        </w:rPr>
        <w:t>ii. dy</w:t>
      </w:r>
      <w:r>
        <w:rPr>
          <w:rFonts w:cs="Times New Roman"/>
          <w:spacing w:val="6"/>
          <w:lang w:val="sq-AL"/>
        </w:rPr>
        <w:t xml:space="preserve"> </w:t>
      </w:r>
      <w:r>
        <w:rPr>
          <w:rFonts w:cs="Times New Roman"/>
          <w:lang w:val="sq-AL"/>
        </w:rPr>
        <w:t>nyja</w:t>
      </w:r>
      <w:r>
        <w:rPr>
          <w:rFonts w:cs="Times New Roman"/>
          <w:spacing w:val="11"/>
          <w:lang w:val="sq-AL"/>
        </w:rPr>
        <w:t xml:space="preserve"> </w:t>
      </w:r>
      <w:r>
        <w:rPr>
          <w:rFonts w:cs="Times New Roman"/>
          <w:lang w:val="sq-AL"/>
        </w:rPr>
        <w:t>në</w:t>
      </w:r>
      <w:r>
        <w:rPr>
          <w:rFonts w:cs="Times New Roman"/>
          <w:spacing w:val="7"/>
          <w:lang w:val="sq-AL"/>
        </w:rPr>
        <w:t xml:space="preserve"> </w:t>
      </w:r>
      <w:r>
        <w:rPr>
          <w:rFonts w:cs="Times New Roman"/>
          <w:lang w:val="sq-AL"/>
        </w:rPr>
        <w:t>tension</w:t>
      </w:r>
      <w:r>
        <w:rPr>
          <w:rFonts w:cs="Times New Roman"/>
          <w:spacing w:val="14"/>
          <w:lang w:val="sq-AL"/>
        </w:rPr>
        <w:t xml:space="preserve"> </w:t>
      </w:r>
      <w:r>
        <w:rPr>
          <w:rFonts w:cs="Times New Roman"/>
          <w:lang w:val="sq-AL"/>
        </w:rPr>
        <w:t>220</w:t>
      </w:r>
      <w:r>
        <w:rPr>
          <w:rFonts w:cs="Times New Roman"/>
          <w:spacing w:val="9"/>
          <w:lang w:val="sq-AL"/>
        </w:rPr>
        <w:t xml:space="preserve"> </w:t>
      </w:r>
      <w:r>
        <w:rPr>
          <w:rFonts w:cs="Times New Roman"/>
          <w:lang w:val="sq-AL"/>
        </w:rPr>
        <w:t>kV</w:t>
      </w:r>
      <w:r>
        <w:rPr>
          <w:rFonts w:cs="Times New Roman"/>
          <w:spacing w:val="7"/>
          <w:lang w:val="sq-AL"/>
        </w:rPr>
        <w:t xml:space="preserve"> </w:t>
      </w:r>
      <w:r>
        <w:rPr>
          <w:rFonts w:cs="Times New Roman"/>
          <w:lang w:val="sq-AL"/>
        </w:rPr>
        <w:t>ose</w:t>
      </w:r>
      <w:r>
        <w:rPr>
          <w:rFonts w:cs="Times New Roman"/>
          <w:spacing w:val="9"/>
          <w:lang w:val="sq-AL"/>
        </w:rPr>
        <w:t xml:space="preserve"> </w:t>
      </w:r>
      <w:r>
        <w:rPr>
          <w:rFonts w:cs="Times New Roman"/>
          <w:lang w:val="sq-AL"/>
        </w:rPr>
        <w:t>më</w:t>
      </w:r>
      <w:r>
        <w:rPr>
          <w:rFonts w:cs="Times New Roman"/>
          <w:spacing w:val="8"/>
          <w:lang w:val="sq-AL"/>
        </w:rPr>
        <w:t xml:space="preserve"> </w:t>
      </w:r>
      <w:r>
        <w:rPr>
          <w:rFonts w:cs="Times New Roman"/>
          <w:lang w:val="sq-AL"/>
        </w:rPr>
        <w:t>e</w:t>
      </w:r>
      <w:r>
        <w:rPr>
          <w:rFonts w:cs="Times New Roman"/>
          <w:spacing w:val="4"/>
          <w:lang w:val="sq-AL"/>
        </w:rPr>
        <w:t xml:space="preserve"> </w:t>
      </w:r>
      <w:r>
        <w:rPr>
          <w:rFonts w:cs="Times New Roman"/>
          <w:lang w:val="sq-AL"/>
        </w:rPr>
        <w:t>lartë</w:t>
      </w:r>
      <w:r>
        <w:rPr>
          <w:rFonts w:cs="Times New Roman"/>
          <w:w w:val="103"/>
          <w:lang w:val="sq-AL"/>
        </w:rPr>
        <w:t>.</w:t>
      </w:r>
    </w:p>
    <w:p w:rsidR="002F02C2" w:rsidRDefault="002F02C2" w:rsidP="002F02C2">
      <w:pPr>
        <w:pStyle w:val="Paragrafi"/>
        <w:rPr>
          <w:lang w:val="sq-AL"/>
        </w:rPr>
      </w:pPr>
      <w:r>
        <w:rPr>
          <w:lang w:val="sq-AL"/>
        </w:rPr>
        <w:t>4. Modelet dhe modelet ekuivalente sipas paragrafit 3 duhet të përmbajnë të paktën shumatoret e ngarkesës të veçuara nga gjenerimi, dhe kapacitetin gjenerues të ndarë sipas burimeve primare të energjisë dhe të ndarë nga ngarkesa në pjesët korresponduese të rrjetit të ndara sipas nënstacioneve të modelit ekuivalent ose të nënstacioneve në të cilat janë lidhur pjesët korresponduese të rrjetit.</w:t>
      </w:r>
    </w:p>
    <w:p w:rsidR="002F02C2" w:rsidRDefault="002F02C2" w:rsidP="002F02C2">
      <w:pPr>
        <w:pStyle w:val="Hapesira7"/>
        <w:rPr>
          <w:lang w:val="sq-AL"/>
        </w:rPr>
      </w:pPr>
    </w:p>
    <w:p w:rsidR="002F02C2" w:rsidRDefault="002F02C2" w:rsidP="002F02C2">
      <w:pPr>
        <w:pStyle w:val="NeniNr"/>
        <w:rPr>
          <w:lang w:val="sq-AL"/>
        </w:rPr>
      </w:pPr>
      <w:r>
        <w:rPr>
          <w:lang w:val="sq-AL"/>
        </w:rPr>
        <w:t>Neni 7</w:t>
      </w:r>
    </w:p>
    <w:p w:rsidR="002F02C2" w:rsidRDefault="002F02C2" w:rsidP="002F02C2">
      <w:pPr>
        <w:pStyle w:val="NeniNr"/>
        <w:rPr>
          <w:b/>
          <w:lang w:val="sq-AL"/>
        </w:rPr>
      </w:pPr>
      <w:r>
        <w:rPr>
          <w:b/>
          <w:lang w:val="sq-AL"/>
        </w:rPr>
        <w:t>Pikat kufitare</w:t>
      </w:r>
    </w:p>
    <w:p w:rsidR="002F02C2" w:rsidRDefault="002F02C2" w:rsidP="002F02C2">
      <w:pPr>
        <w:pStyle w:val="Hapesira7"/>
        <w:rPr>
          <w:w w:val="103"/>
          <w:lang w:val="sq-AL"/>
        </w:rPr>
      </w:pPr>
    </w:p>
    <w:p w:rsidR="002F02C2" w:rsidRDefault="002F02C2" w:rsidP="002F02C2">
      <w:pPr>
        <w:pStyle w:val="Paragrafi"/>
        <w:rPr>
          <w:rFonts w:cs="Times New Roman"/>
          <w:lang w:val="sq-AL"/>
        </w:rPr>
      </w:pPr>
      <w:r>
        <w:rPr>
          <w:rFonts w:cs="Times New Roman"/>
          <w:lang w:val="sq-AL"/>
        </w:rPr>
        <w:t>1. Për çdo kufi respektiv, OST-të në fjalë do të përcaktojnë përgjegjësitë e tyre përkatëse pas dakordësimit të pikave përkatëse kufitare.</w:t>
      </w:r>
    </w:p>
    <w:p w:rsidR="002F02C2" w:rsidRDefault="002F02C2" w:rsidP="002F02C2">
      <w:pPr>
        <w:pStyle w:val="Paragrafi"/>
        <w:rPr>
          <w:rFonts w:cs="Times New Roman"/>
          <w:lang w:val="sq-AL"/>
        </w:rPr>
      </w:pPr>
      <w:r>
        <w:rPr>
          <w:rFonts w:cs="Times New Roman"/>
          <w:lang w:val="sq-AL"/>
        </w:rPr>
        <w:t>2. Çdo OST duhet</w:t>
      </w:r>
      <w:r>
        <w:rPr>
          <w:rFonts w:cs="Times New Roman"/>
          <w:spacing w:val="19"/>
          <w:lang w:val="sq-AL"/>
        </w:rPr>
        <w:t xml:space="preserve"> </w:t>
      </w:r>
      <w:r>
        <w:rPr>
          <w:rFonts w:cs="Times New Roman"/>
          <w:lang w:val="sq-AL"/>
        </w:rPr>
        <w:t>të</w:t>
      </w:r>
      <w:r>
        <w:rPr>
          <w:rFonts w:cs="Times New Roman"/>
          <w:spacing w:val="8"/>
          <w:lang w:val="sq-AL"/>
        </w:rPr>
        <w:t xml:space="preserve"> </w:t>
      </w:r>
      <w:r>
        <w:rPr>
          <w:rFonts w:cs="Times New Roman"/>
          <w:lang w:val="sq-AL"/>
        </w:rPr>
        <w:t>përfshijë në MIRR të gjitha elementet e rëndësishme të rrjetit në anën e tij për çdo kufi.</w:t>
      </w:r>
    </w:p>
    <w:p w:rsidR="002F02C2" w:rsidRDefault="002F02C2" w:rsidP="002F02C2">
      <w:pPr>
        <w:pStyle w:val="Paragrafi"/>
        <w:rPr>
          <w:rFonts w:cs="Times New Roman"/>
          <w:lang w:val="sq-AL"/>
        </w:rPr>
      </w:pPr>
      <w:r>
        <w:rPr>
          <w:rFonts w:cs="Times New Roman"/>
          <w:lang w:val="sq-AL"/>
        </w:rPr>
        <w:t>3. Çdo duhet</w:t>
      </w:r>
      <w:r>
        <w:rPr>
          <w:rFonts w:cs="Times New Roman"/>
          <w:spacing w:val="19"/>
          <w:lang w:val="sq-AL"/>
        </w:rPr>
        <w:t xml:space="preserve"> </w:t>
      </w:r>
      <w:r>
        <w:rPr>
          <w:rFonts w:cs="Times New Roman"/>
          <w:lang w:val="sq-AL"/>
        </w:rPr>
        <w:t>të</w:t>
      </w:r>
      <w:r>
        <w:rPr>
          <w:rFonts w:cs="Times New Roman"/>
          <w:spacing w:val="8"/>
          <w:lang w:val="sq-AL"/>
        </w:rPr>
        <w:t xml:space="preserve"> </w:t>
      </w:r>
      <w:r>
        <w:rPr>
          <w:rFonts w:cs="Times New Roman"/>
          <w:lang w:val="sq-AL"/>
        </w:rPr>
        <w:t>përfshijë në MIRR çdo pikë kufi me një injektim imagjinar.</w:t>
      </w:r>
    </w:p>
    <w:p w:rsidR="002F02C2" w:rsidRDefault="002F02C2" w:rsidP="002F02C2">
      <w:pPr>
        <w:pStyle w:val="Hapesira7"/>
        <w:rPr>
          <w:lang w:val="sq-AL"/>
        </w:rPr>
      </w:pPr>
    </w:p>
    <w:p w:rsidR="002F02C2" w:rsidRDefault="002F02C2" w:rsidP="002F02C2">
      <w:pPr>
        <w:pStyle w:val="NeniNr"/>
        <w:rPr>
          <w:lang w:val="sq-AL"/>
        </w:rPr>
      </w:pPr>
      <w:r>
        <w:rPr>
          <w:lang w:val="sq-AL"/>
        </w:rPr>
        <w:t>Neni 8</w:t>
      </w:r>
    </w:p>
    <w:p w:rsidR="002F02C2" w:rsidRDefault="002F02C2" w:rsidP="002F02C2">
      <w:pPr>
        <w:pStyle w:val="NeniNr"/>
        <w:rPr>
          <w:b/>
          <w:lang w:val="sq-AL"/>
        </w:rPr>
      </w:pPr>
      <w:r>
        <w:rPr>
          <w:b/>
          <w:lang w:val="sq-AL"/>
        </w:rPr>
        <w:t>Gjenerimi</w:t>
      </w:r>
    </w:p>
    <w:p w:rsidR="002F02C2" w:rsidRDefault="002F02C2" w:rsidP="002F02C2">
      <w:pPr>
        <w:pStyle w:val="Hapesira7"/>
        <w:rPr>
          <w:lang w:val="sq-AL"/>
        </w:rPr>
      </w:pPr>
    </w:p>
    <w:p w:rsidR="002F02C2" w:rsidRDefault="002F02C2" w:rsidP="002F02C2">
      <w:pPr>
        <w:pStyle w:val="Paragrafi"/>
        <w:rPr>
          <w:rFonts w:cs="Times New Roman"/>
          <w:lang w:val="sq-AL"/>
        </w:rPr>
      </w:pPr>
      <w:r>
        <w:rPr>
          <w:rFonts w:cs="Times New Roman"/>
          <w:lang w:val="sq-AL"/>
        </w:rPr>
        <w:t>1. Njësitë</w:t>
      </w:r>
      <w:r>
        <w:rPr>
          <w:rFonts w:cs="Times New Roman"/>
          <w:spacing w:val="25"/>
          <w:lang w:val="sq-AL"/>
        </w:rPr>
        <w:t xml:space="preserve"> </w:t>
      </w:r>
      <w:r>
        <w:rPr>
          <w:rFonts w:cs="Times New Roman"/>
          <w:lang w:val="sq-AL"/>
        </w:rPr>
        <w:t>gjeneruese</w:t>
      </w:r>
      <w:r>
        <w:rPr>
          <w:rFonts w:cs="Times New Roman"/>
          <w:spacing w:val="39"/>
          <w:lang w:val="sq-AL"/>
        </w:rPr>
        <w:t xml:space="preserve"> </w:t>
      </w:r>
      <w:r>
        <w:rPr>
          <w:rFonts w:cs="Times New Roman"/>
          <w:lang w:val="sq-AL"/>
        </w:rPr>
        <w:t>përfshirë</w:t>
      </w:r>
      <w:r>
        <w:rPr>
          <w:rFonts w:cs="Times New Roman"/>
          <w:spacing w:val="31"/>
          <w:lang w:val="sq-AL"/>
        </w:rPr>
        <w:t xml:space="preserve"> </w:t>
      </w:r>
      <w:r>
        <w:rPr>
          <w:rFonts w:cs="Times New Roman"/>
          <w:lang w:val="sq-AL"/>
        </w:rPr>
        <w:t>pompat dhe kapacitorët sinkronë</w:t>
      </w:r>
      <w:r>
        <w:rPr>
          <w:rFonts w:cs="Times New Roman"/>
          <w:spacing w:val="14"/>
          <w:lang w:val="sq-AL"/>
        </w:rPr>
        <w:t xml:space="preserve"> </w:t>
      </w:r>
      <w:r>
        <w:rPr>
          <w:rFonts w:cs="Times New Roman"/>
          <w:lang w:val="sq-AL"/>
        </w:rPr>
        <w:t>duhet</w:t>
      </w:r>
      <w:r>
        <w:rPr>
          <w:rFonts w:cs="Times New Roman"/>
          <w:spacing w:val="21"/>
          <w:lang w:val="sq-AL"/>
        </w:rPr>
        <w:t xml:space="preserve"> </w:t>
      </w:r>
      <w:r>
        <w:rPr>
          <w:rFonts w:cs="Times New Roman"/>
          <w:lang w:val="sq-AL"/>
        </w:rPr>
        <w:t>të</w:t>
      </w:r>
      <w:r>
        <w:rPr>
          <w:rFonts w:cs="Times New Roman"/>
          <w:spacing w:val="8"/>
          <w:lang w:val="sq-AL"/>
        </w:rPr>
        <w:t xml:space="preserve"> </w:t>
      </w:r>
      <w:r>
        <w:rPr>
          <w:rFonts w:cs="Times New Roman"/>
          <w:lang w:val="sq-AL"/>
        </w:rPr>
        <w:t>modelohen</w:t>
      </w:r>
      <w:r>
        <w:rPr>
          <w:rFonts w:cs="Times New Roman"/>
          <w:spacing w:val="37"/>
          <w:lang w:val="sq-AL"/>
        </w:rPr>
        <w:t xml:space="preserve"> </w:t>
      </w:r>
      <w:r>
        <w:rPr>
          <w:rFonts w:cs="Times New Roman"/>
          <w:lang w:val="sq-AL"/>
        </w:rPr>
        <w:t>në</w:t>
      </w:r>
      <w:r>
        <w:rPr>
          <w:rFonts w:cs="Times New Roman"/>
          <w:spacing w:val="10"/>
          <w:lang w:val="sq-AL"/>
        </w:rPr>
        <w:t xml:space="preserve"> </w:t>
      </w:r>
      <w:r>
        <w:rPr>
          <w:rFonts w:cs="Times New Roman"/>
          <w:lang w:val="sq-AL"/>
        </w:rPr>
        <w:t>detaje,</w:t>
      </w:r>
      <w:r>
        <w:rPr>
          <w:rFonts w:cs="Times New Roman"/>
          <w:spacing w:val="24"/>
          <w:lang w:val="sq-AL"/>
        </w:rPr>
        <w:t xml:space="preserve"> </w:t>
      </w:r>
      <w:r>
        <w:rPr>
          <w:rFonts w:cs="Times New Roman"/>
          <w:lang w:val="sq-AL"/>
        </w:rPr>
        <w:t>nëse</w:t>
      </w:r>
      <w:r>
        <w:rPr>
          <w:rFonts w:cs="Times New Roman"/>
          <w:spacing w:val="18"/>
          <w:lang w:val="sq-AL"/>
        </w:rPr>
        <w:t xml:space="preserve"> </w:t>
      </w:r>
      <w:r>
        <w:rPr>
          <w:rFonts w:cs="Times New Roman"/>
          <w:w w:val="105"/>
          <w:lang w:val="sq-AL"/>
        </w:rPr>
        <w:t xml:space="preserve">ata </w:t>
      </w:r>
      <w:r>
        <w:rPr>
          <w:rFonts w:cs="Times New Roman"/>
          <w:lang w:val="sq-AL"/>
        </w:rPr>
        <w:t>janë</w:t>
      </w:r>
      <w:r>
        <w:rPr>
          <w:rFonts w:cs="Times New Roman"/>
          <w:spacing w:val="6"/>
          <w:lang w:val="sq-AL"/>
        </w:rPr>
        <w:t xml:space="preserve"> </w:t>
      </w:r>
      <w:r>
        <w:rPr>
          <w:rFonts w:cs="Times New Roman"/>
          <w:lang w:val="sq-AL"/>
        </w:rPr>
        <w:t>të</w:t>
      </w:r>
      <w:r>
        <w:rPr>
          <w:rFonts w:cs="Times New Roman"/>
          <w:spacing w:val="3"/>
          <w:lang w:val="sq-AL"/>
        </w:rPr>
        <w:t xml:space="preserve"> </w:t>
      </w:r>
      <w:r>
        <w:rPr>
          <w:rFonts w:cs="Times New Roman"/>
          <w:lang w:val="sq-AL"/>
        </w:rPr>
        <w:t>lidhura</w:t>
      </w:r>
      <w:r>
        <w:rPr>
          <w:rFonts w:cs="Times New Roman"/>
          <w:spacing w:val="9"/>
          <w:lang w:val="sq-AL"/>
        </w:rPr>
        <w:t xml:space="preserve"> </w:t>
      </w:r>
      <w:r>
        <w:rPr>
          <w:rFonts w:cs="Times New Roman"/>
          <w:lang w:val="sq-AL"/>
        </w:rPr>
        <w:t>në</w:t>
      </w:r>
      <w:r>
        <w:rPr>
          <w:rFonts w:cs="Times New Roman"/>
          <w:spacing w:val="4"/>
          <w:lang w:val="sq-AL"/>
        </w:rPr>
        <w:t xml:space="preserve"> </w:t>
      </w:r>
      <w:r>
        <w:rPr>
          <w:rFonts w:cs="Times New Roman"/>
          <w:lang w:val="sq-AL"/>
        </w:rPr>
        <w:t>nivelin e</w:t>
      </w:r>
      <w:r>
        <w:rPr>
          <w:rFonts w:cs="Times New Roman"/>
          <w:spacing w:val="6"/>
          <w:lang w:val="sq-AL"/>
        </w:rPr>
        <w:t xml:space="preserve"> </w:t>
      </w:r>
      <w:r>
        <w:rPr>
          <w:rFonts w:cs="Times New Roman"/>
          <w:w w:val="102"/>
          <w:lang w:val="sq-AL"/>
        </w:rPr>
        <w:t>tensionit:</w:t>
      </w:r>
    </w:p>
    <w:p w:rsidR="002F02C2" w:rsidRDefault="002F02C2" w:rsidP="002F02C2">
      <w:pPr>
        <w:pStyle w:val="Paragrafi"/>
        <w:rPr>
          <w:rFonts w:cs="Times New Roman"/>
          <w:lang w:val="sq-AL"/>
        </w:rPr>
      </w:pPr>
      <w:r>
        <w:rPr>
          <w:rFonts w:cs="Times New Roman"/>
          <w:lang w:val="sq-AL"/>
        </w:rPr>
        <w:t>a) 220 kV ose më lart;</w:t>
      </w:r>
    </w:p>
    <w:p w:rsidR="002F02C2" w:rsidRDefault="002F02C2" w:rsidP="002F02C2">
      <w:pPr>
        <w:pStyle w:val="Paragrafi"/>
        <w:rPr>
          <w:rFonts w:cs="Times New Roman"/>
          <w:lang w:val="sq-AL"/>
        </w:rPr>
      </w:pPr>
      <w:r>
        <w:rPr>
          <w:rFonts w:cs="Times New Roman"/>
          <w:lang w:val="sq-AL"/>
        </w:rPr>
        <w:t>b) Më pak se 220 kV dhe të përdoren në analizat rajonale të sigurisë operative.</w:t>
      </w:r>
    </w:p>
    <w:p w:rsidR="002F02C2" w:rsidRDefault="002F02C2" w:rsidP="002F02C2">
      <w:pPr>
        <w:pStyle w:val="Paragrafi"/>
        <w:rPr>
          <w:rFonts w:cs="Times New Roman"/>
          <w:lang w:val="sq-AL"/>
        </w:rPr>
      </w:pPr>
      <w:r>
        <w:rPr>
          <w:rFonts w:cs="Times New Roman"/>
          <w:lang w:val="sq-AL"/>
        </w:rPr>
        <w:t>2. Shumë njësi gjeneruese</w:t>
      </w:r>
      <w:r>
        <w:rPr>
          <w:rFonts w:cs="Times New Roman"/>
          <w:spacing w:val="7"/>
          <w:lang w:val="sq-AL"/>
        </w:rPr>
        <w:t xml:space="preserve"> </w:t>
      </w:r>
      <w:r>
        <w:rPr>
          <w:rFonts w:cs="Times New Roman"/>
          <w:lang w:val="sq-AL"/>
        </w:rPr>
        <w:t>identike</w:t>
      </w:r>
      <w:r>
        <w:rPr>
          <w:rFonts w:cs="Times New Roman"/>
          <w:spacing w:val="11"/>
          <w:lang w:val="sq-AL"/>
        </w:rPr>
        <w:t xml:space="preserve"> </w:t>
      </w:r>
      <w:r>
        <w:rPr>
          <w:rFonts w:cs="Times New Roman"/>
          <w:lang w:val="sq-AL"/>
        </w:rPr>
        <w:t>apo</w:t>
      </w:r>
      <w:r>
        <w:rPr>
          <w:rFonts w:cs="Times New Roman"/>
          <w:spacing w:val="6"/>
          <w:lang w:val="sq-AL"/>
        </w:rPr>
        <w:t xml:space="preserve"> </w:t>
      </w:r>
      <w:r>
        <w:rPr>
          <w:rFonts w:cs="Times New Roman"/>
          <w:lang w:val="sq-AL"/>
        </w:rPr>
        <w:t>të</w:t>
      </w:r>
      <w:r>
        <w:rPr>
          <w:rFonts w:cs="Times New Roman"/>
          <w:spacing w:val="3"/>
          <w:lang w:val="sq-AL"/>
        </w:rPr>
        <w:t xml:space="preserve"> </w:t>
      </w:r>
      <w:r>
        <w:rPr>
          <w:rFonts w:cs="Times New Roman"/>
          <w:lang w:val="sq-AL"/>
        </w:rPr>
        <w:t>ngjashme</w:t>
      </w:r>
      <w:r>
        <w:rPr>
          <w:rFonts w:cs="Times New Roman"/>
          <w:spacing w:val="14"/>
          <w:lang w:val="sq-AL"/>
        </w:rPr>
        <w:t xml:space="preserve"> </w:t>
      </w:r>
      <w:r>
        <w:rPr>
          <w:rFonts w:cs="Times New Roman"/>
          <w:lang w:val="sq-AL"/>
        </w:rPr>
        <w:t>mund</w:t>
      </w:r>
      <w:r>
        <w:rPr>
          <w:rFonts w:cs="Times New Roman"/>
          <w:spacing w:val="8"/>
          <w:lang w:val="sq-AL"/>
        </w:rPr>
        <w:t xml:space="preserve"> </w:t>
      </w:r>
      <w:r>
        <w:rPr>
          <w:rFonts w:cs="Times New Roman"/>
          <w:lang w:val="sq-AL"/>
        </w:rPr>
        <w:t>të</w:t>
      </w:r>
      <w:r>
        <w:rPr>
          <w:rFonts w:cs="Times New Roman"/>
          <w:spacing w:val="3"/>
          <w:lang w:val="sq-AL"/>
        </w:rPr>
        <w:t xml:space="preserve"> </w:t>
      </w:r>
      <w:r>
        <w:rPr>
          <w:rFonts w:cs="Times New Roman"/>
          <w:lang w:val="sq-AL"/>
        </w:rPr>
        <w:t>modelohen</w:t>
      </w:r>
      <w:r>
        <w:rPr>
          <w:rFonts w:cs="Times New Roman"/>
          <w:spacing w:val="15"/>
          <w:lang w:val="sq-AL"/>
        </w:rPr>
        <w:t xml:space="preserve"> </w:t>
      </w:r>
      <w:r>
        <w:rPr>
          <w:rFonts w:cs="Times New Roman"/>
          <w:lang w:val="sq-AL"/>
        </w:rPr>
        <w:t>në</w:t>
      </w:r>
      <w:r>
        <w:rPr>
          <w:rFonts w:cs="Times New Roman"/>
          <w:spacing w:val="4"/>
          <w:lang w:val="sq-AL"/>
        </w:rPr>
        <w:t xml:space="preserve"> </w:t>
      </w:r>
      <w:r>
        <w:rPr>
          <w:rFonts w:cs="Times New Roman"/>
          <w:lang w:val="sq-AL"/>
        </w:rPr>
        <w:t>detaje</w:t>
      </w:r>
      <w:r>
        <w:rPr>
          <w:rFonts w:cs="Times New Roman"/>
          <w:spacing w:val="9"/>
          <w:lang w:val="sq-AL"/>
        </w:rPr>
        <w:t xml:space="preserve"> </w:t>
      </w:r>
      <w:r>
        <w:rPr>
          <w:rFonts w:cs="Times New Roman"/>
          <w:lang w:val="sq-AL"/>
        </w:rPr>
        <w:t>së bashku</w:t>
      </w:r>
      <w:r>
        <w:rPr>
          <w:rFonts w:cs="Times New Roman"/>
          <w:spacing w:val="11"/>
          <w:lang w:val="sq-AL"/>
        </w:rPr>
        <w:t xml:space="preserve"> </w:t>
      </w:r>
      <w:r>
        <w:rPr>
          <w:rFonts w:cs="Times New Roman"/>
          <w:lang w:val="sq-AL"/>
        </w:rPr>
        <w:t>nëse</w:t>
      </w:r>
      <w:r>
        <w:rPr>
          <w:rFonts w:cs="Times New Roman"/>
          <w:spacing w:val="8"/>
          <w:lang w:val="sq-AL"/>
        </w:rPr>
        <w:t xml:space="preserve"> ky</w:t>
      </w:r>
      <w:r>
        <w:rPr>
          <w:rFonts w:cs="Times New Roman"/>
          <w:spacing w:val="-1"/>
          <w:lang w:val="sq-AL"/>
        </w:rPr>
        <w:t xml:space="preserve"> </w:t>
      </w:r>
      <w:r>
        <w:rPr>
          <w:rFonts w:cs="Times New Roman"/>
          <w:lang w:val="sq-AL"/>
        </w:rPr>
        <w:t>modelim</w:t>
      </w:r>
      <w:r>
        <w:rPr>
          <w:rFonts w:cs="Times New Roman"/>
          <w:spacing w:val="-6"/>
          <w:lang w:val="sq-AL"/>
        </w:rPr>
        <w:t xml:space="preserve"> </w:t>
      </w:r>
      <w:r>
        <w:rPr>
          <w:rFonts w:cs="Times New Roman"/>
          <w:lang w:val="sq-AL"/>
        </w:rPr>
        <w:t>është i</w:t>
      </w:r>
      <w:r>
        <w:rPr>
          <w:rFonts w:cs="Times New Roman"/>
          <w:spacing w:val="-1"/>
          <w:lang w:val="sq-AL"/>
        </w:rPr>
        <w:t xml:space="preserve"> </w:t>
      </w:r>
      <w:r>
        <w:rPr>
          <w:rFonts w:cs="Times New Roman"/>
          <w:lang w:val="sq-AL"/>
        </w:rPr>
        <w:t>mjaftueshëm</w:t>
      </w:r>
      <w:r>
        <w:rPr>
          <w:rFonts w:cs="Times New Roman"/>
          <w:spacing w:val="-9"/>
          <w:lang w:val="sq-AL"/>
        </w:rPr>
        <w:t xml:space="preserve"> </w:t>
      </w:r>
      <w:r>
        <w:rPr>
          <w:rFonts w:cs="Times New Roman"/>
          <w:lang w:val="sq-AL"/>
        </w:rPr>
        <w:t>në</w:t>
      </w:r>
      <w:r>
        <w:rPr>
          <w:rFonts w:cs="Times New Roman"/>
          <w:spacing w:val="8"/>
          <w:lang w:val="sq-AL"/>
        </w:rPr>
        <w:t xml:space="preserve"> analizat rajonale të </w:t>
      </w:r>
      <w:r>
        <w:rPr>
          <w:rFonts w:cs="Times New Roman"/>
          <w:lang w:val="sq-AL"/>
        </w:rPr>
        <w:t>sigurisë operative.</w:t>
      </w:r>
      <w:r>
        <w:rPr>
          <w:rFonts w:cs="Times New Roman"/>
          <w:spacing w:val="-6"/>
          <w:lang w:val="sq-AL"/>
        </w:rPr>
        <w:t xml:space="preserve"> </w:t>
      </w:r>
      <w:r>
        <w:rPr>
          <w:rFonts w:cs="Times New Roman"/>
          <w:lang w:val="sq-AL"/>
        </w:rPr>
        <w:t>Për</w:t>
      </w:r>
      <w:r>
        <w:rPr>
          <w:rFonts w:cs="Times New Roman"/>
          <w:spacing w:val="-2"/>
          <w:lang w:val="sq-AL"/>
        </w:rPr>
        <w:t xml:space="preserve"> </w:t>
      </w:r>
      <w:r>
        <w:rPr>
          <w:rFonts w:cs="Times New Roman"/>
          <w:lang w:val="sq-AL"/>
        </w:rPr>
        <w:t>njësitë</w:t>
      </w:r>
      <w:r>
        <w:rPr>
          <w:rFonts w:cs="Times New Roman"/>
          <w:spacing w:val="-4"/>
          <w:lang w:val="sq-AL"/>
        </w:rPr>
        <w:t xml:space="preserve"> </w:t>
      </w:r>
      <w:r>
        <w:rPr>
          <w:rFonts w:cs="Times New Roman"/>
          <w:lang w:val="sq-AL"/>
        </w:rPr>
        <w:t>gjeneruese</w:t>
      </w:r>
      <w:r>
        <w:rPr>
          <w:rFonts w:cs="Times New Roman"/>
          <w:spacing w:val="-7"/>
          <w:lang w:val="sq-AL"/>
        </w:rPr>
        <w:t xml:space="preserve"> </w:t>
      </w:r>
      <w:r>
        <w:rPr>
          <w:rFonts w:cs="Times New Roman"/>
          <w:lang w:val="sq-AL"/>
        </w:rPr>
        <w:t>të</w:t>
      </w:r>
      <w:r>
        <w:rPr>
          <w:rFonts w:cs="Times New Roman"/>
          <w:spacing w:val="-1"/>
          <w:lang w:val="sq-AL"/>
        </w:rPr>
        <w:t xml:space="preserve"> </w:t>
      </w:r>
      <w:r>
        <w:rPr>
          <w:rFonts w:cs="Times New Roman"/>
          <w:lang w:val="sq-AL"/>
        </w:rPr>
        <w:t>modeluara</w:t>
      </w:r>
      <w:r>
        <w:rPr>
          <w:rFonts w:cs="Times New Roman"/>
          <w:spacing w:val="-7"/>
          <w:lang w:val="sq-AL"/>
        </w:rPr>
        <w:t xml:space="preserve"> </w:t>
      </w:r>
      <w:r>
        <w:rPr>
          <w:rFonts w:cs="Times New Roman"/>
          <w:lang w:val="sq-AL"/>
        </w:rPr>
        <w:t>në mënyrë</w:t>
      </w:r>
      <w:r>
        <w:rPr>
          <w:rFonts w:cs="Times New Roman"/>
          <w:spacing w:val="-5"/>
          <w:lang w:val="sq-AL"/>
        </w:rPr>
        <w:t xml:space="preserve"> </w:t>
      </w:r>
      <w:r>
        <w:rPr>
          <w:rFonts w:cs="Times New Roman"/>
          <w:lang w:val="sq-AL"/>
        </w:rPr>
        <w:t>të</w:t>
      </w:r>
      <w:r>
        <w:rPr>
          <w:rFonts w:cs="Times New Roman"/>
          <w:spacing w:val="-1"/>
          <w:lang w:val="sq-AL"/>
        </w:rPr>
        <w:t xml:space="preserve"> </w:t>
      </w:r>
      <w:r>
        <w:rPr>
          <w:rFonts w:cs="Times New Roman"/>
          <w:lang w:val="sq-AL"/>
        </w:rPr>
        <w:t>detajuar</w:t>
      </w:r>
      <w:r>
        <w:rPr>
          <w:rFonts w:cs="Times New Roman"/>
          <w:spacing w:val="-5"/>
          <w:lang w:val="sq-AL"/>
        </w:rPr>
        <w:t xml:space="preserve"> </w:t>
      </w:r>
      <w:r>
        <w:rPr>
          <w:rFonts w:cs="Times New Roman"/>
          <w:lang w:val="sq-AL"/>
        </w:rPr>
        <w:t xml:space="preserve">së bashku, </w:t>
      </w:r>
      <w:r>
        <w:rPr>
          <w:rFonts w:cs="Times New Roman"/>
          <w:spacing w:val="-5"/>
          <w:lang w:val="sq-AL"/>
        </w:rPr>
        <w:t>një</w:t>
      </w:r>
      <w:r>
        <w:rPr>
          <w:rFonts w:cs="Times New Roman"/>
          <w:spacing w:val="-2"/>
          <w:lang w:val="sq-AL"/>
        </w:rPr>
        <w:t xml:space="preserve"> </w:t>
      </w:r>
      <w:r>
        <w:rPr>
          <w:rFonts w:cs="Times New Roman"/>
          <w:lang w:val="sq-AL"/>
        </w:rPr>
        <w:t>model</w:t>
      </w:r>
      <w:r>
        <w:rPr>
          <w:rFonts w:cs="Times New Roman"/>
          <w:spacing w:val="-4"/>
          <w:lang w:val="sq-AL"/>
        </w:rPr>
        <w:t xml:space="preserve"> </w:t>
      </w:r>
      <w:r>
        <w:rPr>
          <w:rFonts w:cs="Times New Roman"/>
          <w:lang w:val="sq-AL"/>
        </w:rPr>
        <w:t>ekuivalent</w:t>
      </w:r>
      <w:r>
        <w:rPr>
          <w:rFonts w:cs="Times New Roman"/>
          <w:spacing w:val="-7"/>
          <w:lang w:val="sq-AL"/>
        </w:rPr>
        <w:t xml:space="preserve"> </w:t>
      </w:r>
      <w:r>
        <w:rPr>
          <w:rFonts w:cs="Times New Roman"/>
          <w:lang w:val="sq-AL"/>
        </w:rPr>
        <w:t>duhet</w:t>
      </w:r>
      <w:r>
        <w:rPr>
          <w:rFonts w:cs="Times New Roman"/>
          <w:spacing w:val="-4"/>
          <w:lang w:val="sq-AL"/>
        </w:rPr>
        <w:t xml:space="preserve"> </w:t>
      </w:r>
      <w:r>
        <w:rPr>
          <w:rFonts w:cs="Times New Roman"/>
          <w:lang w:val="sq-AL"/>
        </w:rPr>
        <w:t>të</w:t>
      </w:r>
      <w:r>
        <w:rPr>
          <w:rFonts w:cs="Times New Roman"/>
          <w:spacing w:val="-1"/>
          <w:lang w:val="sq-AL"/>
        </w:rPr>
        <w:t xml:space="preserve"> </w:t>
      </w:r>
      <w:r>
        <w:rPr>
          <w:rFonts w:cs="Times New Roman"/>
          <w:lang w:val="sq-AL"/>
        </w:rPr>
        <w:t>përfshihen</w:t>
      </w:r>
      <w:r>
        <w:rPr>
          <w:rFonts w:cs="Times New Roman"/>
          <w:spacing w:val="-7"/>
          <w:lang w:val="sq-AL"/>
        </w:rPr>
        <w:t xml:space="preserve"> </w:t>
      </w:r>
      <w:r>
        <w:rPr>
          <w:rFonts w:cs="Times New Roman"/>
          <w:lang w:val="sq-AL"/>
        </w:rPr>
        <w:t>në</w:t>
      </w:r>
      <w:r>
        <w:rPr>
          <w:rFonts w:cs="Times New Roman"/>
          <w:spacing w:val="-2"/>
          <w:lang w:val="sq-AL"/>
        </w:rPr>
        <w:t xml:space="preserve"> </w:t>
      </w:r>
      <w:r>
        <w:rPr>
          <w:rFonts w:cs="Times New Roman"/>
          <w:lang w:val="sq-AL"/>
        </w:rPr>
        <w:t xml:space="preserve">MIRR. </w:t>
      </w:r>
    </w:p>
    <w:p w:rsidR="002F02C2" w:rsidRDefault="002F02C2" w:rsidP="002F02C2">
      <w:pPr>
        <w:pStyle w:val="Paragrafi"/>
        <w:rPr>
          <w:rFonts w:cs="Times New Roman"/>
          <w:lang w:val="sq-AL"/>
        </w:rPr>
      </w:pPr>
      <w:r>
        <w:rPr>
          <w:rFonts w:cs="Times New Roman"/>
          <w:lang w:val="sq-AL"/>
        </w:rPr>
        <w:t>3. Kapaciteti</w:t>
      </w:r>
      <w:r>
        <w:rPr>
          <w:rFonts w:cs="Times New Roman"/>
          <w:spacing w:val="14"/>
          <w:lang w:val="sq-AL"/>
        </w:rPr>
        <w:t xml:space="preserve"> gjenerues, i modeluar n</w:t>
      </w:r>
      <w:r>
        <w:rPr>
          <w:rFonts w:cs="Times New Roman"/>
          <w:lang w:val="sq-AL"/>
        </w:rPr>
        <w:t>ë</w:t>
      </w:r>
      <w:r>
        <w:rPr>
          <w:rFonts w:cs="Times New Roman"/>
          <w:spacing w:val="4"/>
          <w:lang w:val="sq-AL"/>
        </w:rPr>
        <w:t xml:space="preserve"> </w:t>
      </w:r>
      <w:r>
        <w:rPr>
          <w:rFonts w:cs="Times New Roman"/>
          <w:lang w:val="sq-AL"/>
        </w:rPr>
        <w:t>mënyrë</w:t>
      </w:r>
      <w:r>
        <w:rPr>
          <w:rFonts w:cs="Times New Roman"/>
          <w:spacing w:val="11"/>
          <w:lang w:val="sq-AL"/>
        </w:rPr>
        <w:t xml:space="preserve"> jo </w:t>
      </w:r>
      <w:r>
        <w:rPr>
          <w:rFonts w:cs="Times New Roman"/>
          <w:lang w:val="sq-AL"/>
        </w:rPr>
        <w:t>të</w:t>
      </w:r>
      <w:r>
        <w:rPr>
          <w:rFonts w:cs="Times New Roman"/>
          <w:spacing w:val="3"/>
          <w:lang w:val="sq-AL"/>
        </w:rPr>
        <w:t xml:space="preserve"> </w:t>
      </w:r>
      <w:r>
        <w:rPr>
          <w:rFonts w:cs="Times New Roman"/>
          <w:lang w:val="sq-AL"/>
        </w:rPr>
        <w:t>detajuar,</w:t>
      </w:r>
      <w:r>
        <w:rPr>
          <w:rFonts w:cs="Times New Roman"/>
          <w:spacing w:val="13"/>
          <w:lang w:val="sq-AL"/>
        </w:rPr>
        <w:t xml:space="preserve"> </w:t>
      </w:r>
      <w:r>
        <w:rPr>
          <w:rFonts w:cs="Times New Roman"/>
          <w:lang w:val="sq-AL"/>
        </w:rPr>
        <w:t>do</w:t>
      </w:r>
      <w:r>
        <w:rPr>
          <w:rFonts w:cs="Times New Roman"/>
          <w:spacing w:val="4"/>
          <w:lang w:val="sq-AL"/>
        </w:rPr>
        <w:t xml:space="preserve"> </w:t>
      </w:r>
      <w:r>
        <w:rPr>
          <w:rFonts w:cs="Times New Roman"/>
          <w:lang w:val="sq-AL"/>
        </w:rPr>
        <w:t>të</w:t>
      </w:r>
      <w:r>
        <w:rPr>
          <w:rFonts w:cs="Times New Roman"/>
          <w:spacing w:val="3"/>
          <w:lang w:val="sq-AL"/>
        </w:rPr>
        <w:t xml:space="preserve"> </w:t>
      </w:r>
      <w:r>
        <w:rPr>
          <w:rFonts w:cs="Times New Roman"/>
          <w:lang w:val="sq-AL"/>
        </w:rPr>
        <w:t>përfshihet</w:t>
      </w:r>
      <w:r>
        <w:rPr>
          <w:rFonts w:cs="Times New Roman"/>
          <w:spacing w:val="15"/>
          <w:lang w:val="sq-AL"/>
        </w:rPr>
        <w:t xml:space="preserve"> </w:t>
      </w:r>
      <w:r>
        <w:rPr>
          <w:rFonts w:cs="Times New Roman"/>
          <w:lang w:val="sq-AL"/>
        </w:rPr>
        <w:t>në</w:t>
      </w:r>
      <w:r>
        <w:rPr>
          <w:rFonts w:cs="Times New Roman"/>
          <w:spacing w:val="4"/>
          <w:lang w:val="sq-AL"/>
        </w:rPr>
        <w:t xml:space="preserve"> MIRR </w:t>
      </w:r>
      <w:r>
        <w:rPr>
          <w:rFonts w:cs="Times New Roman"/>
          <w:lang w:val="sq-AL"/>
        </w:rPr>
        <w:t>si</w:t>
      </w:r>
      <w:r>
        <w:rPr>
          <w:rFonts w:cs="Times New Roman"/>
          <w:spacing w:val="3"/>
          <w:lang w:val="sq-AL"/>
        </w:rPr>
        <w:t xml:space="preserve"> </w:t>
      </w:r>
      <w:r>
        <w:rPr>
          <w:rFonts w:cs="Times New Roman"/>
          <w:w w:val="102"/>
          <w:lang w:val="sq-AL"/>
        </w:rPr>
        <w:t>shumatore e modeluar.</w:t>
      </w:r>
    </w:p>
    <w:p w:rsidR="002F02C2" w:rsidRDefault="002F02C2" w:rsidP="002F02C2">
      <w:pPr>
        <w:pStyle w:val="Paragrafi"/>
        <w:rPr>
          <w:rFonts w:cs="Times New Roman"/>
          <w:lang w:val="sq-AL"/>
        </w:rPr>
      </w:pPr>
      <w:r>
        <w:rPr>
          <w:rFonts w:cs="Times New Roman"/>
          <w:lang w:val="sq-AL"/>
        </w:rPr>
        <w:t>4. Si për</w:t>
      </w:r>
      <w:r>
        <w:rPr>
          <w:rFonts w:cs="Times New Roman"/>
          <w:spacing w:val="-2"/>
          <w:lang w:val="sq-AL"/>
        </w:rPr>
        <w:t xml:space="preserve"> </w:t>
      </w:r>
      <w:r>
        <w:rPr>
          <w:rFonts w:cs="Times New Roman"/>
          <w:lang w:val="sq-AL"/>
        </w:rPr>
        <w:t>njësitë</w:t>
      </w:r>
      <w:r>
        <w:rPr>
          <w:rFonts w:cs="Times New Roman"/>
          <w:spacing w:val="-4"/>
          <w:lang w:val="sq-AL"/>
        </w:rPr>
        <w:t xml:space="preserve"> </w:t>
      </w:r>
      <w:r>
        <w:rPr>
          <w:rFonts w:cs="Times New Roman"/>
          <w:lang w:val="sq-AL"/>
        </w:rPr>
        <w:t>gjeneruese</w:t>
      </w:r>
      <w:r>
        <w:rPr>
          <w:rFonts w:cs="Times New Roman"/>
          <w:spacing w:val="-6"/>
          <w:lang w:val="sq-AL"/>
        </w:rPr>
        <w:t xml:space="preserve"> </w:t>
      </w:r>
      <w:r>
        <w:rPr>
          <w:rFonts w:cs="Times New Roman"/>
          <w:lang w:val="sq-AL"/>
        </w:rPr>
        <w:t>të</w:t>
      </w:r>
      <w:r>
        <w:rPr>
          <w:rFonts w:cs="Times New Roman"/>
          <w:spacing w:val="-1"/>
          <w:lang w:val="sq-AL"/>
        </w:rPr>
        <w:t xml:space="preserve"> </w:t>
      </w:r>
      <w:r>
        <w:rPr>
          <w:rFonts w:cs="Times New Roman"/>
          <w:lang w:val="sq-AL"/>
        </w:rPr>
        <w:t>modeluara</w:t>
      </w:r>
      <w:r>
        <w:rPr>
          <w:rFonts w:cs="Times New Roman"/>
          <w:spacing w:val="-6"/>
          <w:lang w:val="sq-AL"/>
        </w:rPr>
        <w:t xml:space="preserve"> </w:t>
      </w:r>
      <w:r>
        <w:rPr>
          <w:rFonts w:cs="Times New Roman"/>
          <w:lang w:val="sq-AL"/>
        </w:rPr>
        <w:t>në</w:t>
      </w:r>
      <w:r>
        <w:rPr>
          <w:rFonts w:cs="Times New Roman"/>
          <w:spacing w:val="-1"/>
          <w:lang w:val="sq-AL"/>
        </w:rPr>
        <w:t xml:space="preserve"> </w:t>
      </w:r>
      <w:r>
        <w:rPr>
          <w:rFonts w:cs="Times New Roman"/>
          <w:lang w:val="sq-AL"/>
        </w:rPr>
        <w:t>mënyrë</w:t>
      </w:r>
      <w:r>
        <w:rPr>
          <w:rFonts w:cs="Times New Roman"/>
          <w:spacing w:val="-4"/>
          <w:lang w:val="sq-AL"/>
        </w:rPr>
        <w:t xml:space="preserve"> </w:t>
      </w:r>
      <w:r>
        <w:rPr>
          <w:rFonts w:cs="Times New Roman"/>
          <w:lang w:val="sq-AL"/>
        </w:rPr>
        <w:t>të</w:t>
      </w:r>
      <w:r>
        <w:rPr>
          <w:rFonts w:cs="Times New Roman"/>
          <w:spacing w:val="-1"/>
          <w:lang w:val="sq-AL"/>
        </w:rPr>
        <w:t xml:space="preserve"> </w:t>
      </w:r>
      <w:r>
        <w:rPr>
          <w:rFonts w:cs="Times New Roman"/>
          <w:lang w:val="sq-AL"/>
        </w:rPr>
        <w:t>detajuar,</w:t>
      </w:r>
      <w:r>
        <w:rPr>
          <w:rFonts w:cs="Times New Roman"/>
          <w:spacing w:val="-5"/>
          <w:lang w:val="sq-AL"/>
        </w:rPr>
        <w:t xml:space="preserve"> ashtu edhe </w:t>
      </w:r>
      <w:r>
        <w:rPr>
          <w:rFonts w:cs="Times New Roman"/>
          <w:lang w:val="sq-AL"/>
        </w:rPr>
        <w:t>për</w:t>
      </w:r>
      <w:r>
        <w:rPr>
          <w:rFonts w:cs="Times New Roman"/>
          <w:spacing w:val="-2"/>
          <w:lang w:val="sq-AL"/>
        </w:rPr>
        <w:t xml:space="preserve"> ato të modeluara si shumatore të </w:t>
      </w:r>
      <w:r>
        <w:rPr>
          <w:rFonts w:cs="Times New Roman"/>
          <w:lang w:val="sq-AL"/>
        </w:rPr>
        <w:t>kapacitetit</w:t>
      </w:r>
      <w:r>
        <w:rPr>
          <w:rFonts w:cs="Times New Roman"/>
          <w:spacing w:val="-7"/>
          <w:lang w:val="sq-AL"/>
        </w:rPr>
        <w:t xml:space="preserve"> </w:t>
      </w:r>
      <w:r>
        <w:rPr>
          <w:rFonts w:cs="Times New Roman"/>
          <w:lang w:val="sq-AL"/>
        </w:rPr>
        <w:t>gjenerues,</w:t>
      </w:r>
      <w:r>
        <w:rPr>
          <w:rFonts w:cs="Times New Roman"/>
          <w:spacing w:val="-7"/>
          <w:lang w:val="sq-AL"/>
        </w:rPr>
        <w:t xml:space="preserve"> </w:t>
      </w:r>
      <w:r>
        <w:rPr>
          <w:rFonts w:cs="Times New Roman"/>
          <w:lang w:val="sq-AL"/>
        </w:rPr>
        <w:t>të</w:t>
      </w:r>
      <w:r>
        <w:rPr>
          <w:rFonts w:cs="Times New Roman"/>
          <w:spacing w:val="-1"/>
          <w:lang w:val="sq-AL"/>
        </w:rPr>
        <w:t xml:space="preserve"> </w:t>
      </w:r>
      <w:r>
        <w:rPr>
          <w:rFonts w:cs="Times New Roman"/>
          <w:lang w:val="sq-AL"/>
        </w:rPr>
        <w:t>ndara sipas burimeve</w:t>
      </w:r>
      <w:r>
        <w:rPr>
          <w:rFonts w:cs="Times New Roman"/>
          <w:spacing w:val="10"/>
          <w:lang w:val="sq-AL"/>
        </w:rPr>
        <w:t xml:space="preserve"> primare të</w:t>
      </w:r>
      <w:r>
        <w:rPr>
          <w:rFonts w:cs="Times New Roman"/>
          <w:spacing w:val="3"/>
          <w:lang w:val="sq-AL"/>
        </w:rPr>
        <w:t xml:space="preserve"> </w:t>
      </w:r>
      <w:r>
        <w:rPr>
          <w:rFonts w:cs="Times New Roman"/>
          <w:lang w:val="sq-AL"/>
        </w:rPr>
        <w:t>energjisë</w:t>
      </w:r>
      <w:r>
        <w:rPr>
          <w:rFonts w:cs="Times New Roman"/>
          <w:spacing w:val="12"/>
          <w:lang w:val="sq-AL"/>
        </w:rPr>
        <w:t xml:space="preserve"> </w:t>
      </w:r>
      <w:r>
        <w:rPr>
          <w:rFonts w:cs="Times New Roman"/>
          <w:lang w:val="sq-AL"/>
        </w:rPr>
        <w:t>dhe</w:t>
      </w:r>
      <w:r>
        <w:rPr>
          <w:rFonts w:cs="Times New Roman"/>
          <w:spacing w:val="6"/>
          <w:lang w:val="sq-AL"/>
        </w:rPr>
        <w:t xml:space="preserve"> </w:t>
      </w:r>
      <w:r>
        <w:rPr>
          <w:rFonts w:cs="Times New Roman"/>
          <w:lang w:val="sq-AL"/>
        </w:rPr>
        <w:t>të</w:t>
      </w:r>
      <w:r>
        <w:rPr>
          <w:rFonts w:cs="Times New Roman"/>
          <w:spacing w:val="3"/>
          <w:lang w:val="sq-AL"/>
        </w:rPr>
        <w:t xml:space="preserve"> </w:t>
      </w:r>
      <w:r>
        <w:rPr>
          <w:rFonts w:cs="Times New Roman"/>
          <w:lang w:val="sq-AL"/>
        </w:rPr>
        <w:t>veçuara</w:t>
      </w:r>
      <w:r>
        <w:rPr>
          <w:rFonts w:cs="Times New Roman"/>
          <w:spacing w:val="8"/>
          <w:lang w:val="sq-AL"/>
        </w:rPr>
        <w:t xml:space="preserve"> </w:t>
      </w:r>
      <w:r>
        <w:rPr>
          <w:rFonts w:cs="Times New Roman"/>
          <w:lang w:val="sq-AL"/>
        </w:rPr>
        <w:t>nga</w:t>
      </w:r>
      <w:r>
        <w:rPr>
          <w:rFonts w:cs="Times New Roman"/>
          <w:spacing w:val="6"/>
          <w:lang w:val="sq-AL"/>
        </w:rPr>
        <w:t xml:space="preserve"> </w:t>
      </w:r>
      <w:r>
        <w:rPr>
          <w:rFonts w:cs="Times New Roman"/>
          <w:lang w:val="sq-AL"/>
        </w:rPr>
        <w:t>ngarkesa,</w:t>
      </w:r>
      <w:r>
        <w:rPr>
          <w:rFonts w:cs="Times New Roman"/>
          <w:spacing w:val="15"/>
          <w:lang w:val="sq-AL"/>
        </w:rPr>
        <w:t xml:space="preserve"> në </w:t>
      </w:r>
      <w:r>
        <w:rPr>
          <w:lang w:val="sq-AL"/>
        </w:rPr>
        <w:t>MIRR</w:t>
      </w:r>
      <w:r>
        <w:rPr>
          <w:rFonts w:cs="Times New Roman"/>
          <w:spacing w:val="15"/>
          <w:lang w:val="sq-AL"/>
        </w:rPr>
        <w:t xml:space="preserve"> duhet të përfshihen </w:t>
      </w:r>
      <w:r>
        <w:rPr>
          <w:rFonts w:cs="Times New Roman"/>
          <w:lang w:val="sq-AL"/>
        </w:rPr>
        <w:t>të</w:t>
      </w:r>
      <w:r>
        <w:rPr>
          <w:rFonts w:cs="Times New Roman"/>
          <w:spacing w:val="3"/>
          <w:lang w:val="sq-AL"/>
        </w:rPr>
        <w:t xml:space="preserve"> </w:t>
      </w:r>
      <w:r>
        <w:rPr>
          <w:rFonts w:cs="Times New Roman"/>
          <w:lang w:val="sq-AL"/>
        </w:rPr>
        <w:t>dhënat</w:t>
      </w:r>
      <w:r>
        <w:rPr>
          <w:rFonts w:cs="Times New Roman"/>
          <w:spacing w:val="10"/>
          <w:lang w:val="sq-AL"/>
        </w:rPr>
        <w:t xml:space="preserve"> </w:t>
      </w:r>
      <w:r>
        <w:rPr>
          <w:rFonts w:cs="Times New Roman"/>
          <w:lang w:val="sq-AL"/>
        </w:rPr>
        <w:t>e</w:t>
      </w:r>
      <w:r>
        <w:rPr>
          <w:rFonts w:cs="Times New Roman"/>
          <w:spacing w:val="3"/>
          <w:lang w:val="sq-AL"/>
        </w:rPr>
        <w:t xml:space="preserve"> </w:t>
      </w:r>
      <w:r>
        <w:rPr>
          <w:rFonts w:cs="Times New Roman"/>
          <w:lang w:val="sq-AL"/>
        </w:rPr>
        <w:t>mëposhtme</w:t>
      </w:r>
      <w:r>
        <w:rPr>
          <w:rFonts w:cs="Times New Roman"/>
          <w:w w:val="102"/>
          <w:lang w:val="sq-AL"/>
        </w:rPr>
        <w:t>:</w:t>
      </w:r>
    </w:p>
    <w:p w:rsidR="002F02C2" w:rsidRDefault="002F02C2" w:rsidP="002F02C2">
      <w:pPr>
        <w:pStyle w:val="Paragrafi"/>
        <w:rPr>
          <w:rFonts w:cs="Times New Roman"/>
          <w:spacing w:val="-4"/>
          <w:lang w:val="sq-AL"/>
        </w:rPr>
      </w:pPr>
      <w:r>
        <w:rPr>
          <w:rFonts w:cs="Times New Roman"/>
          <w:spacing w:val="-4"/>
          <w:lang w:val="sq-AL"/>
        </w:rPr>
        <w:t>a) Pika e lidhjes;</w:t>
      </w:r>
    </w:p>
    <w:p w:rsidR="002F02C2" w:rsidRDefault="002F02C2" w:rsidP="002F02C2">
      <w:pPr>
        <w:pStyle w:val="Paragrafi"/>
        <w:rPr>
          <w:rFonts w:cs="Times New Roman"/>
          <w:spacing w:val="-4"/>
          <w:lang w:val="sq-AL"/>
        </w:rPr>
      </w:pPr>
      <w:r>
        <w:rPr>
          <w:rFonts w:cs="Times New Roman"/>
          <w:spacing w:val="-4"/>
          <w:lang w:val="sq-AL"/>
        </w:rPr>
        <w:t>b) Burimi primar i energjisë.</w:t>
      </w:r>
    </w:p>
    <w:p w:rsidR="002F02C2" w:rsidRDefault="002F02C2" w:rsidP="002F02C2">
      <w:pPr>
        <w:pStyle w:val="Paragrafi"/>
        <w:rPr>
          <w:rFonts w:cs="Times New Roman"/>
          <w:spacing w:val="-4"/>
          <w:lang w:val="sq-AL"/>
        </w:rPr>
      </w:pPr>
      <w:r>
        <w:rPr>
          <w:rFonts w:cs="Times New Roman"/>
          <w:spacing w:val="-4"/>
          <w:lang w:val="sq-AL"/>
        </w:rPr>
        <w:t>5. Për njësitë gjeneruese të modeluara në mënyrë të detajuar, në MIRR duhet të përfshihen të dhënat e mëposhtme:</w:t>
      </w:r>
    </w:p>
    <w:p w:rsidR="002F02C2" w:rsidRDefault="002F02C2" w:rsidP="002F02C2">
      <w:pPr>
        <w:pStyle w:val="Paragrafi"/>
        <w:rPr>
          <w:rFonts w:cs="Times New Roman"/>
          <w:spacing w:val="-4"/>
          <w:lang w:val="sq-AL"/>
        </w:rPr>
      </w:pPr>
      <w:r>
        <w:rPr>
          <w:rFonts w:cs="Times New Roman"/>
          <w:spacing w:val="-4"/>
          <w:lang w:val="sq-AL"/>
        </w:rPr>
        <w:t>a) Vlerat maksimale dhe minimale të fuqisë aktive; të përcaktuara si vlera për të cilat njësi gjeneruese mund të rregullohet. Në rastin e pompave hidroelektrike rezervuese, do të modelohen dy cikle dhe dy të dhënat duhet të jepen (d.m.th., nga një për të gjenerimin dhe mënyrën e pompimit);</w:t>
      </w:r>
    </w:p>
    <w:p w:rsidR="002F02C2" w:rsidRDefault="002F02C2" w:rsidP="002F02C2">
      <w:pPr>
        <w:pStyle w:val="Paragrafi"/>
        <w:rPr>
          <w:rFonts w:cs="Times New Roman"/>
          <w:spacing w:val="-4"/>
          <w:lang w:val="sq-AL"/>
        </w:rPr>
      </w:pPr>
      <w:r>
        <w:rPr>
          <w:rFonts w:cs="Times New Roman"/>
          <w:spacing w:val="-4"/>
          <w:lang w:val="sq-AL"/>
        </w:rPr>
        <w:t>b) Llojin e mënyrës së kontrollit, me një nga të mëposhtme: “e padisonueshme”, “në kontroll të tensionit”, “në kontroll të faktorit të fuqisë”, “në kontroll të fuqisë reaktive” , dhe për njësitë gjeneruese me tension të rregullueshëm, skarat me tension të rregulluara ku është vendosur tensioni i planifikuar;</w:t>
      </w:r>
    </w:p>
    <w:p w:rsidR="002F02C2" w:rsidRDefault="002F02C2" w:rsidP="002F02C2">
      <w:pPr>
        <w:pStyle w:val="Paragrafi"/>
        <w:rPr>
          <w:rFonts w:cs="Times New Roman"/>
          <w:spacing w:val="-4"/>
          <w:lang w:val="sq-AL"/>
        </w:rPr>
      </w:pPr>
      <w:r>
        <w:rPr>
          <w:rFonts w:cs="Times New Roman"/>
          <w:spacing w:val="-4"/>
          <w:lang w:val="sq-AL"/>
        </w:rPr>
        <w:t xml:space="preserve">c) Vlerat maksimale dhe minimale të fuqisë reaktive kur është dhënë vlera minimale dhe maksimale e </w:t>
      </w:r>
      <w:r>
        <w:rPr>
          <w:rFonts w:cs="Times New Roman"/>
          <w:spacing w:val="-4"/>
          <w:lang w:val="sq-AL"/>
        </w:rPr>
        <w:lastRenderedPageBreak/>
        <w:t>fuqisë aktive, si dhe kurbën e aftësisë në qoftë se kjo është e nevojshme për analizën rajonale të sigurisë operative;</w:t>
      </w:r>
    </w:p>
    <w:p w:rsidR="002F02C2" w:rsidRDefault="002F02C2" w:rsidP="002F02C2">
      <w:pPr>
        <w:pStyle w:val="Paragrafi"/>
        <w:rPr>
          <w:rFonts w:cs="Times New Roman"/>
          <w:spacing w:val="-4"/>
          <w:lang w:val="sq-AL"/>
        </w:rPr>
      </w:pPr>
      <w:r>
        <w:rPr>
          <w:rFonts w:cs="Times New Roman"/>
          <w:spacing w:val="-4"/>
          <w:lang w:val="sq-AL"/>
        </w:rPr>
        <w:t xml:space="preserve">d) Nevoja vetjake e njësisë gjeneruese që përfaqëson kërkesën e brendshme të njësisë gjeneruese, nëse është e nevojshme në analizat rajonale të sigurisë operative duhet të modelohet si një ngarkesë jokonforme në pikën e lidhjes, </w:t>
      </w:r>
    </w:p>
    <w:p w:rsidR="002F02C2" w:rsidRDefault="002F02C2" w:rsidP="002F02C2">
      <w:pPr>
        <w:pStyle w:val="Paragrafi"/>
        <w:rPr>
          <w:rFonts w:cs="Times New Roman"/>
          <w:spacing w:val="-4"/>
          <w:lang w:val="sq-AL"/>
        </w:rPr>
      </w:pPr>
      <w:r>
        <w:rPr>
          <w:rFonts w:cs="Times New Roman"/>
          <w:spacing w:val="-4"/>
          <w:lang w:val="sq-AL"/>
        </w:rPr>
        <w:t>6. Për njësitë gjeneruese të modeluara si shumatore në MIRR duhet të përfshihen të dhënat e mëposhtme:</w:t>
      </w:r>
    </w:p>
    <w:p w:rsidR="002F02C2" w:rsidRDefault="002F02C2" w:rsidP="002F02C2">
      <w:pPr>
        <w:pStyle w:val="Paragrafi"/>
        <w:rPr>
          <w:rFonts w:cs="Times New Roman"/>
          <w:spacing w:val="-4"/>
          <w:lang w:val="sq-AL"/>
        </w:rPr>
      </w:pPr>
      <w:r>
        <w:rPr>
          <w:rFonts w:cs="Times New Roman"/>
          <w:spacing w:val="-4"/>
          <w:lang w:val="sq-AL"/>
        </w:rPr>
        <w:t>a) Shumatorja e kapacitetit gjenerues e ndarë sipas burimeve primare të energjisë dhe e ndarë nga ngarkesa në pjesët korresponduese të rrjetit të ndara sipas nënstacioneve të modelit ekuivalent apo nënstacioneve në të cilat janë të lidhura pjesët korresponduese të rrjetit.</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9</w:t>
      </w:r>
    </w:p>
    <w:p w:rsidR="002F02C2" w:rsidRDefault="002F02C2" w:rsidP="002F02C2">
      <w:pPr>
        <w:pStyle w:val="NeniNr"/>
        <w:rPr>
          <w:b/>
          <w:spacing w:val="-4"/>
          <w:lang w:val="sq-AL"/>
        </w:rPr>
      </w:pPr>
      <w:r>
        <w:rPr>
          <w:b/>
          <w:spacing w:val="-4"/>
          <w:lang w:val="sq-AL"/>
        </w:rPr>
        <w:t>Ngarkesa</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Ngarkesat duhet të jenë të modeluar në detaj nëse janë të lidhura në nivelet e tensionit:</w:t>
      </w:r>
    </w:p>
    <w:p w:rsidR="002F02C2" w:rsidRDefault="002F02C2" w:rsidP="002F02C2">
      <w:pPr>
        <w:pStyle w:val="Paragrafi"/>
        <w:rPr>
          <w:rFonts w:cs="Times New Roman"/>
          <w:spacing w:val="-4"/>
          <w:lang w:val="sq-AL"/>
        </w:rPr>
      </w:pPr>
      <w:r>
        <w:rPr>
          <w:rFonts w:cs="Times New Roman"/>
          <w:spacing w:val="-4"/>
          <w:lang w:val="sq-AL"/>
        </w:rPr>
        <w:t>a) 220 kV ose më lart;</w:t>
      </w:r>
    </w:p>
    <w:p w:rsidR="002F02C2" w:rsidRDefault="002F02C2" w:rsidP="002F02C2">
      <w:pPr>
        <w:pStyle w:val="Paragrafi"/>
        <w:rPr>
          <w:rFonts w:cs="Times New Roman"/>
          <w:spacing w:val="-4"/>
          <w:lang w:val="sq-AL"/>
        </w:rPr>
      </w:pPr>
      <w:r>
        <w:rPr>
          <w:rFonts w:cs="Times New Roman"/>
          <w:spacing w:val="-4"/>
          <w:lang w:val="sq-AL"/>
        </w:rPr>
        <w:t>b) Më pak se 220 kV dhe ato përdoren në analizat rajonale të sigurisë operative.</w:t>
      </w:r>
    </w:p>
    <w:p w:rsidR="002F02C2" w:rsidRDefault="002F02C2" w:rsidP="002F02C2">
      <w:pPr>
        <w:pStyle w:val="Paragrafi"/>
        <w:rPr>
          <w:rFonts w:cs="Times New Roman"/>
          <w:spacing w:val="-4"/>
          <w:lang w:val="sq-AL"/>
        </w:rPr>
      </w:pPr>
      <w:r>
        <w:rPr>
          <w:rFonts w:cs="Times New Roman"/>
          <w:spacing w:val="-4"/>
          <w:lang w:val="sq-AL"/>
        </w:rPr>
        <w:t>2. Shumë ngarkesa identike apo të ngjashme mund të modelohen në detaje së bashku nëse ky modelim është i mjaftueshëm për analizat rajonale të sigurisë operative. Për ngarkesat e modeluara në mënyrë të detajuar së bashku, në MIRR duhet të përfshihet një model ekuivalent në MIRR.</w:t>
      </w:r>
    </w:p>
    <w:p w:rsidR="002F02C2" w:rsidRDefault="002F02C2" w:rsidP="002F02C2">
      <w:pPr>
        <w:pStyle w:val="Paragrafi"/>
        <w:rPr>
          <w:rFonts w:cs="Times New Roman"/>
          <w:spacing w:val="-4"/>
          <w:lang w:val="sq-AL"/>
        </w:rPr>
      </w:pPr>
      <w:r>
        <w:rPr>
          <w:rFonts w:cs="Times New Roman"/>
          <w:spacing w:val="-4"/>
          <w:lang w:val="sq-AL"/>
        </w:rPr>
        <w:t>3. Ngarkesa e modeluar në mënyrë jo të detajuar, do të përfshihet në modelin MIRR e modeluar si shumatore.</w:t>
      </w:r>
    </w:p>
    <w:p w:rsidR="002F02C2" w:rsidRDefault="002F02C2" w:rsidP="002F02C2">
      <w:pPr>
        <w:pStyle w:val="Paragrafi"/>
        <w:rPr>
          <w:rFonts w:cs="Times New Roman"/>
          <w:spacing w:val="-4"/>
          <w:lang w:val="sq-AL"/>
        </w:rPr>
      </w:pPr>
      <w:r>
        <w:rPr>
          <w:rFonts w:cs="Times New Roman"/>
          <w:spacing w:val="-4"/>
          <w:lang w:val="sq-AL"/>
        </w:rPr>
        <w:t>4. Për ngarkesat e modeluara në mënyrë të detajuar, si dhe për ato të modeluara si shumatore të ndara nga gjenerimi, në MIRR duhet të përfshihen të dhënat e mëposhtme:</w:t>
      </w:r>
    </w:p>
    <w:p w:rsidR="002F02C2" w:rsidRDefault="002F02C2" w:rsidP="002F02C2">
      <w:pPr>
        <w:pStyle w:val="Paragrafi"/>
        <w:rPr>
          <w:rFonts w:cs="Times New Roman"/>
          <w:spacing w:val="-4"/>
          <w:lang w:val="sq-AL"/>
        </w:rPr>
      </w:pPr>
      <w:r>
        <w:rPr>
          <w:rFonts w:cs="Times New Roman"/>
          <w:spacing w:val="-4"/>
          <w:lang w:val="sq-AL"/>
        </w:rPr>
        <w:t>a) Pika e lidhjes;</w:t>
      </w:r>
    </w:p>
    <w:p w:rsidR="002F02C2" w:rsidRDefault="002F02C2" w:rsidP="002F02C2">
      <w:pPr>
        <w:pStyle w:val="Paragrafi"/>
        <w:rPr>
          <w:rFonts w:cs="Times New Roman"/>
          <w:spacing w:val="-4"/>
          <w:lang w:val="sq-AL"/>
        </w:rPr>
      </w:pPr>
      <w:r>
        <w:rPr>
          <w:rFonts w:cs="Times New Roman"/>
          <w:spacing w:val="-4"/>
          <w:lang w:val="sq-AL"/>
        </w:rPr>
        <w:t>b) Faktori i fuqisë ose fuqia reaktive</w:t>
      </w:r>
    </w:p>
    <w:p w:rsidR="002F02C2" w:rsidRDefault="002F02C2" w:rsidP="002F02C2">
      <w:pPr>
        <w:pStyle w:val="Paragrafi"/>
        <w:rPr>
          <w:rFonts w:cs="Times New Roman"/>
          <w:spacing w:val="-4"/>
          <w:lang w:val="sq-AL"/>
        </w:rPr>
      </w:pPr>
      <w:r>
        <w:rPr>
          <w:rFonts w:cs="Times New Roman"/>
          <w:spacing w:val="-4"/>
          <w:lang w:val="sq-AL"/>
        </w:rPr>
        <w:t>c) Flamuri i përputhshmërisë (ku vlera “e vërtetë” nënkupton që konsumi i fuqisë aktive dhe reaktive i ngarkesës duhet të jetë i shkallëzuar kur shkallëzohet ngarkesa e përgjithshme).</w:t>
      </w:r>
    </w:p>
    <w:p w:rsidR="002F02C2" w:rsidRDefault="002F02C2" w:rsidP="002F02C2">
      <w:pPr>
        <w:pStyle w:val="Paragrafi"/>
        <w:rPr>
          <w:rFonts w:cs="Times New Roman"/>
          <w:spacing w:val="-4"/>
          <w:lang w:val="sq-AL"/>
        </w:rPr>
      </w:pPr>
      <w:r>
        <w:rPr>
          <w:rFonts w:cs="Times New Roman"/>
          <w:spacing w:val="-4"/>
          <w:lang w:val="sq-AL"/>
        </w:rPr>
        <w:t>5. Për ngarkesat e modeluara si shumatore, në MIRR duhet të përfshihen të dhënat e mëposhtme:</w:t>
      </w:r>
    </w:p>
    <w:p w:rsidR="002F02C2" w:rsidRDefault="002F02C2" w:rsidP="002F02C2">
      <w:pPr>
        <w:pStyle w:val="Paragrafi"/>
        <w:rPr>
          <w:rFonts w:cs="Times New Roman"/>
          <w:spacing w:val="-4"/>
          <w:lang w:val="sq-AL"/>
        </w:rPr>
      </w:pPr>
      <w:r>
        <w:rPr>
          <w:rFonts w:cs="Times New Roman"/>
          <w:spacing w:val="-4"/>
          <w:lang w:val="sq-AL"/>
        </w:rPr>
        <w:t>a) Shumatorja e ngarkesës (e ndarë nga gjenerimi) në pjesët korresponduese të rrjetit të ndara sipas nënstacioneve të modelit ekuivalent apo nënstacioneve në të cilat janë të lidhura pjesët korresponduese të rrjetit.</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10</w:t>
      </w:r>
    </w:p>
    <w:p w:rsidR="002F02C2" w:rsidRDefault="002F02C2" w:rsidP="002F02C2">
      <w:pPr>
        <w:pStyle w:val="NeniNr"/>
        <w:rPr>
          <w:b/>
          <w:spacing w:val="-4"/>
          <w:lang w:val="sq-AL"/>
        </w:rPr>
      </w:pPr>
      <w:r>
        <w:rPr>
          <w:b/>
          <w:spacing w:val="-4"/>
          <w:lang w:val="sq-AL"/>
        </w:rPr>
        <w:t>Lidhjet HVDC</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Lidhjet HVDC duhet të modelohen pavarësisht nëse janë të vendosura tërësisht brenda një zone të vetme ofertuese apo nëse lidhin dy zona ofertuese.</w:t>
      </w:r>
    </w:p>
    <w:p w:rsidR="002F02C2" w:rsidRDefault="002F02C2" w:rsidP="002F02C2">
      <w:pPr>
        <w:pStyle w:val="Paragrafi"/>
        <w:rPr>
          <w:rFonts w:cs="Times New Roman"/>
          <w:spacing w:val="-4"/>
          <w:lang w:val="sq-AL"/>
        </w:rPr>
      </w:pPr>
      <w:r>
        <w:rPr>
          <w:rFonts w:cs="Times New Roman"/>
          <w:spacing w:val="-4"/>
          <w:lang w:val="sq-AL"/>
        </w:rPr>
        <w:t>2. OST-të brenda zonës/ave ofertuese të të cilit ndodhet lidhja HVDC ose OST-të në zonat ofertuese të të cilëve janë të lidhur nëpërmjet lidhjes HVDC duhet të dakordësojnë për shkallën e detajeve me të cilën do të modelohet lidhja HVDC. Ato do të bazojnë vendimin e tyre mbi funksionet për të cilat do të përdoret lidhja HVDC. Si parazgjedhje, një lidhje HVDC do të modelohet në mënyrë të detajuar dhe pjesët AC/DC e lidhjes HVDC do të shkëmbehen nga OST-ve në fjalë, pavarësisht se funksionet për të cilat do të përdoret nuk e kërkojnë këtë.</w:t>
      </w:r>
    </w:p>
    <w:p w:rsidR="002F02C2" w:rsidRDefault="002F02C2" w:rsidP="002F02C2">
      <w:pPr>
        <w:pStyle w:val="Paragrafi"/>
        <w:rPr>
          <w:rFonts w:cs="Times New Roman"/>
          <w:spacing w:val="-4"/>
          <w:lang w:val="sq-AL"/>
        </w:rPr>
      </w:pPr>
      <w:r>
        <w:rPr>
          <w:rFonts w:cs="Times New Roman"/>
          <w:spacing w:val="-4"/>
          <w:lang w:val="sq-AL"/>
        </w:rPr>
        <w:t>3. Për lidhjet HVDC të modeluara në mënyrë të detajuar dhe për ato të modeluara në një mënyrë të thjeshtëzuar, duhet të përfshihen të dhënat në vijim:</w:t>
      </w:r>
    </w:p>
    <w:p w:rsidR="002F02C2" w:rsidRDefault="002F02C2" w:rsidP="002F02C2">
      <w:pPr>
        <w:pStyle w:val="Paragrafi"/>
        <w:rPr>
          <w:rFonts w:cs="Times New Roman"/>
          <w:spacing w:val="-4"/>
          <w:lang w:val="sq-AL"/>
        </w:rPr>
      </w:pPr>
      <w:r>
        <w:rPr>
          <w:rFonts w:cs="Times New Roman"/>
          <w:spacing w:val="-4"/>
          <w:lang w:val="sq-AL"/>
        </w:rPr>
        <w:t>a) Pikat e lidhjes.</w:t>
      </w:r>
    </w:p>
    <w:p w:rsidR="002F02C2" w:rsidRDefault="002F02C2" w:rsidP="002F02C2">
      <w:pPr>
        <w:pStyle w:val="Paragrafi"/>
        <w:rPr>
          <w:rFonts w:cs="Times New Roman"/>
          <w:spacing w:val="-4"/>
          <w:lang w:val="sq-AL"/>
        </w:rPr>
      </w:pPr>
      <w:r>
        <w:rPr>
          <w:rFonts w:cs="Times New Roman"/>
          <w:spacing w:val="-4"/>
          <w:lang w:val="sq-AL"/>
        </w:rPr>
        <w:t xml:space="preserve">4. Për lidhjet HVDC ndërzonale të modeluara në detaje, OST-në fjalë do të bien dakord se cili nga ata do të ofrojë modelin e detajuar, duke përfshirë atë në MIRR të tij ose duke e vënë në dispozicion ndaras. </w:t>
      </w:r>
      <w:r>
        <w:rPr>
          <w:rFonts w:cs="Times New Roman"/>
          <w:spacing w:val="-4"/>
          <w:lang w:val="sq-AL"/>
        </w:rPr>
        <w:lastRenderedPageBreak/>
        <w:t>Në rastin e lidhjeve HVDC që lidhin zonën e MPRR-së me një zonë ofertimi që nuk është pjesë e zonës MPRR, OST-ja që është brenda zonës MPRR do të përfshijë modelin e detajuar në MIRR-në e tij. Modelet e detajuara të lidhjeve HVDC do të përfshijnë:</w:t>
      </w:r>
    </w:p>
    <w:p w:rsidR="002F02C2" w:rsidRDefault="002F02C2" w:rsidP="002F02C2">
      <w:pPr>
        <w:pStyle w:val="Paragrafi"/>
        <w:rPr>
          <w:rFonts w:cs="Times New Roman"/>
          <w:spacing w:val="-4"/>
          <w:lang w:val="sq-AL"/>
        </w:rPr>
      </w:pPr>
      <w:r>
        <w:rPr>
          <w:rFonts w:cs="Times New Roman"/>
          <w:spacing w:val="-4"/>
          <w:lang w:val="sq-AL"/>
        </w:rPr>
        <w:t>a) Karakteristikat elektrike;</w:t>
      </w:r>
    </w:p>
    <w:p w:rsidR="002F02C2" w:rsidRDefault="002F02C2" w:rsidP="002F02C2">
      <w:pPr>
        <w:pStyle w:val="Paragrafi"/>
        <w:rPr>
          <w:rFonts w:cs="Times New Roman"/>
          <w:spacing w:val="-4"/>
          <w:lang w:val="sq-AL"/>
        </w:rPr>
      </w:pPr>
      <w:r>
        <w:rPr>
          <w:rFonts w:cs="Times New Roman"/>
          <w:spacing w:val="-4"/>
          <w:lang w:val="sq-AL"/>
        </w:rPr>
        <w:t>b) Llojin dhe karakteristikat e mënyrave të komandimit.</w:t>
      </w:r>
    </w:p>
    <w:p w:rsidR="002F02C2" w:rsidRDefault="002F02C2" w:rsidP="002F02C2">
      <w:pPr>
        <w:pStyle w:val="Paragrafi"/>
        <w:rPr>
          <w:rFonts w:cs="Times New Roman"/>
          <w:spacing w:val="-4"/>
          <w:lang w:val="sq-AL"/>
        </w:rPr>
      </w:pPr>
      <w:r>
        <w:rPr>
          <w:rFonts w:cs="Times New Roman"/>
          <w:spacing w:val="-4"/>
          <w:lang w:val="sq-AL"/>
        </w:rPr>
        <w:t>5. Lidhjet HVDC të modeluara në mënyrë të thjeshtuar, do të përfaqësohen nga flukse ekuivalente në pikën e lidhjes.</w:t>
      </w:r>
    </w:p>
    <w:p w:rsidR="002F02C2" w:rsidRDefault="002F02C2" w:rsidP="002F02C2">
      <w:pPr>
        <w:pStyle w:val="Paragrafi"/>
        <w:rPr>
          <w:rFonts w:cs="Times New Roman"/>
          <w:spacing w:val="-4"/>
          <w:lang w:val="sq-AL"/>
        </w:rPr>
      </w:pPr>
      <w:r>
        <w:rPr>
          <w:rFonts w:cs="Times New Roman"/>
          <w:spacing w:val="-4"/>
          <w:lang w:val="sq-AL"/>
        </w:rPr>
        <w:t xml:space="preserve"> 6. Në rastin e lidhjeve HVDC që lidhin zonën e MPRR-së me një zonë ofertimi që nuk është pjesë e zonës MPRR, OST që është brenda zonës MPRR do të përpiqet të lidhë një marrëveshje me pronarët e lidhjes HVDC që nuk është pjesë e kësaj metodologjie me qëllim sigurimin e bashkëpunimit të tyre në përmbushjen e kërkesave të përcaktuara në këtë nen.</w:t>
      </w:r>
    </w:p>
    <w:p w:rsidR="002F02C2" w:rsidRPr="002F02C2" w:rsidRDefault="002F02C2" w:rsidP="002F02C2">
      <w:pPr>
        <w:pStyle w:val="Paragrafi"/>
        <w:rPr>
          <w:rFonts w:cs="Times New Roman"/>
          <w:spacing w:val="-4"/>
          <w:sz w:val="14"/>
          <w:lang w:val="sq-AL"/>
        </w:rPr>
      </w:pPr>
    </w:p>
    <w:p w:rsidR="002F02C2" w:rsidRDefault="002F02C2" w:rsidP="002F02C2">
      <w:pPr>
        <w:pStyle w:val="NeniNr"/>
        <w:rPr>
          <w:spacing w:val="-4"/>
          <w:lang w:val="sq-AL"/>
        </w:rPr>
      </w:pPr>
      <w:r>
        <w:rPr>
          <w:spacing w:val="-4"/>
          <w:lang w:val="sq-AL"/>
        </w:rPr>
        <w:t>Neni 11</w:t>
      </w:r>
    </w:p>
    <w:p w:rsidR="002F02C2" w:rsidRDefault="002F02C2" w:rsidP="002F02C2">
      <w:pPr>
        <w:pStyle w:val="NeniNr"/>
        <w:rPr>
          <w:b/>
          <w:spacing w:val="-4"/>
          <w:lang w:val="sq-AL"/>
        </w:rPr>
      </w:pPr>
      <w:r>
        <w:rPr>
          <w:b/>
          <w:spacing w:val="-4"/>
          <w:lang w:val="sq-AL"/>
        </w:rPr>
        <w:t>Modelimi i rrjeteve fqinje</w:t>
      </w:r>
    </w:p>
    <w:p w:rsidR="002F02C2" w:rsidRDefault="002F02C2" w:rsidP="002F02C2">
      <w:pPr>
        <w:pStyle w:val="Hapesira7"/>
        <w:rPr>
          <w:spacing w:val="-4"/>
          <w:sz w:val="12"/>
          <w:lang w:val="sq-AL"/>
        </w:rPr>
      </w:pPr>
    </w:p>
    <w:p w:rsidR="002F02C2" w:rsidRDefault="002F02C2" w:rsidP="002F02C2">
      <w:pPr>
        <w:pStyle w:val="Paragrafi"/>
        <w:rPr>
          <w:rFonts w:cs="Times New Roman"/>
          <w:spacing w:val="-4"/>
          <w:lang w:val="sq-AL"/>
        </w:rPr>
      </w:pPr>
      <w:r>
        <w:rPr>
          <w:rFonts w:cs="Times New Roman"/>
          <w:spacing w:val="-4"/>
          <w:lang w:val="sq-AL"/>
        </w:rPr>
        <w:t>1. OST-të do të modelojnë lidhjet HVDC me rrjetet fqinje në pajtim me nenin 10.</w:t>
      </w:r>
    </w:p>
    <w:p w:rsidR="002F02C2" w:rsidRDefault="002F02C2" w:rsidP="002F02C2">
      <w:pPr>
        <w:pStyle w:val="Paragrafi"/>
        <w:rPr>
          <w:rFonts w:cs="Times New Roman"/>
          <w:spacing w:val="-4"/>
          <w:lang w:val="sq-AL"/>
        </w:rPr>
      </w:pPr>
      <w:r>
        <w:rPr>
          <w:rFonts w:cs="Times New Roman"/>
          <w:spacing w:val="-4"/>
          <w:lang w:val="sq-AL"/>
        </w:rPr>
        <w:t>2. Çdo OST do të modelojë lidhjet AC me rrjetet fqinje siç është përshkruar në këtë nen.</w:t>
      </w:r>
    </w:p>
    <w:p w:rsidR="002F02C2" w:rsidRDefault="002F02C2" w:rsidP="002F02C2">
      <w:pPr>
        <w:pStyle w:val="Paragrafi"/>
        <w:rPr>
          <w:rFonts w:cs="Times New Roman"/>
          <w:spacing w:val="-4"/>
          <w:lang w:val="sq-AL"/>
        </w:rPr>
      </w:pPr>
      <w:r>
        <w:rPr>
          <w:rFonts w:cs="Times New Roman"/>
          <w:spacing w:val="-4"/>
          <w:lang w:val="sq-AL"/>
        </w:rPr>
        <w:t>3. Në fillim të procesit të përshkruar në nenin 4, çdo OST do të përdorë një model ekuivalent të rrjeteve fqinje në MIRR-në e tij.</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12</w:t>
      </w:r>
    </w:p>
    <w:p w:rsidR="002F02C2" w:rsidRDefault="002F02C2" w:rsidP="002F02C2">
      <w:pPr>
        <w:pStyle w:val="NeniNr"/>
        <w:rPr>
          <w:b/>
          <w:spacing w:val="-4"/>
          <w:lang w:val="sq-AL"/>
        </w:rPr>
      </w:pPr>
      <w:r>
        <w:rPr>
          <w:b/>
          <w:spacing w:val="-4"/>
          <w:lang w:val="sq-AL"/>
        </w:rPr>
        <w:t>Topologjia</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Gjatë ndërtimit të MIRR-së së tij, çdo OST duhet të sigurojë që</w:t>
      </w:r>
    </w:p>
    <w:p w:rsidR="002F02C2" w:rsidRDefault="002F02C2" w:rsidP="002F02C2">
      <w:pPr>
        <w:pStyle w:val="Paragrafi"/>
        <w:rPr>
          <w:rFonts w:cs="Times New Roman"/>
          <w:spacing w:val="-4"/>
          <w:lang w:val="sq-AL"/>
        </w:rPr>
      </w:pPr>
      <w:r>
        <w:rPr>
          <w:rFonts w:cs="Times New Roman"/>
          <w:spacing w:val="-4"/>
          <w:lang w:val="sq-AL"/>
        </w:rPr>
        <w:t>a) MIRR-ja tregon gjendjen e kyçur/shkyçur, e hapur ose e mbyllur, të të gjitha pajisjeve komutuese të modeluara;</w:t>
      </w:r>
    </w:p>
    <w:p w:rsidR="002F02C2" w:rsidRDefault="002F02C2" w:rsidP="002F02C2">
      <w:pPr>
        <w:pStyle w:val="Paragrafi"/>
        <w:rPr>
          <w:rFonts w:cs="Times New Roman"/>
          <w:spacing w:val="-4"/>
          <w:lang w:val="sq-AL"/>
        </w:rPr>
      </w:pPr>
      <w:r>
        <w:rPr>
          <w:rFonts w:cs="Times New Roman"/>
          <w:spacing w:val="-4"/>
          <w:lang w:val="sq-AL"/>
        </w:rPr>
        <w:t>b) MIRR-ja tregon pozicionin e ancafkave në gjithë transformatorët e modeluar përfshirë transformatorët fazues;</w:t>
      </w:r>
    </w:p>
    <w:p w:rsidR="002F02C2" w:rsidRDefault="002F02C2" w:rsidP="002F02C2">
      <w:pPr>
        <w:pStyle w:val="Paragrafi"/>
        <w:rPr>
          <w:rFonts w:cs="Times New Roman"/>
          <w:spacing w:val="-4"/>
          <w:lang w:val="sq-AL"/>
        </w:rPr>
      </w:pPr>
      <w:r>
        <w:rPr>
          <w:rFonts w:cs="Times New Roman"/>
          <w:spacing w:val="-4"/>
          <w:lang w:val="sq-AL"/>
        </w:rPr>
        <w:t>c) Topologjia e MIRR-së pasqyron padisponueshmërinë e planifikuar ose të detyruar të pajisjeve që janë të padisponueshme të modeluara, në përputhje me skenarët e përshkruar në nenin 3;</w:t>
      </w:r>
    </w:p>
    <w:p w:rsidR="002F02C2" w:rsidRDefault="002F02C2" w:rsidP="002F02C2">
      <w:pPr>
        <w:pStyle w:val="Paragrafi"/>
        <w:rPr>
          <w:rFonts w:cs="Times New Roman"/>
          <w:spacing w:val="-4"/>
          <w:lang w:val="sq-AL"/>
        </w:rPr>
      </w:pPr>
      <w:r>
        <w:rPr>
          <w:rFonts w:cs="Times New Roman"/>
          <w:spacing w:val="-4"/>
          <w:lang w:val="sq-AL"/>
        </w:rPr>
        <w:t xml:space="preserve">d) Topologji e IGM-së është përditësuar për të reflektuar veprimet përmirësuese, si dhe masat e dakorduara mbi topologjinë, në pajtim me nenin 14 të Rregullores 2016/1719, </w:t>
      </w:r>
    </w:p>
    <w:p w:rsidR="002F02C2" w:rsidRDefault="002F02C2" w:rsidP="002F02C2">
      <w:pPr>
        <w:pStyle w:val="Paragrafi"/>
        <w:rPr>
          <w:rFonts w:cs="Times New Roman"/>
          <w:spacing w:val="-4"/>
          <w:lang w:val="sq-AL"/>
        </w:rPr>
      </w:pPr>
      <w:r>
        <w:rPr>
          <w:rFonts w:cs="Times New Roman"/>
          <w:spacing w:val="-4"/>
          <w:lang w:val="sq-AL"/>
        </w:rPr>
        <w:t>e) Duke marrë parasysh “c” dhe “d”, topologjia e MIRR-së reflekton gjendjen operative më të mirë të mundshme;</w:t>
      </w:r>
    </w:p>
    <w:p w:rsidR="002F02C2" w:rsidRDefault="002F02C2" w:rsidP="002F02C2">
      <w:pPr>
        <w:pStyle w:val="Paragrafi"/>
        <w:rPr>
          <w:rFonts w:cs="Times New Roman"/>
          <w:spacing w:val="-4"/>
          <w:lang w:val="sq-AL"/>
        </w:rPr>
      </w:pPr>
      <w:r>
        <w:rPr>
          <w:rFonts w:cs="Times New Roman"/>
          <w:spacing w:val="-4"/>
          <w:lang w:val="sq-AL"/>
        </w:rPr>
        <w:t>f) Statusi i lidhjes së interkonektorëve dhe linjave lidhëse me OST-të e tjerë është në përputhje me MIRR-në e OST-ve përkatës fqinjë.</w:t>
      </w:r>
    </w:p>
    <w:p w:rsidR="002F02C2" w:rsidRPr="002F02C2" w:rsidRDefault="002F02C2" w:rsidP="002F02C2">
      <w:pPr>
        <w:pStyle w:val="Paragrafi"/>
        <w:rPr>
          <w:rFonts w:cs="Times New Roman"/>
          <w:spacing w:val="-4"/>
          <w:sz w:val="14"/>
          <w:lang w:val="sq-AL"/>
        </w:rPr>
      </w:pPr>
    </w:p>
    <w:p w:rsidR="002F02C2" w:rsidRDefault="002F02C2" w:rsidP="002F02C2">
      <w:pPr>
        <w:pStyle w:val="NeniNr"/>
        <w:rPr>
          <w:spacing w:val="-4"/>
          <w:lang w:val="sq-AL"/>
        </w:rPr>
      </w:pPr>
      <w:r>
        <w:rPr>
          <w:spacing w:val="-4"/>
          <w:lang w:val="sq-AL"/>
        </w:rPr>
        <w:t>Neni 13</w:t>
      </w:r>
    </w:p>
    <w:p w:rsidR="002F02C2" w:rsidRDefault="002F02C2" w:rsidP="002F02C2">
      <w:pPr>
        <w:pStyle w:val="NeniNr"/>
        <w:rPr>
          <w:b/>
          <w:spacing w:val="-4"/>
          <w:lang w:val="sq-AL"/>
        </w:rPr>
      </w:pPr>
      <w:r>
        <w:rPr>
          <w:b/>
          <w:spacing w:val="-4"/>
          <w:lang w:val="sq-AL"/>
        </w:rPr>
        <w:t>Injektimi i energjisë dhe ngarkesat</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Gjatë ndërtimit të MIRR-së, çdo OST do të respektojë parimet e përgjithshme të mëposhtme në lidhje me injektimet e energjisë dhe ngarkesat:</w:t>
      </w:r>
    </w:p>
    <w:p w:rsidR="002F02C2" w:rsidRDefault="002F02C2" w:rsidP="002F02C2">
      <w:pPr>
        <w:pStyle w:val="Paragrafi"/>
        <w:rPr>
          <w:rFonts w:cs="Times New Roman"/>
          <w:spacing w:val="-4"/>
          <w:lang w:val="sq-AL"/>
        </w:rPr>
      </w:pPr>
      <w:r>
        <w:rPr>
          <w:rFonts w:cs="Times New Roman"/>
          <w:spacing w:val="-4"/>
          <w:lang w:val="sq-AL"/>
        </w:rPr>
        <w:t>a) Për modelin e injektimit të energjisë</w:t>
      </w:r>
    </w:p>
    <w:p w:rsidR="002F02C2" w:rsidRDefault="002F02C2" w:rsidP="002F02C2">
      <w:pPr>
        <w:pStyle w:val="Paragrafi"/>
        <w:rPr>
          <w:rFonts w:cs="Times New Roman"/>
          <w:spacing w:val="-4"/>
          <w:lang w:val="sq-AL"/>
        </w:rPr>
      </w:pPr>
      <w:r>
        <w:rPr>
          <w:rFonts w:cs="Times New Roman"/>
          <w:spacing w:val="-4"/>
          <w:lang w:val="sq-AL"/>
        </w:rPr>
        <w:t>i. MIRR-ja specifikon injektimin e fuqisë aktive dhe reaktive për çdo njësi gjeneruese të modeluar përfshirë kondesatorët sinkronë dhe pompat dhe kjo është e aplikueshme për çdo njësi gjenerimi të modeluar në mënyrë të detajuar në baza individuale ose përbëra ose modeluar si një shumatore;</w:t>
      </w:r>
    </w:p>
    <w:p w:rsidR="002F02C2" w:rsidRDefault="002F02C2" w:rsidP="002F02C2">
      <w:pPr>
        <w:pStyle w:val="Paragrafi"/>
        <w:rPr>
          <w:rFonts w:cs="Times New Roman"/>
          <w:spacing w:val="-4"/>
          <w:lang w:val="sq-AL"/>
        </w:rPr>
      </w:pPr>
      <w:r>
        <w:rPr>
          <w:rFonts w:cs="Times New Roman"/>
          <w:spacing w:val="-4"/>
          <w:lang w:val="sq-AL"/>
        </w:rPr>
        <w:t>ii. injektimi i specifikuar i fuqisë aktive dhe reaktive për çdo njësi gjenerimi të modeluar është në përputhje me limitet e caktuara maksimale dhe minimale të fuqisë aktive dhe reaktive dhe/ose kurbën e aftësisë reaktive;</w:t>
      </w:r>
    </w:p>
    <w:p w:rsidR="002F02C2" w:rsidRDefault="002F02C2" w:rsidP="002F02C2">
      <w:pPr>
        <w:pStyle w:val="Paragrafi"/>
        <w:rPr>
          <w:rFonts w:cs="Times New Roman"/>
          <w:spacing w:val="-4"/>
          <w:lang w:val="sq-AL"/>
        </w:rPr>
      </w:pPr>
      <w:r>
        <w:rPr>
          <w:rFonts w:cs="Times New Roman"/>
          <w:spacing w:val="-4"/>
          <w:lang w:val="sq-AL"/>
        </w:rPr>
        <w:t xml:space="preserve">iii. injektimet e energjisë aktive lidhur me gjenerimin brenda MIRR-së do të jenë në përputhje me </w:t>
      </w:r>
      <w:r>
        <w:rPr>
          <w:rFonts w:cs="Times New Roman"/>
          <w:spacing w:val="-4"/>
          <w:lang w:val="sq-AL"/>
        </w:rPr>
        <w:lastRenderedPageBreak/>
        <w:t>veprimet përkatëse korrigjuese në përputhje me nenin 14 të Rregullores 2016/1719 dhe masave të tjera të nevojshme për të ruajtur sistemin brenda kufijve të sigurisë operative, duke përfshirë por pa u kufizuar në sigurimin e rezervave të mjaftueshme të sipërme dhe të poshtme të fuqisë aktive që kërkohet për ruajtjen e frekuencës;</w:t>
      </w:r>
    </w:p>
    <w:p w:rsidR="002F02C2" w:rsidRDefault="002F02C2" w:rsidP="002F02C2">
      <w:pPr>
        <w:pStyle w:val="Paragrafi"/>
        <w:rPr>
          <w:rFonts w:cs="Times New Roman"/>
          <w:spacing w:val="-4"/>
          <w:lang w:val="sq-AL"/>
        </w:rPr>
      </w:pPr>
      <w:r>
        <w:rPr>
          <w:rFonts w:cs="Times New Roman"/>
          <w:spacing w:val="-4"/>
          <w:lang w:val="sq-AL"/>
        </w:rPr>
        <w:t>b) Për modelin e ngarkesës</w:t>
      </w:r>
    </w:p>
    <w:p w:rsidR="002F02C2" w:rsidRDefault="002F02C2" w:rsidP="002F02C2">
      <w:pPr>
        <w:pStyle w:val="Paragrafi"/>
        <w:rPr>
          <w:rFonts w:cs="Times New Roman"/>
          <w:spacing w:val="-4"/>
          <w:lang w:val="sq-AL"/>
        </w:rPr>
      </w:pPr>
      <w:r>
        <w:rPr>
          <w:rFonts w:cs="Times New Roman"/>
          <w:spacing w:val="-4"/>
          <w:lang w:val="sq-AL"/>
        </w:rPr>
        <w:t>i. MIRR-ja specifikon konsumin e fuqisë aktive dhe reaktive nga çdo ngarkesë dhe pompë në shërbim të modeluar;</w:t>
      </w:r>
    </w:p>
    <w:p w:rsidR="002F02C2" w:rsidRDefault="002F02C2" w:rsidP="002F02C2">
      <w:pPr>
        <w:pStyle w:val="Paragrafi"/>
        <w:rPr>
          <w:rFonts w:cs="Times New Roman"/>
          <w:spacing w:val="-4"/>
          <w:lang w:val="sq-AL"/>
        </w:rPr>
      </w:pPr>
      <w:r>
        <w:rPr>
          <w:rFonts w:cs="Times New Roman"/>
          <w:spacing w:val="-4"/>
          <w:lang w:val="sq-AL"/>
        </w:rPr>
        <w:t>ii. Shuma e tërheqjes së fuqisë aktive nga ngarkesat dhe pompat në shërbim të modeluara duhet të përputhet me ngarkesën totale të skenarit të marrë në konsideratë.</w:t>
      </w:r>
    </w:p>
    <w:p w:rsidR="002F02C2" w:rsidRDefault="002F02C2" w:rsidP="002F02C2">
      <w:pPr>
        <w:pStyle w:val="Paragrafi"/>
        <w:rPr>
          <w:rFonts w:cs="Times New Roman"/>
          <w:spacing w:val="-4"/>
          <w:lang w:val="sq-AL"/>
        </w:rPr>
      </w:pPr>
      <w:r>
        <w:rPr>
          <w:rFonts w:cs="Times New Roman"/>
          <w:spacing w:val="-4"/>
          <w:lang w:val="sq-AL"/>
        </w:rPr>
        <w:t>2. Gjatë ndërtimit të MIRR-së, çdo OST do të respektojë parimet e përgjithshme të mëposhtme në lidhje me injektimet e energjisë:</w:t>
      </w:r>
    </w:p>
    <w:p w:rsidR="002F02C2" w:rsidRDefault="002F02C2" w:rsidP="002F02C2">
      <w:pPr>
        <w:pStyle w:val="Paragrafi"/>
        <w:rPr>
          <w:rFonts w:cs="Times New Roman"/>
          <w:spacing w:val="-4"/>
          <w:lang w:val="sq-AL"/>
        </w:rPr>
      </w:pPr>
      <w:r>
        <w:rPr>
          <w:rFonts w:cs="Times New Roman"/>
          <w:spacing w:val="-4"/>
          <w:lang w:val="sq-AL"/>
        </w:rPr>
        <w:t>a) Në mënyrë që të krijojë modelin e injektimeve për skenarin përkatës, OST-ja do të zvogëlojë ose përndryshe do të modifikojë individualisht injeksionet e fuqisë aktive që lidhen me njësitë gjeneruese të modeluara;</w:t>
      </w:r>
    </w:p>
    <w:p w:rsidR="002F02C2" w:rsidRDefault="002F02C2" w:rsidP="002F02C2">
      <w:pPr>
        <w:pStyle w:val="Paragrafi"/>
        <w:rPr>
          <w:rFonts w:cs="Times New Roman"/>
          <w:spacing w:val="-4"/>
          <w:lang w:val="sq-AL"/>
        </w:rPr>
      </w:pPr>
      <w:r>
        <w:rPr>
          <w:rFonts w:cs="Times New Roman"/>
          <w:spacing w:val="-4"/>
          <w:lang w:val="sq-AL"/>
        </w:rPr>
        <w:t>b) Për njësitë gjeneruese të modeluara në mënyrë të detajuar, gjendja e disponueshmërisë do të marrë në konsideratë pikat në vijim, në përputhje me skenarët e përshkruar në nenin 3:</w:t>
      </w:r>
    </w:p>
    <w:p w:rsidR="002F02C2" w:rsidRDefault="002F02C2" w:rsidP="002F02C2">
      <w:pPr>
        <w:pStyle w:val="Paragrafi"/>
        <w:rPr>
          <w:rFonts w:cs="Times New Roman"/>
          <w:spacing w:val="-4"/>
          <w:lang w:val="sq-AL"/>
        </w:rPr>
      </w:pPr>
      <w:r>
        <w:rPr>
          <w:rFonts w:cs="Times New Roman"/>
          <w:spacing w:val="-4"/>
          <w:lang w:val="sq-AL"/>
        </w:rPr>
        <w:t>i. planet e ndërprerjeve;</w:t>
      </w:r>
    </w:p>
    <w:p w:rsidR="002F02C2" w:rsidRDefault="002F02C2" w:rsidP="002F02C2">
      <w:pPr>
        <w:pStyle w:val="Paragrafi"/>
        <w:rPr>
          <w:rFonts w:cs="Times New Roman"/>
          <w:spacing w:val="-4"/>
          <w:lang w:val="sq-AL"/>
        </w:rPr>
      </w:pPr>
      <w:r>
        <w:rPr>
          <w:rFonts w:cs="Times New Roman"/>
          <w:spacing w:val="-4"/>
          <w:lang w:val="sq-AL"/>
        </w:rPr>
        <w:t>ii. profilet e testimit;</w:t>
      </w:r>
    </w:p>
    <w:p w:rsidR="002F02C2" w:rsidRDefault="002F02C2" w:rsidP="002F02C2">
      <w:pPr>
        <w:pStyle w:val="Paragrafi"/>
        <w:rPr>
          <w:rFonts w:cs="Times New Roman"/>
          <w:spacing w:val="-4"/>
          <w:lang w:val="sq-AL"/>
        </w:rPr>
      </w:pPr>
      <w:r>
        <w:rPr>
          <w:rFonts w:cs="Times New Roman"/>
          <w:spacing w:val="-4"/>
          <w:lang w:val="sq-AL"/>
        </w:rPr>
        <w:t>iii. padisponueshmërinë e planifikuar;</w:t>
      </w:r>
    </w:p>
    <w:p w:rsidR="002F02C2" w:rsidRDefault="002F02C2" w:rsidP="002F02C2">
      <w:pPr>
        <w:pStyle w:val="Paragrafi"/>
        <w:rPr>
          <w:rFonts w:cs="Times New Roman"/>
          <w:spacing w:val="-4"/>
          <w:lang w:val="sq-AL"/>
        </w:rPr>
      </w:pPr>
      <w:r>
        <w:rPr>
          <w:rFonts w:cs="Times New Roman"/>
          <w:spacing w:val="-4"/>
          <w:lang w:val="sq-AL"/>
        </w:rPr>
        <w:t>iv. çdo kufizim të kapacitetit të fuqisë aktive;</w:t>
      </w:r>
    </w:p>
    <w:p w:rsidR="002F02C2" w:rsidRDefault="002F02C2" w:rsidP="002F02C2">
      <w:pPr>
        <w:pStyle w:val="Paragrafi"/>
        <w:rPr>
          <w:rFonts w:cs="Times New Roman"/>
          <w:spacing w:val="-4"/>
          <w:lang w:val="sq-AL"/>
        </w:rPr>
      </w:pPr>
      <w:r>
        <w:rPr>
          <w:rFonts w:cs="Times New Roman"/>
          <w:spacing w:val="-4"/>
          <w:lang w:val="sq-AL"/>
        </w:rPr>
        <w:t>c) Për njësitë gjeneruese të dispeçerueshme të modeluara në mënyrë të detajuar, modeli do të marrë në konsideratë sa më poshtë, në përputhje me skenarët e përshkruara në nenin 3:</w:t>
      </w:r>
    </w:p>
    <w:p w:rsidR="002F02C2" w:rsidRDefault="002F02C2" w:rsidP="002F02C2">
      <w:pPr>
        <w:pStyle w:val="Paragrafi"/>
        <w:rPr>
          <w:rFonts w:cs="Times New Roman"/>
          <w:spacing w:val="-4"/>
          <w:lang w:val="sq-AL"/>
        </w:rPr>
      </w:pPr>
      <w:r>
        <w:rPr>
          <w:rFonts w:cs="Times New Roman"/>
          <w:spacing w:val="-4"/>
          <w:lang w:val="sq-AL"/>
        </w:rPr>
        <w:t>i. për të gjithë skenarët</w:t>
      </w:r>
    </w:p>
    <w:p w:rsidR="002F02C2" w:rsidRDefault="002F02C2" w:rsidP="002F02C2">
      <w:pPr>
        <w:pStyle w:val="Paragrafi"/>
        <w:rPr>
          <w:rFonts w:cs="Times New Roman"/>
          <w:spacing w:val="-4"/>
          <w:lang w:val="sq-AL"/>
        </w:rPr>
      </w:pPr>
      <w:r>
        <w:rPr>
          <w:rFonts w:cs="Times New Roman"/>
          <w:spacing w:val="-4"/>
          <w:lang w:val="sq-AL"/>
        </w:rPr>
        <w:t>1. Statusin e disponueshmërisë;</w:t>
      </w:r>
    </w:p>
    <w:p w:rsidR="002F02C2" w:rsidRDefault="002F02C2" w:rsidP="002F02C2">
      <w:pPr>
        <w:pStyle w:val="Paragrafi"/>
        <w:rPr>
          <w:rFonts w:cs="Times New Roman"/>
          <w:spacing w:val="-4"/>
          <w:lang w:val="sq-AL"/>
        </w:rPr>
      </w:pPr>
      <w:r>
        <w:rPr>
          <w:rFonts w:cs="Times New Roman"/>
          <w:spacing w:val="-4"/>
          <w:lang w:val="sq-AL"/>
        </w:rPr>
        <w:t>2. Politikat dhe marrëveshjet (e aplikueshme me prioritet dispeçerimin);</w:t>
      </w:r>
    </w:p>
    <w:p w:rsidR="002F02C2" w:rsidRDefault="002F02C2" w:rsidP="002F02C2">
      <w:pPr>
        <w:pStyle w:val="Paragrafi"/>
        <w:rPr>
          <w:rFonts w:cs="Times New Roman"/>
          <w:spacing w:val="-4"/>
          <w:lang w:val="sq-AL"/>
        </w:rPr>
      </w:pPr>
      <w:r>
        <w:rPr>
          <w:rFonts w:cs="Times New Roman"/>
          <w:spacing w:val="-4"/>
          <w:lang w:val="sq-AL"/>
        </w:rPr>
        <w:t>ii. dispeçerimin më të mirë të parashikuar të bazuar në përzgjedhjen e:</w:t>
      </w:r>
    </w:p>
    <w:p w:rsidR="002F02C2" w:rsidRDefault="002F02C2" w:rsidP="002F02C2">
      <w:pPr>
        <w:pStyle w:val="Paragrafi"/>
        <w:rPr>
          <w:rFonts w:cs="Times New Roman"/>
          <w:spacing w:val="-4"/>
          <w:lang w:val="sq-AL"/>
        </w:rPr>
      </w:pPr>
      <w:r>
        <w:rPr>
          <w:rFonts w:cs="Times New Roman"/>
          <w:spacing w:val="-4"/>
          <w:lang w:val="sq-AL"/>
        </w:rPr>
        <w:t>1. Të dhënave përkatëse aktuale, historike ose të parashikuara mbi baza komerciale/të tregut;</w:t>
      </w:r>
    </w:p>
    <w:p w:rsidR="002F02C2" w:rsidRDefault="002F02C2" w:rsidP="002F02C2">
      <w:pPr>
        <w:pStyle w:val="Paragrafi"/>
        <w:rPr>
          <w:rFonts w:cs="Times New Roman"/>
          <w:spacing w:val="-4"/>
          <w:lang w:val="sq-AL"/>
        </w:rPr>
      </w:pPr>
      <w:r>
        <w:rPr>
          <w:rFonts w:cs="Times New Roman"/>
          <w:spacing w:val="-4"/>
          <w:lang w:val="sq-AL"/>
        </w:rPr>
        <w:t>2. Dallimin midis gjenerimit të ngarkesës bazë dhe gjenerimit margjinal;</w:t>
      </w:r>
    </w:p>
    <w:p w:rsidR="002F02C2" w:rsidRDefault="002F02C2" w:rsidP="002F02C2">
      <w:pPr>
        <w:pStyle w:val="Paragrafi"/>
        <w:rPr>
          <w:rFonts w:cs="Times New Roman"/>
          <w:spacing w:val="-4"/>
          <w:lang w:val="sq-AL"/>
        </w:rPr>
      </w:pPr>
      <w:r>
        <w:rPr>
          <w:rFonts w:cs="Times New Roman"/>
          <w:spacing w:val="-4"/>
          <w:lang w:val="sq-AL"/>
        </w:rPr>
        <w:t xml:space="preserve">3. NKGJ-ja (ndryshimi kryesor i gjenerimit), renditjes sipas </w:t>
      </w:r>
      <w:r>
        <w:rPr>
          <w:rFonts w:cs="Times New Roman"/>
          <w:i/>
          <w:spacing w:val="-4"/>
          <w:lang w:val="sq-AL"/>
        </w:rPr>
        <w:t>merit order</w:t>
      </w:r>
      <w:r>
        <w:rPr>
          <w:rFonts w:cs="Times New Roman"/>
          <w:spacing w:val="-4"/>
          <w:lang w:val="sq-AL"/>
        </w:rPr>
        <w:t xml:space="preserve"> ose faktorëve të pjesëmarrjes;</w:t>
      </w:r>
    </w:p>
    <w:p w:rsidR="002F02C2" w:rsidRDefault="002F02C2" w:rsidP="002F02C2">
      <w:pPr>
        <w:pStyle w:val="Paragrafi"/>
        <w:rPr>
          <w:rFonts w:cs="Times New Roman"/>
          <w:spacing w:val="-4"/>
          <w:lang w:val="sq-AL"/>
        </w:rPr>
      </w:pPr>
      <w:r>
        <w:rPr>
          <w:rFonts w:cs="Times New Roman"/>
          <w:spacing w:val="-4"/>
          <w:lang w:val="sq-AL"/>
        </w:rPr>
        <w:t>4. Çdo informacion tjetër të përshtatshëm;</w:t>
      </w:r>
    </w:p>
    <w:p w:rsidR="002F02C2" w:rsidRDefault="002F02C2" w:rsidP="002F02C2">
      <w:pPr>
        <w:pStyle w:val="Paragrafi"/>
        <w:rPr>
          <w:rFonts w:cs="Times New Roman"/>
          <w:spacing w:val="-4"/>
          <w:lang w:val="sq-AL"/>
        </w:rPr>
      </w:pPr>
      <w:r>
        <w:rPr>
          <w:rFonts w:cs="Times New Roman"/>
          <w:spacing w:val="-4"/>
          <w:lang w:val="sq-AL"/>
        </w:rPr>
        <w:t xml:space="preserve">d) Për njësitë gjeneruese të dispeçerueshme të modeluara si shumatore, modeli i dispecerimit të modeluar do të marrë në konsideratë sa më poshtë </w:t>
      </w:r>
    </w:p>
    <w:p w:rsidR="002F02C2" w:rsidRDefault="002F02C2" w:rsidP="002F02C2">
      <w:pPr>
        <w:pStyle w:val="Paragrafi"/>
        <w:rPr>
          <w:rFonts w:cs="Times New Roman"/>
          <w:spacing w:val="-6"/>
          <w:lang w:val="sq-AL"/>
        </w:rPr>
      </w:pPr>
      <w:r>
        <w:rPr>
          <w:rFonts w:cs="Times New Roman"/>
          <w:spacing w:val="-6"/>
          <w:lang w:val="sq-AL"/>
        </w:rPr>
        <w:t>i. për të gjithë skenarët modelin me të mirë të parashikuar të dispeçerimit bazuar në përzgjedhjen e:</w:t>
      </w:r>
    </w:p>
    <w:p w:rsidR="002F02C2" w:rsidRDefault="002F02C2" w:rsidP="002F02C2">
      <w:pPr>
        <w:pStyle w:val="Paragrafi"/>
        <w:rPr>
          <w:rFonts w:cs="Times New Roman"/>
          <w:spacing w:val="-4"/>
          <w:lang w:val="sq-AL"/>
        </w:rPr>
      </w:pPr>
      <w:r>
        <w:rPr>
          <w:rFonts w:cs="Times New Roman"/>
          <w:spacing w:val="-4"/>
          <w:lang w:val="sq-AL"/>
        </w:rPr>
        <w:t>1. Të dhënave përkatëse aktuale, historike ose të parashikuara mbi baza komerciale/të tregut;</w:t>
      </w:r>
    </w:p>
    <w:p w:rsidR="002F02C2" w:rsidRDefault="002F02C2" w:rsidP="002F02C2">
      <w:pPr>
        <w:pStyle w:val="Paragrafi"/>
        <w:rPr>
          <w:rFonts w:cs="Times New Roman"/>
          <w:spacing w:val="-4"/>
          <w:lang w:val="sq-AL"/>
        </w:rPr>
      </w:pPr>
      <w:r>
        <w:rPr>
          <w:rFonts w:cs="Times New Roman"/>
          <w:spacing w:val="-4"/>
          <w:lang w:val="sq-AL"/>
        </w:rPr>
        <w:t>2. Dallimit midis gjenerimit bazë dhe gjenerimin margjinal;</w:t>
      </w:r>
    </w:p>
    <w:p w:rsidR="002F02C2" w:rsidRDefault="002F02C2" w:rsidP="002F02C2">
      <w:pPr>
        <w:pStyle w:val="Paragrafi"/>
        <w:rPr>
          <w:rFonts w:cs="Times New Roman"/>
          <w:spacing w:val="-4"/>
          <w:lang w:val="sq-AL"/>
        </w:rPr>
      </w:pPr>
      <w:r>
        <w:rPr>
          <w:rFonts w:cs="Times New Roman"/>
          <w:spacing w:val="-4"/>
          <w:lang w:val="sq-AL"/>
        </w:rPr>
        <w:t xml:space="preserve">3. NKGJ-ja (ndryshimi kryesor i gjenerimit), renditjen sipas </w:t>
      </w:r>
      <w:r>
        <w:rPr>
          <w:rFonts w:cs="Times New Roman"/>
          <w:i/>
          <w:spacing w:val="-4"/>
          <w:lang w:val="sq-AL"/>
        </w:rPr>
        <w:t>merit order</w:t>
      </w:r>
      <w:r>
        <w:rPr>
          <w:rFonts w:cs="Times New Roman"/>
          <w:spacing w:val="-4"/>
          <w:lang w:val="sq-AL"/>
        </w:rPr>
        <w:t xml:space="preserve"> ose faktorët e pjesëmarrjes;</w:t>
      </w:r>
    </w:p>
    <w:p w:rsidR="002F02C2" w:rsidRDefault="002F02C2" w:rsidP="002F02C2">
      <w:pPr>
        <w:pStyle w:val="Paragrafi"/>
        <w:rPr>
          <w:rFonts w:cs="Times New Roman"/>
          <w:spacing w:val="-4"/>
          <w:lang w:val="sq-AL"/>
        </w:rPr>
      </w:pPr>
      <w:r>
        <w:rPr>
          <w:rFonts w:cs="Times New Roman"/>
          <w:spacing w:val="-4"/>
          <w:lang w:val="sq-AL"/>
        </w:rPr>
        <w:t xml:space="preserve">4. Të dhënat e kapacitetit gjenerues </w:t>
      </w:r>
      <w:r>
        <w:rPr>
          <w:spacing w:val="-4"/>
          <w:lang w:val="sq-AL"/>
        </w:rPr>
        <w:t xml:space="preserve">modeluar si shumator </w:t>
      </w:r>
      <w:r>
        <w:rPr>
          <w:rFonts w:cs="Times New Roman"/>
          <w:spacing w:val="-4"/>
          <w:lang w:val="sq-AL"/>
        </w:rPr>
        <w:t>i veçuar nga burimet primare të energjisë dhe nga ngarkesa dhe i menaxhuar nga një agregator, të dhënat e të cilit janë përdorur në analizën rajonale të sigurisë së operimit, të ndara nga nënstacionet e modelit ekuivalent apo nënstacionet në të cilat janë të lidhura pjesët përkatëse të rrjetit;</w:t>
      </w:r>
    </w:p>
    <w:p w:rsidR="002F02C2" w:rsidRDefault="002F02C2" w:rsidP="002F02C2">
      <w:pPr>
        <w:pStyle w:val="Paragrafi"/>
        <w:rPr>
          <w:rFonts w:cs="Times New Roman"/>
          <w:spacing w:val="-4"/>
          <w:lang w:val="sq-AL"/>
        </w:rPr>
      </w:pPr>
      <w:r>
        <w:rPr>
          <w:rFonts w:cs="Times New Roman"/>
          <w:spacing w:val="-4"/>
          <w:lang w:val="sq-AL"/>
        </w:rPr>
        <w:t>5. Çdo informacion tjetër të përshtatshëm;</w:t>
      </w:r>
    </w:p>
    <w:p w:rsidR="002F02C2" w:rsidRDefault="002F02C2" w:rsidP="002F02C2">
      <w:pPr>
        <w:pStyle w:val="Paragrafi"/>
        <w:rPr>
          <w:rFonts w:cs="Times New Roman"/>
          <w:spacing w:val="-4"/>
          <w:lang w:val="sq-AL"/>
        </w:rPr>
      </w:pPr>
      <w:r>
        <w:rPr>
          <w:rFonts w:cs="Times New Roman"/>
          <w:spacing w:val="-4"/>
          <w:lang w:val="sq-AL"/>
        </w:rPr>
        <w:t>e) Për të gjitha njësitë gjeneruese të përhershme, të modeluara në mënyrë të detajuar ose të modeluara si shumatore, modeli i dispeçerimit të modeluar duhet të marrë parasysh statusin e disponueshmërisë, në përputhje me skenarët e përshkruar në nenin 3 skenarët më të përshtatshëm;</w:t>
      </w:r>
    </w:p>
    <w:p w:rsidR="002F02C2" w:rsidRDefault="002F02C2" w:rsidP="002F02C2">
      <w:pPr>
        <w:pStyle w:val="Paragrafi"/>
        <w:rPr>
          <w:rFonts w:cs="Times New Roman"/>
          <w:spacing w:val="-4"/>
          <w:lang w:val="sq-AL"/>
        </w:rPr>
      </w:pPr>
      <w:r>
        <w:rPr>
          <w:rFonts w:cs="Times New Roman"/>
          <w:spacing w:val="-4"/>
          <w:lang w:val="sq-AL"/>
        </w:rPr>
        <w:t>f) Për të gjitha njësitë gjeneruese të përhershme nëse janë  modeluar në detaje ose modeluar si shumatore, modeli i dispeçerimit të modeluar duhet të marrë në konsideratë, në përputhje me skenarët e përshkruar në nenin 3 parashikimin më të përshtatshëm.</w:t>
      </w:r>
    </w:p>
    <w:p w:rsidR="002F02C2" w:rsidRDefault="002F02C2" w:rsidP="002F02C2">
      <w:pPr>
        <w:pStyle w:val="Paragrafi"/>
        <w:rPr>
          <w:rFonts w:cs="Times New Roman"/>
          <w:spacing w:val="-4"/>
          <w:lang w:val="sq-AL"/>
        </w:rPr>
      </w:pPr>
      <w:r>
        <w:rPr>
          <w:rFonts w:cs="Times New Roman"/>
          <w:spacing w:val="-4"/>
          <w:lang w:val="sq-AL"/>
        </w:rPr>
        <w:t xml:space="preserve">3. Gjatë ndërtimit të MIRR-së, çdo OST do të respektojë parimet e përgjithshme të mëposhtme në </w:t>
      </w:r>
      <w:r>
        <w:rPr>
          <w:rFonts w:cs="Times New Roman"/>
          <w:spacing w:val="-4"/>
          <w:lang w:val="sq-AL"/>
        </w:rPr>
        <w:lastRenderedPageBreak/>
        <w:t>lidhje me ngarkesat:</w:t>
      </w:r>
    </w:p>
    <w:p w:rsidR="002F02C2" w:rsidRDefault="002F02C2" w:rsidP="002F02C2">
      <w:pPr>
        <w:pStyle w:val="Paragrafi"/>
        <w:rPr>
          <w:rFonts w:cs="Times New Roman"/>
          <w:spacing w:val="-4"/>
          <w:lang w:val="sq-AL"/>
        </w:rPr>
      </w:pPr>
      <w:r>
        <w:rPr>
          <w:rFonts w:cs="Times New Roman"/>
          <w:spacing w:val="-4"/>
          <w:lang w:val="sq-AL"/>
        </w:rPr>
        <w:t xml:space="preserve">a) Në mënyrë që të krijojë modelin e ngarkesës për skenarin përkatës, OST-ja do të shkallëzojë ose do të modifikojë individualisht tërheqjet e fuqisë aktive dhe reaktive të nyjave që lidhen me ngarkesat dhe pompat e modeluara; </w:t>
      </w:r>
    </w:p>
    <w:p w:rsidR="002F02C2" w:rsidRDefault="002F02C2" w:rsidP="002F02C2">
      <w:pPr>
        <w:pStyle w:val="Paragrafi"/>
        <w:rPr>
          <w:rFonts w:cs="Times New Roman"/>
          <w:spacing w:val="-4"/>
          <w:lang w:val="sq-AL"/>
        </w:rPr>
      </w:pPr>
      <w:r>
        <w:rPr>
          <w:rFonts w:cs="Times New Roman"/>
          <w:spacing w:val="-4"/>
          <w:lang w:val="sq-AL"/>
        </w:rPr>
        <w:t>b) Për të gjithë skenarët kjo do të bazohet në përzgjedhjet e mëposhtme</w:t>
      </w:r>
    </w:p>
    <w:p w:rsidR="002F02C2" w:rsidRDefault="002F02C2" w:rsidP="002F02C2">
      <w:pPr>
        <w:pStyle w:val="Paragrafi"/>
        <w:rPr>
          <w:rFonts w:cs="Times New Roman"/>
          <w:spacing w:val="-4"/>
          <w:lang w:val="sq-AL"/>
        </w:rPr>
      </w:pPr>
      <w:r>
        <w:rPr>
          <w:rFonts w:cs="Times New Roman"/>
          <w:spacing w:val="-4"/>
          <w:lang w:val="sq-AL"/>
        </w:rPr>
        <w:t>i. të dhënat referuese përfaqësuese historike, për sezonin përkatës, ditën, kohën përkatëse, dhe të dhëna të përshtatshme;</w:t>
      </w:r>
    </w:p>
    <w:p w:rsidR="002F02C2" w:rsidRDefault="002F02C2" w:rsidP="002F02C2">
      <w:pPr>
        <w:pStyle w:val="Paragrafi"/>
        <w:rPr>
          <w:rFonts w:cs="Times New Roman"/>
          <w:spacing w:val="-4"/>
          <w:lang w:val="sq-AL"/>
        </w:rPr>
      </w:pPr>
      <w:r>
        <w:rPr>
          <w:rFonts w:cs="Times New Roman"/>
          <w:spacing w:val="-4"/>
          <w:lang w:val="sq-AL"/>
        </w:rPr>
        <w:t>ii. SCADA dhe/ose të dhënat e matura;</w:t>
      </w:r>
    </w:p>
    <w:p w:rsidR="002F02C2" w:rsidRDefault="002F02C2" w:rsidP="002F02C2">
      <w:pPr>
        <w:pStyle w:val="Paragrafi"/>
        <w:rPr>
          <w:rFonts w:cs="Times New Roman"/>
          <w:spacing w:val="-4"/>
          <w:lang w:val="sq-AL"/>
        </w:rPr>
      </w:pPr>
      <w:r>
        <w:rPr>
          <w:rFonts w:cs="Times New Roman"/>
          <w:spacing w:val="-4"/>
          <w:lang w:val="sq-AL"/>
        </w:rPr>
        <w:t>iii. të dhënat e vlerësuara të gjendjes;</w:t>
      </w:r>
    </w:p>
    <w:p w:rsidR="002F02C2" w:rsidRDefault="002F02C2" w:rsidP="002F02C2">
      <w:pPr>
        <w:pStyle w:val="Paragrafi"/>
        <w:rPr>
          <w:rFonts w:cs="Times New Roman"/>
          <w:spacing w:val="-4"/>
          <w:lang w:val="sq-AL"/>
        </w:rPr>
      </w:pPr>
      <w:r>
        <w:rPr>
          <w:rFonts w:cs="Times New Roman"/>
          <w:spacing w:val="-4"/>
          <w:lang w:val="sq-AL"/>
        </w:rPr>
        <w:t>iv. analizat statistikore të të dhënave ose në të dhëna e parashikuara;</w:t>
      </w:r>
    </w:p>
    <w:p w:rsidR="002F02C2" w:rsidRDefault="002F02C2" w:rsidP="002F02C2">
      <w:pPr>
        <w:pStyle w:val="Paragrafi"/>
        <w:rPr>
          <w:rFonts w:cs="Times New Roman"/>
          <w:spacing w:val="-4"/>
          <w:lang w:val="sq-AL"/>
        </w:rPr>
      </w:pPr>
      <w:r>
        <w:rPr>
          <w:rFonts w:cs="Times New Roman"/>
          <w:spacing w:val="-4"/>
          <w:lang w:val="sq-AL"/>
        </w:rPr>
        <w:t>v. dallimin mes ngarkesave konforme dhe atyre konforme;</w:t>
      </w:r>
    </w:p>
    <w:p w:rsidR="002F02C2" w:rsidRDefault="002F02C2" w:rsidP="002F02C2">
      <w:pPr>
        <w:pStyle w:val="Paragrafi"/>
        <w:rPr>
          <w:rFonts w:cs="Times New Roman"/>
          <w:spacing w:val="-4"/>
          <w:lang w:val="sq-AL"/>
        </w:rPr>
      </w:pPr>
      <w:r>
        <w:rPr>
          <w:rFonts w:cs="Times New Roman"/>
          <w:spacing w:val="-4"/>
          <w:lang w:val="sq-AL"/>
        </w:rPr>
        <w:t>vi. ndërprerjet e planifikuara të paktën për ngarkesa të modeluara në mënyrë të detajuar;</w:t>
      </w:r>
    </w:p>
    <w:p w:rsidR="002F02C2" w:rsidRDefault="002F02C2" w:rsidP="002F02C2">
      <w:pPr>
        <w:pStyle w:val="Paragrafi"/>
        <w:rPr>
          <w:rFonts w:cs="Times New Roman"/>
          <w:spacing w:val="-4"/>
          <w:lang w:val="sq-AL"/>
        </w:rPr>
      </w:pPr>
      <w:r>
        <w:rPr>
          <w:rFonts w:cs="Times New Roman"/>
          <w:spacing w:val="-4"/>
          <w:lang w:val="sq-AL"/>
        </w:rPr>
        <w:t>vii. për ngarkesat e modeluara në detaje konsumin maksimal të fuqisë aktive dhe karakteristikat e kontrollit të fuqisë reaktive, ku këto janë të instaluara, si dhe fuqinë aktive maksimale dhe minimale e disponueshme për menaxhim të kërkesës dhe kohëzgjatjen maksimale dhe minimale të çdo përdorimi potencial të kësaj fuqie për menaxhim të kërkesës;</w:t>
      </w:r>
    </w:p>
    <w:p w:rsidR="002F02C2" w:rsidRDefault="002F02C2" w:rsidP="002F02C2">
      <w:pPr>
        <w:pStyle w:val="Paragrafi"/>
        <w:rPr>
          <w:rFonts w:cs="Times New Roman"/>
          <w:spacing w:val="-4"/>
          <w:lang w:val="sq-AL"/>
        </w:rPr>
      </w:pPr>
      <w:r>
        <w:rPr>
          <w:rFonts w:cs="Times New Roman"/>
          <w:lang w:val="sq-AL"/>
        </w:rPr>
        <w:t>viii. për ngarkesa të modeluara si shumatore dhe të menaxhuara nga një agregator, të dhënat të cilat janë përdorur në analizën rajonale të sigurisë së operimit, shumatoret e fuqisë aktive maksimale dhe minimale në dispozicion për menaxhim të kërkesës, të veçuara nga gjenerimi, dhe kohëzgjatjen maksimale dhe minimale të përdorimit potencial të kësaj fuqie, të disponueshme për menaxhimin e kërkesës së menaxhuar nga agregatori në pjesën përkatëse të rrjetit, të ndarë nga nënstacionet e modelit ekuivalent ose nënstacionet në të cilat janë</w:t>
      </w:r>
      <w:r>
        <w:rPr>
          <w:rFonts w:cs="Times New Roman"/>
          <w:spacing w:val="-4"/>
          <w:lang w:val="sq-AL"/>
        </w:rPr>
        <w:t xml:space="preserve"> lidhur pjesët përkatëse të rrjetit;</w:t>
      </w:r>
    </w:p>
    <w:p w:rsidR="002F02C2" w:rsidRDefault="002F02C2" w:rsidP="002F02C2">
      <w:pPr>
        <w:pStyle w:val="Paragrafi"/>
        <w:rPr>
          <w:rFonts w:cs="Times New Roman"/>
          <w:spacing w:val="-4"/>
          <w:lang w:val="sq-AL"/>
        </w:rPr>
      </w:pPr>
      <w:r>
        <w:rPr>
          <w:rFonts w:cs="Times New Roman"/>
          <w:spacing w:val="-4"/>
          <w:lang w:val="sq-AL"/>
        </w:rPr>
        <w:t>ix. për ngarkesat e modeluara si shumatore dhe të menaxhuara nga një agregator, të dhënat e të cilit janë përdorur në analizën rajonale të sigurisë së operimit, një parashikim i fuqisë aktive të pakufizuar, të disponueshme për menaxhim të kërkesës dhe çdo përgjigje të planifikuar të kërkesës;</w:t>
      </w:r>
    </w:p>
    <w:p w:rsidR="002F02C2" w:rsidRDefault="002F02C2" w:rsidP="002F02C2">
      <w:pPr>
        <w:pStyle w:val="Paragrafi"/>
        <w:rPr>
          <w:rFonts w:cs="Times New Roman"/>
          <w:spacing w:val="-4"/>
          <w:lang w:val="sq-AL"/>
        </w:rPr>
      </w:pPr>
      <w:r>
        <w:rPr>
          <w:rFonts w:cs="Times New Roman"/>
          <w:spacing w:val="-4"/>
          <w:lang w:val="sq-AL"/>
        </w:rPr>
        <w:t>x. çdo informacion tjetër të përshtatshëm.</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14</w:t>
      </w:r>
    </w:p>
    <w:p w:rsidR="002F02C2" w:rsidRDefault="002F02C2" w:rsidP="002F02C2">
      <w:pPr>
        <w:pStyle w:val="NeniNr"/>
        <w:rPr>
          <w:b/>
          <w:spacing w:val="-4"/>
          <w:lang w:val="sq-AL"/>
        </w:rPr>
      </w:pPr>
      <w:r>
        <w:rPr>
          <w:b/>
          <w:spacing w:val="-4"/>
          <w:lang w:val="sq-AL"/>
        </w:rPr>
        <w:t>Monitorimi</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Gjatë ndërtimit të MIRR-së, çdo OST do të respektojnë rregullat e përcaktuara në këtë nen në lidhje me kufijtë e monitorimit operativ për të gjitha elementet e modeluara të rrjetit.</w:t>
      </w:r>
    </w:p>
    <w:p w:rsidR="002F02C2" w:rsidRDefault="002F02C2" w:rsidP="002F02C2">
      <w:pPr>
        <w:pStyle w:val="Paragrafi"/>
        <w:rPr>
          <w:rFonts w:cs="Times New Roman"/>
          <w:spacing w:val="-4"/>
          <w:lang w:val="sq-AL"/>
        </w:rPr>
      </w:pPr>
      <w:r>
        <w:rPr>
          <w:rFonts w:cs="Times New Roman"/>
          <w:spacing w:val="-4"/>
          <w:lang w:val="sq-AL"/>
        </w:rPr>
        <w:t>2. Për çdo skenar të gjithë kufijtë operativë duhet të jenë në përputhje me kushtet operative, duke përfshirë, por jo kufizuar nga sezoni dhe faktorët përkatës të tjerë mjedisorë dhe meteorologjikë.</w:t>
      </w:r>
    </w:p>
    <w:p w:rsidR="002F02C2" w:rsidRDefault="002F02C2" w:rsidP="002F02C2">
      <w:pPr>
        <w:pStyle w:val="Paragrafi"/>
        <w:rPr>
          <w:rFonts w:cs="Times New Roman"/>
          <w:spacing w:val="-4"/>
          <w:lang w:val="sq-AL"/>
        </w:rPr>
      </w:pPr>
      <w:r>
        <w:rPr>
          <w:rFonts w:cs="Times New Roman"/>
          <w:spacing w:val="-4"/>
          <w:lang w:val="sq-AL"/>
        </w:rPr>
        <w:t>3. Për çdo skenar, çdo OST do të sigurojë që:</w:t>
      </w:r>
    </w:p>
    <w:p w:rsidR="002F02C2" w:rsidRDefault="002F02C2" w:rsidP="002F02C2">
      <w:pPr>
        <w:pStyle w:val="Paragrafi"/>
        <w:rPr>
          <w:rFonts w:cs="Times New Roman"/>
          <w:spacing w:val="-4"/>
          <w:lang w:val="sq-AL"/>
        </w:rPr>
      </w:pPr>
      <w:r>
        <w:rPr>
          <w:rFonts w:cs="Times New Roman"/>
          <w:spacing w:val="-4"/>
          <w:lang w:val="sq-AL"/>
        </w:rPr>
        <w:t>a) MIRR-ja specifikon, për çdo linjë transmetimi të modeluar në mënyrë eksplicite, kabllon, transformatorin dhe elementet përkatëse të pajisjeve DC, ose</w:t>
      </w:r>
    </w:p>
    <w:p w:rsidR="002F02C2" w:rsidRDefault="002F02C2" w:rsidP="002F02C2">
      <w:pPr>
        <w:pStyle w:val="Paragrafi"/>
        <w:rPr>
          <w:rFonts w:cs="Times New Roman"/>
          <w:spacing w:val="-4"/>
          <w:lang w:val="sq-AL"/>
        </w:rPr>
      </w:pPr>
      <w:r>
        <w:rPr>
          <w:rFonts w:cs="Times New Roman"/>
          <w:spacing w:val="-4"/>
          <w:lang w:val="sq-AL"/>
        </w:rPr>
        <w:t>i. një PATL, nëse vlerësimi nuk varet nga kushtet meteorologjike ose defekteve; ose</w:t>
      </w:r>
    </w:p>
    <w:p w:rsidR="002F02C2" w:rsidRDefault="002F02C2" w:rsidP="002F02C2">
      <w:pPr>
        <w:pStyle w:val="Paragrafi"/>
        <w:rPr>
          <w:rFonts w:cs="Times New Roman"/>
          <w:spacing w:val="-4"/>
          <w:lang w:val="sq-AL"/>
        </w:rPr>
      </w:pPr>
      <w:r>
        <w:rPr>
          <w:rFonts w:cs="Times New Roman"/>
          <w:spacing w:val="-4"/>
          <w:lang w:val="sq-AL"/>
        </w:rPr>
        <w:t>ii. vlerësimin më të mirë të parashikuar nëse vlerësimi varet nga kushtet meteorologjike ose para defektit;</w:t>
      </w:r>
    </w:p>
    <w:p w:rsidR="002F02C2" w:rsidRDefault="002F02C2" w:rsidP="002F02C2">
      <w:pPr>
        <w:pStyle w:val="Paragrafi"/>
        <w:rPr>
          <w:rFonts w:cs="Times New Roman"/>
          <w:lang w:val="sq-AL"/>
        </w:rPr>
      </w:pPr>
      <w:r>
        <w:rPr>
          <w:rFonts w:cs="Times New Roman"/>
          <w:lang w:val="sq-AL"/>
        </w:rPr>
        <w:t>b) MIRR-ja specifikon, për asetet përkatëse, një ose më shumë TATL, për sezonin përkatës dhe bazuar në PATL në fuqi, për çdo linjë transmetimi të modeluar në mënyrë eksplicite, kabllon, transformatorin dhe elementet përkatëse të pajisjes DC.</w:t>
      </w:r>
    </w:p>
    <w:p w:rsidR="002F02C2" w:rsidRDefault="002F02C2" w:rsidP="002F02C2">
      <w:pPr>
        <w:pStyle w:val="Paragrafi"/>
        <w:rPr>
          <w:rFonts w:cs="Times New Roman"/>
          <w:spacing w:val="-4"/>
          <w:lang w:val="sq-AL"/>
        </w:rPr>
      </w:pPr>
      <w:r>
        <w:rPr>
          <w:rFonts w:cs="Times New Roman"/>
          <w:spacing w:val="-4"/>
          <w:lang w:val="sq-AL"/>
        </w:rPr>
        <w:t>c) MIRR-ja përcakton kohëzgjatjen e një TATL-je për të gjitha elementet e pajisjeve të transmetimit, për të cilat është specifikuar kohëzgjatja e një TATL-je, për çdo TATL të specifikuar;</w:t>
      </w:r>
    </w:p>
    <w:p w:rsidR="002F02C2" w:rsidRDefault="002F02C2" w:rsidP="002F02C2">
      <w:pPr>
        <w:pStyle w:val="Paragrafi"/>
        <w:rPr>
          <w:rFonts w:cs="Times New Roman"/>
          <w:spacing w:val="-4"/>
          <w:lang w:val="sq-AL"/>
        </w:rPr>
      </w:pPr>
      <w:r>
        <w:rPr>
          <w:rFonts w:cs="Times New Roman"/>
          <w:spacing w:val="-4"/>
          <w:lang w:val="sq-AL"/>
        </w:rPr>
        <w:t>d) MIRR-ja specifikon rrymën e shkyçjes për çdo pjesë përkatëse të pajisjeve të transmetimit të modeluar në mënyrë eksplicite, nëse është e mundur;</w:t>
      </w:r>
    </w:p>
    <w:p w:rsidR="002F02C2" w:rsidRDefault="002F02C2" w:rsidP="002F02C2">
      <w:pPr>
        <w:pStyle w:val="Paragrafi"/>
        <w:rPr>
          <w:rFonts w:cs="Times New Roman"/>
          <w:spacing w:val="-4"/>
          <w:lang w:val="sq-AL"/>
        </w:rPr>
      </w:pPr>
      <w:r>
        <w:rPr>
          <w:rFonts w:cs="Times New Roman"/>
          <w:spacing w:val="-4"/>
          <w:lang w:val="sq-AL"/>
        </w:rPr>
        <w:t xml:space="preserve">e) MIRR-ja, në mënyrë të përshtatshme, reflekton vlerat maksimale dhe minimale të pranueshme të tensionit në çdo nivel të tensionit nominal, në bazë të kodeve, standardeve, licencave, politikave dhe </w:t>
      </w:r>
      <w:r>
        <w:rPr>
          <w:rFonts w:cs="Times New Roman"/>
          <w:spacing w:val="-4"/>
          <w:lang w:val="sq-AL"/>
        </w:rPr>
        <w:lastRenderedPageBreak/>
        <w:t>marrëveshjeve përkatëse lokale në zbatim;</w:t>
      </w:r>
    </w:p>
    <w:p w:rsidR="002F02C2" w:rsidRDefault="002F02C2" w:rsidP="002F02C2">
      <w:pPr>
        <w:pStyle w:val="Paragrafi"/>
        <w:rPr>
          <w:rFonts w:cs="Times New Roman"/>
          <w:spacing w:val="-4"/>
          <w:lang w:val="sq-AL"/>
        </w:rPr>
      </w:pPr>
      <w:r>
        <w:rPr>
          <w:rFonts w:cs="Times New Roman"/>
          <w:spacing w:val="-4"/>
          <w:lang w:val="sq-AL"/>
        </w:rPr>
        <w:t xml:space="preserve">f) Kufijtë e monitorimit operativ që zbatohen për interkonektorët dhe linjat lidhëse me OST-të e tjerë janë në përputhje me ato të specifikuara në MIRR-në e OST-ve përkatëse fqinje; </w:t>
      </w:r>
    </w:p>
    <w:p w:rsidR="002F02C2" w:rsidRDefault="002F02C2" w:rsidP="002F02C2">
      <w:pPr>
        <w:pStyle w:val="Paragrafi"/>
        <w:rPr>
          <w:rFonts w:cs="Times New Roman"/>
          <w:spacing w:val="-4"/>
          <w:lang w:val="sq-AL"/>
        </w:rPr>
      </w:pPr>
      <w:r>
        <w:rPr>
          <w:rFonts w:cs="Times New Roman"/>
          <w:spacing w:val="-4"/>
          <w:lang w:val="sq-AL"/>
        </w:rPr>
        <w:t>g) Kufijtë e monitorimit operativ të specifikuar në MIRR janë në përputhje me limitet e sigurisë operative;</w:t>
      </w:r>
    </w:p>
    <w:p w:rsidR="002F02C2" w:rsidRDefault="002F02C2" w:rsidP="002F02C2">
      <w:pPr>
        <w:pStyle w:val="Paragrafi"/>
        <w:rPr>
          <w:rFonts w:cs="Times New Roman"/>
          <w:spacing w:val="-4"/>
          <w:lang w:val="sq-AL"/>
        </w:rPr>
      </w:pPr>
      <w:r>
        <w:rPr>
          <w:rFonts w:cs="Times New Roman"/>
          <w:spacing w:val="-4"/>
          <w:lang w:val="sq-AL"/>
        </w:rPr>
        <w:t>h) MIRR-ja specifikon kufij artificialë të PATL-së dhe TATL-së mbi elementet individuale përkatëse ose grupeve të elementeve të pajisjeve të transmetimit të modeluar në mënyrë që të përfshijë kufizimet lokale të transmetimit, që nuk janë të lidhura me sigurinë termike ose qëndrueshmërinë e tensionit, duke përfshirë kufizimet që lidhen me gjendjen kalimtare apo qëndrueshmërinë e tensionit;</w:t>
      </w:r>
    </w:p>
    <w:p w:rsidR="002F02C2" w:rsidRDefault="002F02C2" w:rsidP="002F02C2">
      <w:pPr>
        <w:pStyle w:val="Paragrafi"/>
        <w:rPr>
          <w:rFonts w:cs="Times New Roman"/>
          <w:spacing w:val="-4"/>
          <w:lang w:val="sq-AL"/>
        </w:rPr>
      </w:pPr>
      <w:r>
        <w:rPr>
          <w:rFonts w:cs="Times New Roman"/>
          <w:spacing w:val="-4"/>
          <w:lang w:val="sq-AL"/>
        </w:rPr>
        <w:t>i) Për të gjitha modelet ekuivalente të pajisjeve të transmetimit dhe për elementet e modeluara të pajisjeve që nuk operohen nga OST-ja, duke përfshirë rrjetet e shpërndarjes, që janë të rëndësishme në lidhje me analizën e sigurisë operative dhe llogaritjen e kapacitetit ndërzonal, MIRR-ja përcakton limitet e duhura operative ekuivalente.</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15</w:t>
      </w:r>
    </w:p>
    <w:p w:rsidR="002F02C2" w:rsidRDefault="002F02C2" w:rsidP="002F02C2">
      <w:pPr>
        <w:pStyle w:val="NeniNr"/>
        <w:rPr>
          <w:b/>
          <w:spacing w:val="-4"/>
          <w:lang w:val="sq-AL"/>
        </w:rPr>
      </w:pPr>
      <w:r>
        <w:rPr>
          <w:b/>
          <w:spacing w:val="-4"/>
          <w:lang w:val="sq-AL"/>
        </w:rPr>
        <w:t>Parametrat e komandimit</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Gjatë ndërtimit të çdo MIRR-je, çdo OST-je do të përcaktojë parametrat e duhur të kontrollit për të paktën elementet e mëposhtme të pajisjeve rregulluese, ku janë modeluar dhe janë me rëndësi:</w:t>
      </w:r>
    </w:p>
    <w:p w:rsidR="002F02C2" w:rsidRDefault="002F02C2" w:rsidP="002F02C2">
      <w:pPr>
        <w:pStyle w:val="Paragrafi"/>
        <w:rPr>
          <w:rFonts w:cs="Times New Roman"/>
          <w:spacing w:val="-4"/>
          <w:lang w:val="sq-AL"/>
        </w:rPr>
      </w:pPr>
      <w:r>
        <w:rPr>
          <w:rFonts w:cs="Times New Roman"/>
          <w:spacing w:val="-4"/>
          <w:lang w:val="sq-AL"/>
        </w:rPr>
        <w:t>a) Transformatorët e fuqisë dhe ancafkat e tyre;</w:t>
      </w:r>
    </w:p>
    <w:p w:rsidR="002F02C2" w:rsidRDefault="002F02C2" w:rsidP="002F02C2">
      <w:pPr>
        <w:pStyle w:val="Paragrafi"/>
        <w:rPr>
          <w:rFonts w:cs="Times New Roman"/>
          <w:spacing w:val="-4"/>
          <w:lang w:val="sq-AL"/>
        </w:rPr>
      </w:pPr>
      <w:r>
        <w:rPr>
          <w:rFonts w:cs="Times New Roman"/>
          <w:spacing w:val="-4"/>
          <w:lang w:val="sq-AL"/>
        </w:rPr>
        <w:t>b) Transformatorët fazues dhe ancafkat e tyre;</w:t>
      </w:r>
    </w:p>
    <w:p w:rsidR="002F02C2" w:rsidRDefault="002F02C2" w:rsidP="002F02C2">
      <w:pPr>
        <w:pStyle w:val="Paragrafi"/>
        <w:rPr>
          <w:rFonts w:cs="Times New Roman"/>
          <w:spacing w:val="-4"/>
          <w:lang w:val="sq-AL"/>
        </w:rPr>
      </w:pPr>
      <w:r>
        <w:rPr>
          <w:rFonts w:cs="Times New Roman"/>
          <w:spacing w:val="-4"/>
          <w:lang w:val="sq-AL"/>
        </w:rPr>
        <w:t>c) Pajisjet kompensuese të energjisë reaktive, duke përfshirë, por jo kufizuar në:</w:t>
      </w:r>
    </w:p>
    <w:p w:rsidR="002F02C2" w:rsidRDefault="002F02C2" w:rsidP="002F02C2">
      <w:pPr>
        <w:pStyle w:val="Paragrafi"/>
        <w:rPr>
          <w:rFonts w:cs="Times New Roman"/>
          <w:spacing w:val="-4"/>
          <w:lang w:val="sq-AL"/>
        </w:rPr>
      </w:pPr>
      <w:r>
        <w:rPr>
          <w:rFonts w:cs="Times New Roman"/>
          <w:spacing w:val="-4"/>
          <w:lang w:val="sq-AL"/>
        </w:rPr>
        <w:t>i. shunt-kompensatorët, përfshirë shunt-kapacitorët ose shunt-reaktorët ose bankat e shunt-reaktorëve ose kapacitorëve që kyçen në mënyrë diskrete</w:t>
      </w:r>
    </w:p>
    <w:p w:rsidR="002F02C2" w:rsidRDefault="002F02C2" w:rsidP="002F02C2">
      <w:pPr>
        <w:pStyle w:val="Paragrafi"/>
        <w:rPr>
          <w:rFonts w:cs="Times New Roman"/>
          <w:spacing w:val="-4"/>
          <w:lang w:val="sq-AL"/>
        </w:rPr>
      </w:pPr>
      <w:r>
        <w:rPr>
          <w:rFonts w:cs="Times New Roman"/>
          <w:spacing w:val="-4"/>
          <w:lang w:val="sq-AL"/>
        </w:rPr>
        <w:t>ii. kompensatorët statikë VAR;</w:t>
      </w:r>
    </w:p>
    <w:p w:rsidR="002F02C2" w:rsidRDefault="002F02C2" w:rsidP="002F02C2">
      <w:pPr>
        <w:pStyle w:val="Paragrafi"/>
        <w:rPr>
          <w:rFonts w:cs="Times New Roman"/>
          <w:spacing w:val="-4"/>
          <w:lang w:val="sq-AL"/>
        </w:rPr>
      </w:pPr>
      <w:r>
        <w:rPr>
          <w:rFonts w:cs="Times New Roman"/>
          <w:spacing w:val="-4"/>
          <w:lang w:val="sq-AL"/>
        </w:rPr>
        <w:t>iii. kondesatorët sinkronë;</w:t>
      </w:r>
    </w:p>
    <w:p w:rsidR="002F02C2" w:rsidRDefault="002F02C2" w:rsidP="002F02C2">
      <w:pPr>
        <w:pStyle w:val="Paragrafi"/>
        <w:rPr>
          <w:rFonts w:cs="Times New Roman"/>
          <w:spacing w:val="-4"/>
          <w:lang w:val="sq-AL"/>
        </w:rPr>
      </w:pPr>
      <w:r>
        <w:rPr>
          <w:rFonts w:cs="Times New Roman"/>
          <w:spacing w:val="-4"/>
          <w:lang w:val="sq-AL"/>
        </w:rPr>
        <w:t>iv. kompensatorët statikë sinkron (STATCOM) dhe pajisje të tjera fleksibël AC (FACTS);</w:t>
      </w:r>
    </w:p>
    <w:p w:rsidR="002F02C2" w:rsidRDefault="002F02C2" w:rsidP="002F02C2">
      <w:pPr>
        <w:pStyle w:val="Paragrafi"/>
        <w:rPr>
          <w:rFonts w:cs="Times New Roman"/>
          <w:spacing w:val="-4"/>
          <w:lang w:val="sq-AL"/>
        </w:rPr>
      </w:pPr>
      <w:r>
        <w:rPr>
          <w:rFonts w:cs="Times New Roman"/>
          <w:spacing w:val="-4"/>
          <w:lang w:val="sq-AL"/>
        </w:rPr>
        <w:t>d) Gjeneratorët që marrin pjesë në rregullim tensioni;</w:t>
      </w:r>
    </w:p>
    <w:p w:rsidR="002F02C2" w:rsidRDefault="002F02C2" w:rsidP="002F02C2">
      <w:pPr>
        <w:pStyle w:val="Paragrafi"/>
        <w:rPr>
          <w:rFonts w:cs="Times New Roman"/>
          <w:spacing w:val="-4"/>
          <w:lang w:val="sq-AL"/>
        </w:rPr>
      </w:pPr>
      <w:r>
        <w:rPr>
          <w:rFonts w:cs="Times New Roman"/>
          <w:spacing w:val="-4"/>
          <w:lang w:val="sq-AL"/>
        </w:rPr>
        <w:t>e) Pajisje DC.</w:t>
      </w:r>
    </w:p>
    <w:p w:rsidR="002F02C2" w:rsidRDefault="002F02C2" w:rsidP="002F02C2">
      <w:pPr>
        <w:pStyle w:val="Paragrafi"/>
        <w:rPr>
          <w:rFonts w:cs="Times New Roman"/>
          <w:spacing w:val="-4"/>
          <w:lang w:val="sq-AL"/>
        </w:rPr>
      </w:pPr>
      <w:r>
        <w:rPr>
          <w:rFonts w:cs="Times New Roman"/>
          <w:spacing w:val="-4"/>
          <w:lang w:val="sq-AL"/>
        </w:rPr>
        <w:t>2. Në rastin e elementeve të pajisjeve të përmendura në pikat “a”, “b”, “c” dhe “d”, të paragrafit 1, çdo MIRR duhet të përfshijë informacionin e mëposhtëm, kur është e nevojshme:</w:t>
      </w:r>
    </w:p>
    <w:p w:rsidR="002F02C2" w:rsidRDefault="002F02C2" w:rsidP="002F02C2">
      <w:pPr>
        <w:pStyle w:val="Paragrafi"/>
        <w:rPr>
          <w:rFonts w:cs="Times New Roman"/>
          <w:spacing w:val="-4"/>
          <w:lang w:val="sq-AL"/>
        </w:rPr>
      </w:pPr>
      <w:r>
        <w:rPr>
          <w:rFonts w:cs="Times New Roman"/>
          <w:spacing w:val="-4"/>
          <w:lang w:val="sq-AL"/>
        </w:rPr>
        <w:t>a) Gjendja e rregullimit - në punë/jashtë pune;</w:t>
      </w:r>
    </w:p>
    <w:p w:rsidR="002F02C2" w:rsidRDefault="002F02C2" w:rsidP="002F02C2">
      <w:pPr>
        <w:pStyle w:val="Paragrafi"/>
        <w:rPr>
          <w:rFonts w:cs="Times New Roman"/>
          <w:spacing w:val="-4"/>
          <w:lang w:val="sq-AL"/>
        </w:rPr>
      </w:pPr>
      <w:r>
        <w:rPr>
          <w:rFonts w:cs="Times New Roman"/>
          <w:spacing w:val="-4"/>
          <w:lang w:val="sq-AL"/>
        </w:rPr>
        <w:t>b) Mënyra e rregullimit - tensioni, fuqia aktive, fuqia reaktive, faktori i fuqisë, rryma ose mënyra të tjetra të aplikueshme;</w:t>
      </w:r>
    </w:p>
    <w:p w:rsidR="002F02C2" w:rsidRDefault="002F02C2" w:rsidP="002F02C2">
      <w:pPr>
        <w:pStyle w:val="Paragrafi"/>
        <w:rPr>
          <w:rFonts w:cs="Times New Roman"/>
          <w:spacing w:val="-4"/>
          <w:lang w:val="sq-AL"/>
        </w:rPr>
      </w:pPr>
      <w:r>
        <w:rPr>
          <w:rFonts w:cs="Times New Roman"/>
          <w:spacing w:val="-4"/>
          <w:lang w:val="sq-AL"/>
        </w:rPr>
        <w:t xml:space="preserve">c) Objektivi i rregullimit ose synimi i intervalit në kV, MR, MVAR, p.u. </w:t>
      </w:r>
      <w:r>
        <w:rPr>
          <w:rFonts w:ascii="Times New Roman" w:hAnsi="Times New Roman" w:cs="Times New Roman"/>
          <w:spacing w:val="-4"/>
          <w:lang w:val="sq-AL"/>
        </w:rPr>
        <w:t>​​</w:t>
      </w:r>
      <w:r>
        <w:rPr>
          <w:rFonts w:cs="Times New Roman"/>
          <w:spacing w:val="-4"/>
          <w:lang w:val="sq-AL"/>
        </w:rPr>
        <w:t>ose njësitë e tjera të përshtatshme;</w:t>
      </w:r>
    </w:p>
    <w:p w:rsidR="002F02C2" w:rsidRDefault="002F02C2" w:rsidP="002F02C2">
      <w:pPr>
        <w:pStyle w:val="Paragrafi"/>
        <w:rPr>
          <w:rFonts w:cs="Times New Roman"/>
          <w:spacing w:val="-4"/>
          <w:lang w:val="sq-AL"/>
        </w:rPr>
      </w:pPr>
      <w:r>
        <w:rPr>
          <w:rFonts w:cs="Times New Roman"/>
          <w:spacing w:val="-4"/>
          <w:lang w:val="sq-AL"/>
        </w:rPr>
        <w:t>d) Objektivi i rregullimit në bandë;</w:t>
      </w:r>
    </w:p>
    <w:p w:rsidR="002F02C2" w:rsidRDefault="002F02C2" w:rsidP="002F02C2">
      <w:pPr>
        <w:pStyle w:val="Paragrafi"/>
        <w:rPr>
          <w:rFonts w:cs="Times New Roman"/>
          <w:spacing w:val="-4"/>
          <w:lang w:val="sq-AL"/>
        </w:rPr>
      </w:pPr>
      <w:r>
        <w:rPr>
          <w:rFonts w:cs="Times New Roman"/>
          <w:spacing w:val="-4"/>
          <w:lang w:val="sq-AL"/>
        </w:rPr>
        <w:t>e) Rregullimi i faktorit të pjesëmarrjes;</w:t>
      </w:r>
    </w:p>
    <w:p w:rsidR="002F02C2" w:rsidRDefault="002F02C2" w:rsidP="002F02C2">
      <w:pPr>
        <w:pStyle w:val="Paragrafi"/>
        <w:rPr>
          <w:rFonts w:cs="Times New Roman"/>
          <w:spacing w:val="-4"/>
          <w:lang w:val="sq-AL"/>
        </w:rPr>
      </w:pPr>
      <w:r>
        <w:rPr>
          <w:rFonts w:cs="Times New Roman"/>
          <w:spacing w:val="-4"/>
          <w:lang w:val="sq-AL"/>
        </w:rPr>
        <w:t>f) Nyjat e rregulluara.</w:t>
      </w:r>
    </w:p>
    <w:p w:rsidR="002F02C2" w:rsidRDefault="002F02C2" w:rsidP="002F02C2">
      <w:pPr>
        <w:pStyle w:val="Paragrafi"/>
        <w:rPr>
          <w:rFonts w:cs="Times New Roman"/>
          <w:spacing w:val="-4"/>
          <w:lang w:val="sq-AL"/>
        </w:rPr>
      </w:pPr>
      <w:r>
        <w:rPr>
          <w:rFonts w:cs="Times New Roman"/>
          <w:spacing w:val="-4"/>
          <w:lang w:val="sq-AL"/>
        </w:rPr>
        <w:t>3. Në rastin e elementeve të përmendura në pikën “e”, të paragrafit 1, çdo MIRR duhet të përfshijë informacionin e mëposhtëm, kur është e nevojshme:</w:t>
      </w:r>
    </w:p>
    <w:p w:rsidR="002F02C2" w:rsidRDefault="002F02C2" w:rsidP="002F02C2">
      <w:pPr>
        <w:pStyle w:val="Paragrafi"/>
        <w:rPr>
          <w:rFonts w:cs="Times New Roman"/>
          <w:spacing w:val="-4"/>
          <w:lang w:val="sq-AL"/>
        </w:rPr>
      </w:pPr>
      <w:r>
        <w:rPr>
          <w:rFonts w:cs="Times New Roman"/>
          <w:spacing w:val="-4"/>
          <w:lang w:val="sq-AL"/>
        </w:rPr>
        <w:t>a) Regjimin e punës: inverter/shndërrues;</w:t>
      </w:r>
    </w:p>
    <w:p w:rsidR="002F02C2" w:rsidRDefault="002F02C2" w:rsidP="002F02C2">
      <w:pPr>
        <w:pStyle w:val="Paragrafi"/>
        <w:rPr>
          <w:rFonts w:cs="Times New Roman"/>
          <w:spacing w:val="-4"/>
          <w:lang w:val="sq-AL"/>
        </w:rPr>
      </w:pPr>
      <w:r>
        <w:rPr>
          <w:rFonts w:cs="Times New Roman"/>
          <w:spacing w:val="-4"/>
          <w:lang w:val="sq-AL"/>
        </w:rPr>
        <w:t>b) Mënyra e kontrollit: tensioni, fuqia aktive, fuqia reaktive, faktori i fuqisë, rryma ose mënyra të tjera të aplikueshme;</w:t>
      </w:r>
    </w:p>
    <w:p w:rsidR="002F02C2" w:rsidRDefault="002F02C2" w:rsidP="002F02C2">
      <w:pPr>
        <w:pStyle w:val="Paragrafi"/>
        <w:rPr>
          <w:rFonts w:cs="Times New Roman"/>
          <w:spacing w:val="-4"/>
          <w:lang w:val="sq-AL"/>
        </w:rPr>
      </w:pPr>
      <w:r>
        <w:rPr>
          <w:rFonts w:cs="Times New Roman"/>
          <w:spacing w:val="-4"/>
          <w:lang w:val="sq-AL"/>
        </w:rPr>
        <w:t xml:space="preserve">c) Fuqia aktive e synuar; </w:t>
      </w:r>
    </w:p>
    <w:p w:rsidR="002F02C2" w:rsidRDefault="002F02C2" w:rsidP="002F02C2">
      <w:pPr>
        <w:pStyle w:val="Paragrafi"/>
        <w:rPr>
          <w:rFonts w:cs="Times New Roman"/>
          <w:spacing w:val="-4"/>
          <w:lang w:val="sq-AL"/>
        </w:rPr>
      </w:pPr>
      <w:r>
        <w:rPr>
          <w:rFonts w:cs="Times New Roman"/>
          <w:spacing w:val="-4"/>
          <w:lang w:val="sq-AL"/>
        </w:rPr>
        <w:t>d) Tensioni i synuar;</w:t>
      </w:r>
    </w:p>
    <w:p w:rsidR="002F02C2" w:rsidRDefault="002F02C2" w:rsidP="002F02C2">
      <w:pPr>
        <w:pStyle w:val="Paragrafi"/>
        <w:rPr>
          <w:rFonts w:cs="Times New Roman"/>
          <w:spacing w:val="-4"/>
          <w:lang w:val="sq-AL"/>
        </w:rPr>
      </w:pPr>
      <w:r>
        <w:rPr>
          <w:rFonts w:cs="Times New Roman"/>
          <w:spacing w:val="-4"/>
          <w:lang w:val="sq-AL"/>
        </w:rPr>
        <w:t>e) Nyjat balancuese.</w:t>
      </w:r>
    </w:p>
    <w:p w:rsidR="002F02C2" w:rsidRDefault="002F02C2" w:rsidP="002F02C2">
      <w:pPr>
        <w:pStyle w:val="Paragrafi"/>
        <w:rPr>
          <w:rFonts w:cs="Times New Roman"/>
          <w:spacing w:val="-4"/>
          <w:lang w:val="sq-AL"/>
        </w:rPr>
      </w:pPr>
      <w:r>
        <w:rPr>
          <w:rFonts w:cs="Times New Roman"/>
          <w:spacing w:val="-4"/>
          <w:lang w:val="sq-AL"/>
        </w:rPr>
        <w:t xml:space="preserve">4. Kur një element i modeluar i pajisjes DC është pjesë e një interkonektori, çdo OST do të sigurojë që </w:t>
      </w:r>
      <w:r>
        <w:rPr>
          <w:rFonts w:cs="Times New Roman"/>
          <w:spacing w:val="-4"/>
          <w:lang w:val="sq-AL"/>
        </w:rPr>
        <w:lastRenderedPageBreak/>
        <w:t>flukset rezultante në interkonektor janë në përputhje me flukset e rëna dakord për linjat e rrymës së vazhduar për skenarin përkatës në përputhje me nenin 18.</w:t>
      </w:r>
    </w:p>
    <w:p w:rsidR="002F02C2" w:rsidRDefault="002F02C2" w:rsidP="002F02C2">
      <w:pPr>
        <w:pStyle w:val="Paragrafi"/>
        <w:rPr>
          <w:rFonts w:cs="Times New Roman"/>
          <w:spacing w:val="-4"/>
          <w:lang w:val="sq-AL"/>
        </w:rPr>
      </w:pPr>
      <w:r>
        <w:rPr>
          <w:rFonts w:cs="Times New Roman"/>
          <w:spacing w:val="-4"/>
          <w:lang w:val="sq-AL"/>
        </w:rPr>
        <w:t>5. Çdo OST do të sigurojë që tensionet e synuara dhe diapazoni synuar i tensionit janë pasqyruese të skenarit përkatës dhe të politikave në fuqi të zbatueshme për menaxhim të tensionit dhe limiteve operative të sigurisë.</w:t>
      </w:r>
    </w:p>
    <w:p w:rsidR="002F02C2" w:rsidRDefault="002F02C2" w:rsidP="002F02C2">
      <w:pPr>
        <w:pStyle w:val="Paragrafi"/>
        <w:rPr>
          <w:rFonts w:cs="Times New Roman"/>
          <w:spacing w:val="-4"/>
          <w:lang w:val="sq-AL"/>
        </w:rPr>
      </w:pPr>
      <w:r>
        <w:rPr>
          <w:rFonts w:cs="Times New Roman"/>
          <w:spacing w:val="-4"/>
          <w:lang w:val="sq-AL"/>
        </w:rPr>
        <w:t>6. Çdo OST duhet të specifikojë të paktën një nyjë referuese në çdo MIRR për menaxhimin e mospërputhjes mes prodhimit total dhe kërkesës gjatë kryerjes së një analize të flukseve.</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16</w:t>
      </w:r>
    </w:p>
    <w:p w:rsidR="002F02C2" w:rsidRDefault="002F02C2" w:rsidP="002F02C2">
      <w:pPr>
        <w:pStyle w:val="NeniNr"/>
        <w:rPr>
          <w:b/>
          <w:spacing w:val="-4"/>
          <w:lang w:val="sq-AL"/>
        </w:rPr>
      </w:pPr>
      <w:r>
        <w:rPr>
          <w:b/>
          <w:spacing w:val="-4"/>
          <w:lang w:val="sq-AL"/>
        </w:rPr>
        <w:t>Supozime mbi rrjetet fqinje</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Gjatë ndërtimit të MIRR-së, çdo OST do të përditësojë supozimet operative në lidhje me rrjetet fqinje me grupin më të besueshëm të vlerësimeve praktike. Pas përfundimit të suksesshëm të kontrolleve të përshkruara në nenin 4(3)(h), modelet ekuivalente të rrjeteve fqinje do të hiqen dhe zëvendësohen me injeksionet ekuivalente në pikat përkatëse kufitare.</w:t>
      </w:r>
    </w:p>
    <w:p w:rsidR="002F02C2" w:rsidRDefault="002F02C2" w:rsidP="002F02C2">
      <w:pPr>
        <w:pStyle w:val="Paragrafi"/>
        <w:rPr>
          <w:rFonts w:cs="Times New Roman"/>
          <w:spacing w:val="-4"/>
          <w:lang w:val="sq-AL"/>
        </w:rPr>
      </w:pPr>
      <w:r>
        <w:rPr>
          <w:rFonts w:cs="Times New Roman"/>
          <w:spacing w:val="-4"/>
          <w:lang w:val="sq-AL"/>
        </w:rPr>
        <w:t>2. Për çdo MIRR shuma e injeksioneve në pikat kufitare do të jetë e barabartë me pozicionin neto korrespondues.</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17</w:t>
      </w:r>
    </w:p>
    <w:p w:rsidR="002F02C2" w:rsidRDefault="002F02C2" w:rsidP="002F02C2">
      <w:pPr>
        <w:pStyle w:val="NeniNr"/>
        <w:rPr>
          <w:b/>
          <w:spacing w:val="-4"/>
          <w:lang w:val="sq-AL"/>
        </w:rPr>
      </w:pPr>
      <w:r>
        <w:rPr>
          <w:b/>
          <w:spacing w:val="-4"/>
          <w:lang w:val="sq-AL"/>
        </w:rPr>
        <w:t>Informacion i lidhur</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Për të bërë të mundur aplikimin e rregullave për ndryshimin e karakteristikave të modeleve individuale të rrjetit gjatë llogaritjes së kapaciteteve dhe proceset e tjera përkatëse, çdo OST do të vendosë në dispozicion informacionin e mëposhtëm për të gjithë OST-të nëpërmjet platformës së informacionit të përmendur në nenin 21:</w:t>
      </w:r>
    </w:p>
    <w:p w:rsidR="002F02C2" w:rsidRDefault="002F02C2" w:rsidP="002F02C2">
      <w:pPr>
        <w:pStyle w:val="Paragrafi"/>
        <w:rPr>
          <w:rFonts w:cs="Times New Roman"/>
          <w:spacing w:val="-4"/>
          <w:lang w:val="sq-AL"/>
        </w:rPr>
      </w:pPr>
      <w:r>
        <w:rPr>
          <w:rFonts w:cs="Times New Roman"/>
          <w:spacing w:val="-4"/>
          <w:lang w:val="sq-AL"/>
        </w:rPr>
        <w:t xml:space="preserve">a) NKGJ-ja (ndryshimi kryesor i gjenerimit </w:t>
      </w:r>
      <w:r>
        <w:rPr>
          <w:rFonts w:cs="Times New Roman"/>
          <w:i/>
          <w:spacing w:val="-4"/>
          <w:lang w:val="sq-AL"/>
        </w:rPr>
        <w:t>en-generation shfit key</w:t>
      </w:r>
      <w:r>
        <w:rPr>
          <w:rFonts w:cs="Times New Roman"/>
          <w:spacing w:val="-4"/>
          <w:lang w:val="sq-AL"/>
        </w:rPr>
        <w:t>).</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18</w:t>
      </w:r>
    </w:p>
    <w:p w:rsidR="002F02C2" w:rsidRDefault="002F02C2" w:rsidP="002F02C2">
      <w:pPr>
        <w:pStyle w:val="NeniNr"/>
        <w:rPr>
          <w:b/>
          <w:spacing w:val="-4"/>
          <w:lang w:val="sq-AL"/>
        </w:rPr>
      </w:pPr>
      <w:r>
        <w:rPr>
          <w:b/>
          <w:spacing w:val="-4"/>
          <w:lang w:val="sq-AL"/>
        </w:rPr>
        <w:t>Pozicioni neto dhe flukset në linjat me rrymë të vazhduar</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Për të gjithë skenarët e llogaritjes së kapacitetit për periudhën një muaj në avancë dhe një vit në avancë në pajtim të nenit 3, çdo OST do të ndjekë procedurën e rregullimit të MPRR-së të përshkruar në nenin 19, në mënyrë që të jetë në përputhje me nenin 19(2) të Rregullores 2016/1719.</w:t>
      </w:r>
    </w:p>
    <w:p w:rsidR="002F02C2" w:rsidRDefault="002F02C2" w:rsidP="002F02C2">
      <w:pPr>
        <w:pStyle w:val="Paragrafi"/>
        <w:rPr>
          <w:rFonts w:cs="Times New Roman"/>
          <w:spacing w:val="-4"/>
          <w:lang w:val="sq-AL"/>
        </w:rPr>
      </w:pPr>
      <w:r>
        <w:rPr>
          <w:rFonts w:cs="Times New Roman"/>
          <w:spacing w:val="-4"/>
          <w:lang w:val="sq-AL"/>
        </w:rPr>
        <w:t>2. Për të gjithë skenarët, në pajtim me nenin 3 në rastin e zonave ofertuese të lidhura me më shumë se një linjë të rrymës së vazhduar, në mënyrë që të përputhen me nenin 19(2) të Rregullores 2016/1719, respektivisht, OST-të përkatëse do të bien dakord mbi vlerat e qëndrueshme të flukseve të linjave me rrymë të vazhduar që do të përdoren në MIRR e çdo OST-je. Këto do të jenë, gjithashtu, vlerat që OST-të i vendosin në dispozicion të të gjithë OST-ve të tjerë.</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19</w:t>
      </w:r>
    </w:p>
    <w:p w:rsidR="002F02C2" w:rsidRDefault="002F02C2" w:rsidP="002F02C2">
      <w:pPr>
        <w:pStyle w:val="NeniNr"/>
        <w:rPr>
          <w:b/>
          <w:spacing w:val="-4"/>
          <w:lang w:val="sq-AL"/>
        </w:rPr>
      </w:pPr>
      <w:r>
        <w:rPr>
          <w:b/>
          <w:spacing w:val="-4"/>
          <w:lang w:val="sq-AL"/>
        </w:rPr>
        <w:t>Rregullimi i MPRR-së</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Për çdo skenar për llogaritjen e kapacitetit për periudhën një muaj në avancë dhe një vit në avancë në pajtim me nenin 3, çdo OST do të përgatisë dhe ndajë me të gjithë OST-ve të tjerë nëpërmjet platformës së informacionit të përmendur në nenin 21, në përputhje me përshkrimin e procesit MPRR përcaktuar në nenin 22 parashikimin e saj më të mirë të</w:t>
      </w:r>
    </w:p>
    <w:p w:rsidR="002F02C2" w:rsidRDefault="002F02C2" w:rsidP="002F02C2">
      <w:pPr>
        <w:pStyle w:val="Paragrafi"/>
        <w:rPr>
          <w:rFonts w:cs="Times New Roman"/>
          <w:spacing w:val="-4"/>
          <w:lang w:val="sq-AL"/>
        </w:rPr>
      </w:pPr>
      <w:r>
        <w:rPr>
          <w:rFonts w:cs="Times New Roman"/>
          <w:spacing w:val="-4"/>
          <w:lang w:val="sq-AL"/>
        </w:rPr>
        <w:t>a) Pozicionit neto për zonën e tij ofertuese, duke qenë ky pozicioni neto paraprak;</w:t>
      </w:r>
    </w:p>
    <w:p w:rsidR="002F02C2" w:rsidRDefault="002F02C2" w:rsidP="002F02C2">
      <w:pPr>
        <w:pStyle w:val="Paragrafi"/>
        <w:rPr>
          <w:rFonts w:cs="Times New Roman"/>
          <w:spacing w:val="-4"/>
          <w:lang w:val="sq-AL"/>
        </w:rPr>
      </w:pPr>
      <w:r>
        <w:rPr>
          <w:rFonts w:cs="Times New Roman"/>
          <w:spacing w:val="-4"/>
          <w:lang w:val="sq-AL"/>
        </w:rPr>
        <w:t>b) Fluksit për çdo linjë të rrymës së vazhduar në zonën e tij ofertuese, duke qenë ky flukset paraprake në çdo linjë të rrymës së vazhduar;</w:t>
      </w:r>
    </w:p>
    <w:p w:rsidR="002F02C2" w:rsidRDefault="002F02C2" w:rsidP="002F02C2">
      <w:pPr>
        <w:pStyle w:val="Paragrafi"/>
        <w:rPr>
          <w:rFonts w:cs="Times New Roman"/>
          <w:spacing w:val="-4"/>
          <w:lang w:val="sq-AL"/>
        </w:rPr>
      </w:pPr>
      <w:r>
        <w:rPr>
          <w:rFonts w:cs="Times New Roman"/>
          <w:spacing w:val="-4"/>
          <w:lang w:val="sq-AL"/>
        </w:rPr>
        <w:t>c) Çdo të dhënë tjetër që kërkohet nga algoritmi në pajtim me paragrafin 2.</w:t>
      </w:r>
    </w:p>
    <w:p w:rsidR="002F02C2" w:rsidRDefault="002F02C2" w:rsidP="002F02C2">
      <w:pPr>
        <w:pStyle w:val="Paragrafi"/>
        <w:rPr>
          <w:rFonts w:cs="Times New Roman"/>
          <w:spacing w:val="-4"/>
          <w:lang w:val="sq-AL"/>
        </w:rPr>
      </w:pPr>
      <w:r>
        <w:rPr>
          <w:rFonts w:cs="Times New Roman"/>
          <w:spacing w:val="-4"/>
          <w:lang w:val="sq-AL"/>
        </w:rPr>
        <w:t xml:space="preserve">2. Të gjithë OST-të bashkërisht do të përcaktojnë një algoritëm për secilin skenar dhe për të gjitha </w:t>
      </w:r>
      <w:r>
        <w:rPr>
          <w:spacing w:val="-4"/>
          <w:lang w:val="sq-AL"/>
        </w:rPr>
        <w:t xml:space="preserve">zonat </w:t>
      </w:r>
      <w:r>
        <w:rPr>
          <w:spacing w:val="-4"/>
          <w:lang w:val="sq-AL"/>
        </w:rPr>
        <w:lastRenderedPageBreak/>
        <w:t>ofertuese</w:t>
      </w:r>
      <w:r>
        <w:rPr>
          <w:rFonts w:cs="Times New Roman"/>
          <w:spacing w:val="-4"/>
          <w:lang w:val="sq-AL"/>
        </w:rPr>
        <w:t xml:space="preserve"> rregullimet e pozicioneve neto paraprake dhe flukset paraprake në çdo linjë të rrymës së vazhduar, në një mënyrë të tillë që pas përshtatjes nga algoritmi:</w:t>
      </w:r>
    </w:p>
    <w:p w:rsidR="002F02C2" w:rsidRDefault="002F02C2" w:rsidP="002F02C2">
      <w:pPr>
        <w:pStyle w:val="Paragrafi"/>
        <w:rPr>
          <w:rFonts w:cs="Times New Roman"/>
          <w:spacing w:val="-4"/>
          <w:lang w:val="sq-AL"/>
        </w:rPr>
      </w:pPr>
      <w:r>
        <w:rPr>
          <w:rFonts w:cs="Times New Roman"/>
          <w:spacing w:val="-4"/>
          <w:lang w:val="sq-AL"/>
        </w:rPr>
        <w:t>a) Shuma e pozicioneve neto të rregulluara për të gjitha zonat e ofertimit në zonën MPRR balancon pozicionin neto të synuar për zonën MPRR;</w:t>
      </w:r>
    </w:p>
    <w:p w:rsidR="002F02C2" w:rsidRDefault="002F02C2" w:rsidP="002F02C2">
      <w:pPr>
        <w:pStyle w:val="Paragrafi"/>
        <w:rPr>
          <w:rFonts w:cs="Times New Roman"/>
          <w:spacing w:val="-4"/>
          <w:lang w:val="sq-AL"/>
        </w:rPr>
      </w:pPr>
      <w:r>
        <w:rPr>
          <w:rFonts w:cs="Times New Roman"/>
          <w:spacing w:val="-4"/>
          <w:lang w:val="sq-AL"/>
        </w:rPr>
        <w:t>b) Për të gjitha zonat ofertuese të lidhura me të paktën një linjë të rrymës së vazhduar, shuma e flukseve në të gjitha linjat e rrymës së vazhduar është reciprokisht në përputhje për të dyja zonat ofertuese në fjalë.</w:t>
      </w:r>
    </w:p>
    <w:p w:rsidR="002F02C2" w:rsidRDefault="002F02C2" w:rsidP="002F02C2">
      <w:pPr>
        <w:pStyle w:val="Paragrafi"/>
        <w:rPr>
          <w:rFonts w:cs="Times New Roman"/>
          <w:spacing w:val="-4"/>
          <w:lang w:val="sq-AL"/>
        </w:rPr>
      </w:pPr>
      <w:r>
        <w:rPr>
          <w:rFonts w:cs="Times New Roman"/>
          <w:spacing w:val="-4"/>
          <w:lang w:val="sq-AL"/>
        </w:rPr>
        <w:t xml:space="preserve">3. Algoritmi duhet të ketë veçoritë ose karakteristikat e mëposhtme për të siguruar që, në përputhje me nenin 19(2) të Rregullores 2016/1719 nuk ka diskriminim të panevojshëm në shkëmbimet e brendshme dhe atyre ndërzonale: </w:t>
      </w:r>
    </w:p>
    <w:p w:rsidR="002F02C2" w:rsidRDefault="002F02C2" w:rsidP="002F02C2">
      <w:pPr>
        <w:pStyle w:val="Paragrafi"/>
        <w:rPr>
          <w:rFonts w:cs="Times New Roman"/>
          <w:spacing w:val="-4"/>
          <w:lang w:val="sq-AL"/>
        </w:rPr>
      </w:pPr>
      <w:r>
        <w:rPr>
          <w:rFonts w:cs="Times New Roman"/>
          <w:spacing w:val="-4"/>
          <w:lang w:val="sq-AL"/>
        </w:rPr>
        <w:t>a) Rregullimet e pozicioneve paraprake neto dhe flukset paraprake në çdo linjë të rrymës së vazhduar do të përdoren në të gjitha zonat ofertese dhe asnjë zonë ofertuese nuk do të përfitojë nga trajtimi preferencial apo statusi i privilegjuar në lidhje me funksionimin e algoritmit;</w:t>
      </w:r>
    </w:p>
    <w:p w:rsidR="002F02C2" w:rsidRDefault="002F02C2" w:rsidP="002F02C2">
      <w:pPr>
        <w:pStyle w:val="Paragrafi"/>
        <w:rPr>
          <w:rFonts w:cs="Times New Roman"/>
          <w:spacing w:val="-4"/>
          <w:lang w:val="sq-AL"/>
        </w:rPr>
      </w:pPr>
      <w:r>
        <w:rPr>
          <w:rFonts w:cs="Times New Roman"/>
          <w:spacing w:val="-4"/>
          <w:lang w:val="sq-AL"/>
        </w:rPr>
        <w:t>b) Gjatë përcaktimit të rregullimeve të nevojshme, në funksionin e tij objektiv algoritmi do t’i japë peshën e duhur:</w:t>
      </w:r>
    </w:p>
    <w:p w:rsidR="002F02C2" w:rsidRDefault="002F02C2" w:rsidP="002F02C2">
      <w:pPr>
        <w:pStyle w:val="Paragrafi"/>
        <w:rPr>
          <w:rFonts w:cs="Times New Roman"/>
          <w:spacing w:val="-4"/>
          <w:lang w:val="sq-AL"/>
        </w:rPr>
      </w:pPr>
      <w:r>
        <w:rPr>
          <w:rFonts w:cs="Times New Roman"/>
          <w:spacing w:val="-4"/>
          <w:lang w:val="sq-AL"/>
        </w:rPr>
        <w:t>i. shkallës së rregullimeve të nevojshme për çdo pozicion neto paraprak dhe flukseve paraprake në çdo linjë të rrymës së vazhduar, që duhen minimizuar;</w:t>
      </w:r>
    </w:p>
    <w:p w:rsidR="002F02C2" w:rsidRDefault="002F02C2" w:rsidP="002F02C2">
      <w:pPr>
        <w:pStyle w:val="Paragrafi"/>
        <w:rPr>
          <w:rFonts w:cs="Times New Roman"/>
          <w:spacing w:val="-4"/>
          <w:lang w:val="sq-AL"/>
        </w:rPr>
      </w:pPr>
      <w:r>
        <w:rPr>
          <w:rFonts w:cs="Times New Roman"/>
          <w:spacing w:val="-4"/>
          <w:lang w:val="sq-AL"/>
        </w:rPr>
        <w:t xml:space="preserve">ii. aftësisë së një </w:t>
      </w:r>
      <w:r>
        <w:rPr>
          <w:spacing w:val="-4"/>
          <w:lang w:val="sq-AL"/>
        </w:rPr>
        <w:t>zone ofertuese</w:t>
      </w:r>
      <w:r>
        <w:rPr>
          <w:rFonts w:cs="Times New Roman"/>
          <w:spacing w:val="-4"/>
          <w:lang w:val="sq-AL"/>
        </w:rPr>
        <w:t xml:space="preserve"> për të rregulluar pozicionin neto paraprak dhe flukset paraprake në çdo linjë të rrymës së vazhduar, bazuar në kritere objektive dhe transparente; </w:t>
      </w:r>
    </w:p>
    <w:p w:rsidR="002F02C2" w:rsidRDefault="002F02C2" w:rsidP="002F02C2">
      <w:pPr>
        <w:pStyle w:val="Paragrafi"/>
        <w:rPr>
          <w:rFonts w:cs="Times New Roman"/>
          <w:spacing w:val="-4"/>
          <w:lang w:val="sq-AL"/>
        </w:rPr>
      </w:pPr>
      <w:r>
        <w:rPr>
          <w:rFonts w:cs="Times New Roman"/>
          <w:spacing w:val="-4"/>
          <w:lang w:val="sq-AL"/>
        </w:rPr>
        <w:t>c) Algoritmi duhet të përcaktojë kriteret objektive dhe transparente dhe kriteret e cilësisë së të dhënave që duhet të përmbushë çdo OST;</w:t>
      </w:r>
    </w:p>
    <w:p w:rsidR="002F02C2" w:rsidRDefault="002F02C2" w:rsidP="002F02C2">
      <w:pPr>
        <w:pStyle w:val="Paragrafi"/>
        <w:rPr>
          <w:rFonts w:cs="Times New Roman"/>
          <w:spacing w:val="-4"/>
          <w:lang w:val="sq-AL"/>
        </w:rPr>
      </w:pPr>
      <w:r>
        <w:rPr>
          <w:rFonts w:cs="Times New Roman"/>
          <w:spacing w:val="-4"/>
          <w:lang w:val="sq-AL"/>
        </w:rPr>
        <w:t>d) Algoritmi duhet të jetë i aftë mjaftueshëm për të siguruar rezultatet sipas paragrafit 2, në të gjitha rrethanat nëpërmjet të dhënave që i janë ofruar.</w:t>
      </w:r>
    </w:p>
    <w:p w:rsidR="002F02C2" w:rsidRDefault="002F02C2" w:rsidP="002F02C2">
      <w:pPr>
        <w:pStyle w:val="Paragrafi"/>
        <w:rPr>
          <w:rFonts w:cs="Times New Roman"/>
          <w:spacing w:val="-4"/>
          <w:lang w:val="sq-AL"/>
        </w:rPr>
      </w:pPr>
      <w:r>
        <w:rPr>
          <w:rFonts w:cs="Times New Roman"/>
          <w:spacing w:val="-4"/>
          <w:lang w:val="sq-AL"/>
        </w:rPr>
        <w:t>4. OST-të do të bien dakord mbi procedurat për:</w:t>
      </w:r>
    </w:p>
    <w:p w:rsidR="002F02C2" w:rsidRDefault="002F02C2" w:rsidP="002F02C2">
      <w:pPr>
        <w:pStyle w:val="Paragrafi"/>
        <w:rPr>
          <w:rFonts w:cs="Times New Roman"/>
          <w:spacing w:val="-4"/>
          <w:lang w:val="sq-AL"/>
        </w:rPr>
      </w:pPr>
      <w:r>
        <w:rPr>
          <w:rFonts w:cs="Times New Roman"/>
          <w:spacing w:val="-4"/>
          <w:lang w:val="sq-AL"/>
        </w:rPr>
        <w:t>a) Të zvogëluar vlerën absolute të shumës së pozicioneve neto paraprake për të gjitha zonat e ofertimit në zonën MPRR; dhe</w:t>
      </w:r>
    </w:p>
    <w:p w:rsidR="002F02C2" w:rsidRDefault="002F02C2" w:rsidP="002F02C2">
      <w:pPr>
        <w:pStyle w:val="Paragrafi"/>
        <w:rPr>
          <w:rFonts w:cs="Times New Roman"/>
          <w:spacing w:val="-4"/>
          <w:lang w:val="sq-AL"/>
        </w:rPr>
      </w:pPr>
      <w:r>
        <w:rPr>
          <w:rFonts w:cs="Times New Roman"/>
          <w:spacing w:val="-4"/>
          <w:lang w:val="sq-AL"/>
        </w:rPr>
        <w:t>b) Të ofruar të dhëna të përditësuara nëse është e nevojshme; dhe</w:t>
      </w:r>
    </w:p>
    <w:p w:rsidR="002F02C2" w:rsidRDefault="002F02C2" w:rsidP="002F02C2">
      <w:pPr>
        <w:pStyle w:val="Paragrafi"/>
        <w:rPr>
          <w:rFonts w:cs="Times New Roman"/>
          <w:spacing w:val="-4"/>
          <w:lang w:val="sq-AL"/>
        </w:rPr>
      </w:pPr>
      <w:r>
        <w:rPr>
          <w:rFonts w:cs="Times New Roman"/>
          <w:spacing w:val="-4"/>
          <w:lang w:val="sq-AL"/>
        </w:rPr>
        <w:t>c) Të marrë parasysh kapacitetet rezervë dhe limitet e qëndrueshmërisë në qoftë se është e nevojshme për përditësimin e të dhënave.</w:t>
      </w:r>
    </w:p>
    <w:p w:rsidR="002F02C2" w:rsidRDefault="002F02C2" w:rsidP="002F02C2">
      <w:pPr>
        <w:pStyle w:val="Paragrafi"/>
        <w:rPr>
          <w:rFonts w:cs="Times New Roman"/>
          <w:spacing w:val="-4"/>
          <w:lang w:val="sq-AL"/>
        </w:rPr>
      </w:pPr>
      <w:r>
        <w:rPr>
          <w:rFonts w:cs="Times New Roman"/>
          <w:spacing w:val="-4"/>
          <w:lang w:val="sq-AL"/>
        </w:rPr>
        <w:t>5. OST-të do të shqyrtojnë rregullisht dhe nëse është e nevojshme, përmirësojnë algoritmin.</w:t>
      </w:r>
    </w:p>
    <w:p w:rsidR="002F02C2" w:rsidRDefault="002F02C2" w:rsidP="002F02C2">
      <w:pPr>
        <w:pStyle w:val="Paragrafi"/>
        <w:rPr>
          <w:rFonts w:cs="Times New Roman"/>
          <w:spacing w:val="-4"/>
          <w:lang w:val="sq-AL"/>
        </w:rPr>
      </w:pPr>
      <w:r>
        <w:rPr>
          <w:rFonts w:cs="Times New Roman"/>
          <w:spacing w:val="-4"/>
          <w:lang w:val="sq-AL"/>
        </w:rPr>
        <w:t>6. OST-të duhet të publikojnë algoritmin si pjesë e të dhënave që do të ofrohen në përputhje me nenin 26(3) të Rregullores 2016/1719. Nëse algoritmi është modifikuar gjatë periudhës raportuese, OST-të do të deklarojnë në mënyrë të qartë se cili algoritëm ishte në përdorim, gjatë cilës periudhë dhe arsyet e modifikimit të tij.</w:t>
      </w:r>
    </w:p>
    <w:p w:rsidR="002F02C2" w:rsidRDefault="002F02C2" w:rsidP="002F02C2">
      <w:pPr>
        <w:pStyle w:val="Paragrafi"/>
        <w:rPr>
          <w:rFonts w:cs="Times New Roman"/>
          <w:spacing w:val="-4"/>
          <w:lang w:val="sq-AL"/>
        </w:rPr>
      </w:pPr>
      <w:r>
        <w:rPr>
          <w:rFonts w:cs="Times New Roman"/>
          <w:spacing w:val="-4"/>
          <w:lang w:val="sq-AL"/>
        </w:rPr>
        <w:t>7. Të gjithë OST-të bashkërisht do të sigurojnë që algoritmi është i arritshëm për të gjitha palët përkatëse nëpërmjet platformës së informacioni përmendur në nenin 21.</w:t>
      </w:r>
    </w:p>
    <w:p w:rsidR="002F02C2" w:rsidRDefault="002F02C2" w:rsidP="002F02C2">
      <w:pPr>
        <w:pStyle w:val="Paragrafi"/>
        <w:rPr>
          <w:rFonts w:cs="Times New Roman"/>
          <w:spacing w:val="-4"/>
          <w:lang w:val="sq-AL"/>
        </w:rPr>
      </w:pPr>
      <w:r>
        <w:rPr>
          <w:rFonts w:cs="Times New Roman"/>
          <w:spacing w:val="-4"/>
          <w:lang w:val="sq-AL"/>
        </w:rPr>
        <w:t>8. Në përputhje me nenin 62 të Rregullores 2016/1719, çdo OST do të caktojë një operator rregullues i cili do të kryejë, në emër të OST-së, detyrat e mëposhtme, në përputhje me procesin e përshkruar në nenin 22:</w:t>
      </w:r>
    </w:p>
    <w:p w:rsidR="002F02C2" w:rsidRDefault="002F02C2" w:rsidP="002F02C2">
      <w:pPr>
        <w:pStyle w:val="Paragrafi"/>
        <w:rPr>
          <w:rFonts w:cs="Times New Roman"/>
          <w:spacing w:val="-4"/>
          <w:lang w:val="sq-AL"/>
        </w:rPr>
      </w:pPr>
      <w:r>
        <w:rPr>
          <w:rFonts w:cs="Times New Roman"/>
          <w:spacing w:val="-4"/>
          <w:lang w:val="sq-AL"/>
        </w:rPr>
        <w:t>a) Të kontrollojë plotësinë dhe cilësinë e të dhënave të dhëna sipas paragrafit 1 dhe nëse është e nevojshme, të zëvendësojë të dhënat e munguara ose ato me cilësi të pamjaftueshme me të dhëna zëvendësuese;</w:t>
      </w:r>
    </w:p>
    <w:p w:rsidR="002F02C2" w:rsidRDefault="002F02C2" w:rsidP="002F02C2">
      <w:pPr>
        <w:pStyle w:val="Paragrafi"/>
        <w:rPr>
          <w:rFonts w:cs="Times New Roman"/>
          <w:spacing w:val="-4"/>
          <w:lang w:val="sq-AL"/>
        </w:rPr>
      </w:pPr>
      <w:r>
        <w:rPr>
          <w:rFonts w:cs="Times New Roman"/>
          <w:spacing w:val="-4"/>
          <w:lang w:val="sq-AL"/>
        </w:rPr>
        <w:t>b) Të aplikojë algoritmin në mënyrë që të llogarisë për çdo skenar dhe zonë ofertuese pozicionet neto të rregulluara dhe flukset e rregulluara në të gjitha linjat e rrymës së vazhduar që plotësojnë kriteret e përcaktuara në paragrafin 2 dhe ua vë këto në dispozicion të gjithë OST-të nëpërmjet platformës së informacionit të përmendur në nenin 21;</w:t>
      </w:r>
    </w:p>
    <w:p w:rsidR="002F02C2" w:rsidRDefault="002F02C2" w:rsidP="002F02C2">
      <w:pPr>
        <w:pStyle w:val="Paragrafi"/>
        <w:rPr>
          <w:rFonts w:cs="Times New Roman"/>
          <w:spacing w:val="-4"/>
          <w:lang w:val="sq-AL"/>
        </w:rPr>
      </w:pPr>
      <w:r>
        <w:rPr>
          <w:rFonts w:cs="Times New Roman"/>
          <w:spacing w:val="-4"/>
          <w:lang w:val="sq-AL"/>
        </w:rPr>
        <w:t xml:space="preserve"> c) Të sigurojë që rezultatet e arritura janë në përputhje me ato të marra nga të gjithë operatorët rregullues (nëse ka).</w:t>
      </w:r>
    </w:p>
    <w:p w:rsidR="002F02C2" w:rsidRDefault="002F02C2" w:rsidP="002F02C2">
      <w:pPr>
        <w:pStyle w:val="Paragrafi"/>
        <w:rPr>
          <w:rFonts w:cs="Times New Roman"/>
          <w:spacing w:val="-4"/>
          <w:lang w:val="sq-AL"/>
        </w:rPr>
      </w:pPr>
      <w:r>
        <w:rPr>
          <w:rFonts w:cs="Times New Roman"/>
          <w:spacing w:val="-4"/>
          <w:lang w:val="sq-AL"/>
        </w:rPr>
        <w:t xml:space="preserve">9. Në përputhje me nenin 4(3)(f), çdo OST do të sigurojë që MIRR-ja e tij është në përputhje me </w:t>
      </w:r>
      <w:r>
        <w:rPr>
          <w:rFonts w:cs="Times New Roman"/>
          <w:spacing w:val="-4"/>
          <w:lang w:val="sq-AL"/>
        </w:rPr>
        <w:lastRenderedPageBreak/>
        <w:t>pozicionin neto të rregulluar dhe flukset e rregulluara në linjat e rrymës së vazhduar të ofruara nga operatori rregullues.</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20</w:t>
      </w:r>
    </w:p>
    <w:p w:rsidR="002F02C2" w:rsidRDefault="002F02C2" w:rsidP="002F02C2">
      <w:pPr>
        <w:pStyle w:val="NeniNr"/>
        <w:rPr>
          <w:b/>
          <w:spacing w:val="-4"/>
          <w:lang w:val="sq-AL"/>
        </w:rPr>
      </w:pPr>
      <w:r>
        <w:rPr>
          <w:b/>
          <w:spacing w:val="-4"/>
          <w:lang w:val="sq-AL"/>
        </w:rPr>
        <w:t>Modeli i përbashkët i rrjetit</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Në përputhje me nenin 62 të Rregullores 2016/1719 dhe në bazë të nenit 21(3) të Rregullores 2016/1719 çdo OST do të caktojë një agjent bashkimi i cili do të kryejë, në emër të OST-së, detyrat e mëposhtme sipas procesit të përshkruar në nenin 22:</w:t>
      </w:r>
    </w:p>
    <w:p w:rsidR="002F02C2" w:rsidRDefault="002F02C2" w:rsidP="002F02C2">
      <w:pPr>
        <w:pStyle w:val="Paragrafi"/>
        <w:rPr>
          <w:rFonts w:cs="Times New Roman"/>
          <w:spacing w:val="-4"/>
          <w:lang w:val="sq-AL"/>
        </w:rPr>
      </w:pPr>
      <w:r>
        <w:rPr>
          <w:rFonts w:cs="Times New Roman"/>
          <w:spacing w:val="-4"/>
          <w:lang w:val="sq-AL"/>
        </w:rPr>
        <w:t xml:space="preserve">a) Kontrollon </w:t>
      </w:r>
      <w:r>
        <w:rPr>
          <w:rFonts w:cs="Times New Roman"/>
          <w:spacing w:val="-4"/>
          <w:shd w:val="clear" w:color="auto" w:fill="FFFFFF"/>
          <w:lang w:val="sq-AL"/>
        </w:rPr>
        <w:t>përputhje</w:t>
      </w:r>
      <w:r>
        <w:rPr>
          <w:rFonts w:cs="Times New Roman"/>
          <w:spacing w:val="-4"/>
          <w:lang w:val="sq-AL"/>
        </w:rPr>
        <w:t>n e MIRR-ve të ofruara nga OST-ja kundrejt kritereve të cilësisë të përcaktuara në pajtim me nenin 23;</w:t>
      </w:r>
    </w:p>
    <w:p w:rsidR="002F02C2" w:rsidRDefault="002F02C2" w:rsidP="002F02C2">
      <w:pPr>
        <w:pStyle w:val="Paragrafi"/>
        <w:rPr>
          <w:rFonts w:cs="Times New Roman"/>
          <w:spacing w:val="-4"/>
          <w:lang w:val="sq-AL"/>
        </w:rPr>
      </w:pPr>
      <w:r>
        <w:rPr>
          <w:rFonts w:cs="Times New Roman"/>
          <w:spacing w:val="-4"/>
          <w:lang w:val="sq-AL"/>
        </w:rPr>
        <w:t>b) Në qoftë se një MIRR nuk ka cilësinë e përmendur në “a” ose krijohet një MIRR i ri cilësor nga OST-ja përgjegjëse ose zëvendësohet me një MIRR alternativë, në përputhje me rregullat e zëvendësimit të përmendura në paragrafin 4 dhe vihet në dispozicion nëpërmjet platformës së informacionit të përmendur në nenin 21;</w:t>
      </w:r>
    </w:p>
    <w:p w:rsidR="002F02C2" w:rsidRDefault="002F02C2" w:rsidP="002F02C2">
      <w:pPr>
        <w:pStyle w:val="Paragrafi"/>
        <w:rPr>
          <w:rFonts w:cs="Times New Roman"/>
          <w:spacing w:val="-4"/>
          <w:lang w:val="sq-AL"/>
        </w:rPr>
      </w:pPr>
      <w:r>
        <w:rPr>
          <w:rFonts w:cs="Times New Roman"/>
          <w:spacing w:val="-4"/>
          <w:lang w:val="sq-AL"/>
        </w:rPr>
        <w:t>c) Zbaton kërkesat sipas paragrafit 2, në mënyrë që të bashkojë të gjithë MIRR-ve në një MPRR në pajtim me nenin 22 të Rregullores 2016/1719 dhe bën MPRR-në më të disponueshëm për të gjithë OST-të nëpërmjet platformës së informacionit të përmendur në nenin 21;</w:t>
      </w:r>
    </w:p>
    <w:p w:rsidR="002F02C2" w:rsidRDefault="002F02C2" w:rsidP="002F02C2">
      <w:pPr>
        <w:pStyle w:val="Paragrafi"/>
        <w:rPr>
          <w:rFonts w:cs="Times New Roman"/>
          <w:spacing w:val="-4"/>
          <w:lang w:val="sq-AL"/>
        </w:rPr>
      </w:pPr>
      <w:r>
        <w:rPr>
          <w:rFonts w:cs="Times New Roman"/>
          <w:spacing w:val="-4"/>
          <w:lang w:val="sq-AL"/>
        </w:rPr>
        <w:t>d) Siguron që çdo MPRR i krijuar është në përputhje me ata të marrë nga gjithë agjentët e bashkimit (nëse ka);</w:t>
      </w:r>
    </w:p>
    <w:p w:rsidR="002F02C2" w:rsidRDefault="002F02C2" w:rsidP="002F02C2">
      <w:pPr>
        <w:pStyle w:val="Paragrafi"/>
        <w:rPr>
          <w:rFonts w:cs="Times New Roman"/>
          <w:spacing w:val="-4"/>
          <w:lang w:val="sq-AL"/>
        </w:rPr>
      </w:pPr>
      <w:r>
        <w:rPr>
          <w:rFonts w:cs="Times New Roman"/>
          <w:spacing w:val="-4"/>
          <w:lang w:val="sq-AL"/>
        </w:rPr>
        <w:t>e) Identifikon cenimet e limiteve të sigurisë operative në MPRR;</w:t>
      </w:r>
    </w:p>
    <w:p w:rsidR="002F02C2" w:rsidRDefault="002F02C2" w:rsidP="002F02C2">
      <w:pPr>
        <w:pStyle w:val="Paragrafi"/>
        <w:rPr>
          <w:rFonts w:cs="Times New Roman"/>
          <w:spacing w:val="-4"/>
          <w:lang w:val="sq-AL"/>
        </w:rPr>
      </w:pPr>
      <w:r>
        <w:rPr>
          <w:rFonts w:cs="Times New Roman"/>
          <w:spacing w:val="-4"/>
          <w:lang w:val="sq-AL"/>
        </w:rPr>
        <w:t>f) Merr nga OST-të MIRR-të përkatëse të përditësuara nën dritën masave e dakordësuara, nëse ka dhe përsërit hapat nga “a” deri “e”, siç kërkohet;</w:t>
      </w:r>
    </w:p>
    <w:p w:rsidR="002F02C2" w:rsidRDefault="002F02C2" w:rsidP="002F02C2">
      <w:pPr>
        <w:pStyle w:val="Paragrafi"/>
        <w:rPr>
          <w:rFonts w:cs="Times New Roman"/>
          <w:spacing w:val="-4"/>
          <w:lang w:val="sq-AL"/>
        </w:rPr>
      </w:pPr>
      <w:r>
        <w:rPr>
          <w:rFonts w:cs="Times New Roman"/>
          <w:spacing w:val="-4"/>
          <w:lang w:val="sq-AL"/>
        </w:rPr>
        <w:t>g) Nëse është e aplikueshme vlerëson MPRR-në dhe e vë atë në dispozicion nëpërmjet platformës së informacionin të përmendur në nenin 21.</w:t>
      </w:r>
    </w:p>
    <w:p w:rsidR="002F02C2" w:rsidRDefault="002F02C2" w:rsidP="002F02C2">
      <w:pPr>
        <w:pStyle w:val="Paragrafi"/>
        <w:rPr>
          <w:rFonts w:cs="Times New Roman"/>
          <w:spacing w:val="-4"/>
          <w:lang w:val="sq-AL"/>
        </w:rPr>
      </w:pPr>
      <w:r>
        <w:rPr>
          <w:rFonts w:cs="Times New Roman"/>
          <w:spacing w:val="-4"/>
          <w:lang w:val="sq-AL"/>
        </w:rPr>
        <w:t>2. Të gjithë OST-të do të përcaktojnë bashkërisht kërkesat e zbatueshme për agjentët e bashkimit dhe procesit të bashkimit në përputhje me nenin 24.</w:t>
      </w:r>
    </w:p>
    <w:p w:rsidR="002F02C2" w:rsidRDefault="002F02C2" w:rsidP="002F02C2">
      <w:pPr>
        <w:pStyle w:val="Paragrafi"/>
        <w:rPr>
          <w:rFonts w:cs="Times New Roman"/>
          <w:spacing w:val="-4"/>
          <w:lang w:val="sq-AL"/>
        </w:rPr>
      </w:pPr>
      <w:r>
        <w:rPr>
          <w:rFonts w:cs="Times New Roman"/>
          <w:spacing w:val="-4"/>
          <w:lang w:val="sq-AL"/>
        </w:rPr>
        <w:t>3. Çdo agjent bashkimi duhet të plotësojë kërkesat e përmendura në paragrafin 2 dhe do të zbatojë kërkesat e aplikueshme për procesin e bashkimit të përmendur në paragrafin 2.</w:t>
      </w:r>
    </w:p>
    <w:p w:rsidR="002F02C2" w:rsidRDefault="002F02C2" w:rsidP="002F02C2">
      <w:pPr>
        <w:pStyle w:val="Paragrafi"/>
        <w:rPr>
          <w:rFonts w:cs="Times New Roman"/>
          <w:spacing w:val="-4"/>
          <w:lang w:val="sq-AL"/>
        </w:rPr>
      </w:pPr>
      <w:r>
        <w:rPr>
          <w:rFonts w:cs="Times New Roman"/>
          <w:spacing w:val="-4"/>
          <w:lang w:val="sq-AL"/>
        </w:rPr>
        <w:t>4. Të gjithë OST-të do të përcaktojnë bashkërisht rregullat e zëvendësimit të aplikueshme në MIRR që nuk plotësojnë kriteret e cilësisë të përcaktuara në nenin 23.</w:t>
      </w:r>
    </w:p>
    <w:p w:rsidR="002F02C2" w:rsidRDefault="002F02C2" w:rsidP="002F02C2">
      <w:pPr>
        <w:pStyle w:val="Paragrafi"/>
        <w:rPr>
          <w:rFonts w:cs="Times New Roman"/>
          <w:spacing w:val="-4"/>
          <w:lang w:val="sq-AL"/>
        </w:rPr>
      </w:pPr>
      <w:r>
        <w:rPr>
          <w:rFonts w:cs="Times New Roman"/>
          <w:spacing w:val="-4"/>
          <w:lang w:val="sq-AL"/>
        </w:rPr>
        <w:t>5. Çdo OST do të sigurojë të dhënat e kërkuara nga rregullat e zëvendësimit të përmendura në paragrafin 4 nëpërmjet platformës së informacioni i përmendur në nenin 21.</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21</w:t>
      </w:r>
    </w:p>
    <w:p w:rsidR="002F02C2" w:rsidRDefault="002F02C2" w:rsidP="002F02C2">
      <w:pPr>
        <w:pStyle w:val="NeniNr"/>
        <w:rPr>
          <w:b/>
          <w:spacing w:val="-4"/>
          <w:lang w:val="sq-AL"/>
        </w:rPr>
      </w:pPr>
      <w:r>
        <w:rPr>
          <w:b/>
          <w:spacing w:val="-4"/>
          <w:lang w:val="sq-AL"/>
        </w:rPr>
        <w:t xml:space="preserve">Platforma e informacionit </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Të gjithë OST-të do të delegojnë detyrën e implementimit dhe administrimit të një platforme të përbashkët të informacionit që siguron të paktën shërbimet e përshkruara në paragrafin 2, në përputhje me nenin 62 të Rregullores 2016/1719.</w:t>
      </w:r>
    </w:p>
    <w:p w:rsidR="002F02C2" w:rsidRDefault="002F02C2" w:rsidP="002F02C2">
      <w:pPr>
        <w:pStyle w:val="Paragrafi"/>
        <w:rPr>
          <w:rFonts w:cs="Times New Roman"/>
          <w:spacing w:val="-4"/>
          <w:lang w:val="sq-AL"/>
        </w:rPr>
      </w:pPr>
      <w:r>
        <w:rPr>
          <w:rFonts w:cs="Times New Roman"/>
          <w:spacing w:val="-4"/>
          <w:lang w:val="sq-AL"/>
        </w:rPr>
        <w:t>2. Platforma e informacionit duhet që minimalisht të mundësojë procesin MPRR në mënyrat e mëposhtme dhe duhet ketë të gjitha karakteristikat e nevojshme për këtë qëllim:</w:t>
      </w:r>
    </w:p>
    <w:p w:rsidR="002F02C2" w:rsidRDefault="002F02C2" w:rsidP="002F02C2">
      <w:pPr>
        <w:pStyle w:val="Paragrafi"/>
        <w:rPr>
          <w:rFonts w:cs="Times New Roman"/>
          <w:spacing w:val="-4"/>
          <w:lang w:val="sq-AL"/>
        </w:rPr>
      </w:pPr>
      <w:r>
        <w:rPr>
          <w:rFonts w:cs="Times New Roman"/>
          <w:spacing w:val="-4"/>
          <w:lang w:val="sq-AL"/>
        </w:rPr>
        <w:t>a) Çdo OST do të jetë në gjendje të përdorë platformën e informacionit, për të shkëmbyer me gjithë OST-të e tjerë, në bazë të procesit të MPRR-së të përshkruar në nenin 22 parashikimin e tij më të mirë të</w:t>
      </w:r>
    </w:p>
    <w:p w:rsidR="002F02C2" w:rsidRDefault="002F02C2" w:rsidP="002F02C2">
      <w:pPr>
        <w:pStyle w:val="Paragrafi"/>
        <w:rPr>
          <w:rFonts w:cs="Times New Roman"/>
          <w:spacing w:val="-4"/>
          <w:lang w:val="sq-AL"/>
        </w:rPr>
      </w:pPr>
      <w:r>
        <w:rPr>
          <w:rFonts w:cs="Times New Roman"/>
          <w:spacing w:val="-4"/>
          <w:lang w:val="sq-AL"/>
        </w:rPr>
        <w:t>i. pozicionit neto për zonën e tij ofertuese, përfshirë pozicionin neto paraprak;</w:t>
      </w:r>
    </w:p>
    <w:p w:rsidR="002F02C2" w:rsidRDefault="002F02C2" w:rsidP="002F02C2">
      <w:pPr>
        <w:pStyle w:val="Paragrafi"/>
        <w:rPr>
          <w:rFonts w:cs="Times New Roman"/>
          <w:spacing w:val="-4"/>
          <w:lang w:val="sq-AL"/>
        </w:rPr>
      </w:pPr>
      <w:r>
        <w:rPr>
          <w:rFonts w:cs="Times New Roman"/>
          <w:spacing w:val="-4"/>
          <w:lang w:val="sq-AL"/>
        </w:rPr>
        <w:t>ii. flukset në çdo linjë me rrymë të vazhduar të lidhura në zonën e tij të ofertimit, duke përfshirë flukset paraprake në linjat me rrymë të vazhduar;</w:t>
      </w:r>
    </w:p>
    <w:p w:rsidR="002F02C2" w:rsidRDefault="002F02C2" w:rsidP="002F02C2">
      <w:pPr>
        <w:pStyle w:val="Paragrafi"/>
        <w:rPr>
          <w:rFonts w:cs="Times New Roman"/>
          <w:spacing w:val="-4"/>
          <w:lang w:val="sq-AL"/>
        </w:rPr>
      </w:pPr>
      <w:r>
        <w:rPr>
          <w:rFonts w:cs="Times New Roman"/>
          <w:spacing w:val="-4"/>
          <w:lang w:val="sq-AL"/>
        </w:rPr>
        <w:t>iii. çdo të dhënë tjetër që kërkohet nga algoritmi i përcaktuar në nenin 19 (2);</w:t>
      </w:r>
    </w:p>
    <w:p w:rsidR="002F02C2" w:rsidRDefault="002F02C2" w:rsidP="002F02C2">
      <w:pPr>
        <w:pStyle w:val="Paragrafi"/>
        <w:rPr>
          <w:rFonts w:cs="Times New Roman"/>
          <w:spacing w:val="-4"/>
          <w:lang w:val="sq-AL"/>
        </w:rPr>
      </w:pPr>
      <w:r>
        <w:rPr>
          <w:rFonts w:cs="Times New Roman"/>
          <w:spacing w:val="-4"/>
          <w:lang w:val="sq-AL"/>
        </w:rPr>
        <w:t>b) Algoritmi, në pajtim me nenin 19 (2), do të jetë i arritshëm nëpërmjet platformës së informacionit;</w:t>
      </w:r>
    </w:p>
    <w:p w:rsidR="002F02C2" w:rsidRDefault="002F02C2" w:rsidP="002F02C2">
      <w:pPr>
        <w:pStyle w:val="Paragrafi"/>
        <w:rPr>
          <w:rFonts w:cs="Times New Roman"/>
          <w:spacing w:val="-4"/>
          <w:lang w:val="sq-AL"/>
        </w:rPr>
      </w:pPr>
      <w:r>
        <w:rPr>
          <w:rFonts w:cs="Times New Roman"/>
          <w:spacing w:val="-4"/>
          <w:lang w:val="sq-AL"/>
        </w:rPr>
        <w:lastRenderedPageBreak/>
        <w:t xml:space="preserve">c) Operatori/ët rregullues duhet të jetë në gjendje të bëjë të disponueshëm nëpërmjet platformës së informacionit për të gjithë OST-të, pozicionet neto të rregulluara dhe flukset e rregulluara në linjat e rrymës së vazhduar që plotësojnë kushtet e përcaktuara në nenin 19(2); </w:t>
      </w:r>
    </w:p>
    <w:p w:rsidR="002F02C2" w:rsidRDefault="002F02C2" w:rsidP="002F02C2">
      <w:pPr>
        <w:pStyle w:val="Paragrafi"/>
        <w:rPr>
          <w:rFonts w:cs="Times New Roman"/>
          <w:spacing w:val="-4"/>
          <w:lang w:val="sq-AL"/>
        </w:rPr>
      </w:pPr>
      <w:r>
        <w:rPr>
          <w:rFonts w:cs="Times New Roman"/>
          <w:spacing w:val="-4"/>
          <w:lang w:val="sq-AL"/>
        </w:rPr>
        <w:t>d) Çdo OST do të jetë në gjendje të bëje të disponueshëm nëpërmjet platformës së informacionit, për të gjithë OST-të informacionin shoqërues të specifikuar në nenin 17;</w:t>
      </w:r>
    </w:p>
    <w:p w:rsidR="002F02C2" w:rsidRDefault="002F02C2" w:rsidP="002F02C2">
      <w:pPr>
        <w:pStyle w:val="Paragrafi"/>
        <w:rPr>
          <w:rFonts w:cs="Times New Roman"/>
          <w:spacing w:val="-4"/>
          <w:lang w:val="sq-AL"/>
        </w:rPr>
      </w:pPr>
      <w:r>
        <w:rPr>
          <w:rFonts w:cs="Times New Roman"/>
          <w:spacing w:val="-4"/>
          <w:lang w:val="sq-AL"/>
        </w:rPr>
        <w:t>e) Çdo OST do të jetë në gjendje të bëjë të disponueshëm nëpërmjet platformës së informacionit, për të gjithë OST-të informacionin, të gjitha MIRR-të e tij;</w:t>
      </w:r>
    </w:p>
    <w:p w:rsidR="002F02C2" w:rsidRDefault="002F02C2" w:rsidP="002F02C2">
      <w:pPr>
        <w:pStyle w:val="Paragrafi"/>
        <w:rPr>
          <w:rFonts w:cs="Times New Roman"/>
          <w:spacing w:val="-4"/>
          <w:lang w:val="sq-AL"/>
        </w:rPr>
      </w:pPr>
      <w:r>
        <w:rPr>
          <w:rFonts w:cs="Times New Roman"/>
          <w:spacing w:val="-4"/>
          <w:lang w:val="sq-AL"/>
        </w:rPr>
        <w:t>f) Për çdo OST dhe çdo skenar, të gjitha të dhënat e kërkuara nga rregullat e zëvendësimit të përmendura në nenin 20(5) do të jenë të disponueshme nëpërmjet platformës së informacionit;</w:t>
      </w:r>
    </w:p>
    <w:p w:rsidR="002F02C2" w:rsidRDefault="002F02C2" w:rsidP="002F02C2">
      <w:pPr>
        <w:pStyle w:val="Paragrafi"/>
        <w:rPr>
          <w:rFonts w:cs="Times New Roman"/>
          <w:spacing w:val="-4"/>
          <w:lang w:val="sq-AL"/>
        </w:rPr>
      </w:pPr>
      <w:r>
        <w:rPr>
          <w:rFonts w:cs="Times New Roman"/>
          <w:spacing w:val="-4"/>
          <w:lang w:val="sq-AL"/>
        </w:rPr>
        <w:t>g) Platforma e informacionit do të jetë në gjendje të japë informacion mbi cilësinë e MIRR-së përfshirë zëvendësimet që kanë qenë të nevojshme;</w:t>
      </w:r>
    </w:p>
    <w:p w:rsidR="002F02C2" w:rsidRDefault="002F02C2" w:rsidP="002F02C2">
      <w:pPr>
        <w:pStyle w:val="Paragrafi"/>
        <w:rPr>
          <w:rFonts w:cs="Times New Roman"/>
          <w:spacing w:val="-4"/>
          <w:lang w:val="sq-AL"/>
        </w:rPr>
      </w:pPr>
      <w:r>
        <w:rPr>
          <w:rFonts w:cs="Times New Roman"/>
          <w:spacing w:val="-4"/>
          <w:lang w:val="sq-AL"/>
        </w:rPr>
        <w:t>h) Të gjithë agjentët e bashkimit do të jenë në gjendje të vënë MPRR në dispozicion të të gjithë OST-ve nëpërmjet platformës së informacionit;</w:t>
      </w:r>
    </w:p>
    <w:p w:rsidR="002F02C2" w:rsidRDefault="002F02C2" w:rsidP="002F02C2">
      <w:pPr>
        <w:pStyle w:val="Paragrafi"/>
        <w:rPr>
          <w:rFonts w:cs="Times New Roman"/>
          <w:spacing w:val="-4"/>
          <w:lang w:val="sq-AL"/>
        </w:rPr>
      </w:pPr>
      <w:r>
        <w:rPr>
          <w:rFonts w:cs="Times New Roman"/>
          <w:spacing w:val="-4"/>
          <w:lang w:val="sq-AL"/>
        </w:rPr>
        <w:t>i) Gjithë informacioni i nevojshëm në lidhje me pikat kufitare, në bazë të nenit 7, do të jetë në dispozicion përmes platformës së informacionit;</w:t>
      </w:r>
    </w:p>
    <w:p w:rsidR="002F02C2" w:rsidRDefault="002F02C2" w:rsidP="002F02C2">
      <w:pPr>
        <w:pStyle w:val="Paragrafi"/>
        <w:rPr>
          <w:rFonts w:cs="Times New Roman"/>
          <w:spacing w:val="-4"/>
          <w:lang w:val="sq-AL"/>
        </w:rPr>
      </w:pPr>
      <w:r>
        <w:rPr>
          <w:rFonts w:cs="Times New Roman"/>
          <w:spacing w:val="-4"/>
          <w:lang w:val="sq-AL"/>
        </w:rPr>
        <w:t>j) Pikat e mëposhtme të informacionit dhe/ose të të dhënave do të jenë në dispozicion të të gjithë OST-të nëpërmjet platformës së informacionit;</w:t>
      </w:r>
    </w:p>
    <w:p w:rsidR="002F02C2" w:rsidRDefault="002F02C2" w:rsidP="002F02C2">
      <w:pPr>
        <w:pStyle w:val="Paragrafi"/>
        <w:rPr>
          <w:rFonts w:cs="Times New Roman"/>
          <w:spacing w:val="-4"/>
          <w:lang w:val="sq-AL"/>
        </w:rPr>
      </w:pPr>
      <w:r>
        <w:rPr>
          <w:rFonts w:cs="Times New Roman"/>
          <w:spacing w:val="-4"/>
          <w:lang w:val="sq-AL"/>
        </w:rPr>
        <w:t>i. NKGJ-ja (ndryshimi kryesor i gjenerimit).</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22</w:t>
      </w:r>
    </w:p>
    <w:p w:rsidR="002F02C2" w:rsidRDefault="002F02C2" w:rsidP="002F02C2">
      <w:pPr>
        <w:pStyle w:val="NeniNr"/>
        <w:rPr>
          <w:b/>
          <w:spacing w:val="-4"/>
          <w:lang w:val="sq-AL"/>
        </w:rPr>
      </w:pPr>
      <w:r>
        <w:rPr>
          <w:b/>
          <w:spacing w:val="-4"/>
          <w:lang w:val="sq-AL"/>
        </w:rPr>
        <w:t>Procesi i MPRR-së</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Kur krijohet MPRR-ja për llogaritjen e kapacitetit për periudhën një muaj në avancë dhe një vit në avancë (për tregjet e afatgjata, të përdorura vetëm në rajonet e llogaritjes së kapaciteteve ku aplikohet analiza e sigurisë në bazë të skenarëve të shumëfishtë në pajtim me nenin 10 të Rregullores 2016/1719), të gjithë OST-të, agjentët e bashkimit dhe operatorët rregullues duhet të ndjekin hapat e mëposhtëm:</w:t>
      </w:r>
    </w:p>
    <w:p w:rsidR="002F02C2" w:rsidRDefault="002F02C2" w:rsidP="002F02C2">
      <w:pPr>
        <w:pStyle w:val="Paragrafi"/>
        <w:rPr>
          <w:rFonts w:cs="Times New Roman"/>
          <w:spacing w:val="-4"/>
          <w:lang w:val="sq-AL"/>
        </w:rPr>
      </w:pPr>
      <w:r>
        <w:rPr>
          <w:rFonts w:cs="Times New Roman"/>
          <w:spacing w:val="-4"/>
          <w:lang w:val="sq-AL"/>
        </w:rPr>
        <w:t xml:space="preserve">a) Çdo OST do të vendosë në dispozicion për të gjithë OST-të nëpërmjet platformës së informacionit të përmendur në nenin 21, pozicionet neto paraprake, flukset paraprake të linjave me rrymë të vazhduar, si dhe çdo të dhënë tjetër të nevojshme për procesin e rregullimit të MPRR-së; </w:t>
      </w:r>
    </w:p>
    <w:p w:rsidR="002F02C2" w:rsidRDefault="002F02C2" w:rsidP="002F02C2">
      <w:pPr>
        <w:pStyle w:val="Paragrafi"/>
        <w:rPr>
          <w:rFonts w:cs="Times New Roman"/>
          <w:spacing w:val="-4"/>
          <w:lang w:val="sq-AL"/>
        </w:rPr>
      </w:pPr>
      <w:r>
        <w:rPr>
          <w:rFonts w:cs="Times New Roman"/>
          <w:spacing w:val="-4"/>
          <w:lang w:val="sq-AL"/>
        </w:rPr>
        <w:t>b) Operatori/ët e bashkimit do të kontrollojë plotësinë dhe cilësinë e të dhënave të siguruara në bazë të nenit 19(1) dhe nëse është e nevojshme, të zëvendësojë të dhënat e munguara ose të dhëna me cilësi të pamjaftueshme me të dhëna zëvendësuese;</w:t>
      </w:r>
    </w:p>
    <w:p w:rsidR="002F02C2" w:rsidRDefault="002F02C2" w:rsidP="002F02C2">
      <w:pPr>
        <w:pStyle w:val="Paragrafi"/>
        <w:rPr>
          <w:rFonts w:cs="Times New Roman"/>
          <w:spacing w:val="-4"/>
          <w:lang w:val="sq-AL"/>
        </w:rPr>
      </w:pPr>
      <w:r>
        <w:rPr>
          <w:rFonts w:cs="Times New Roman"/>
          <w:spacing w:val="-4"/>
          <w:lang w:val="sq-AL"/>
        </w:rPr>
        <w:t>c) Operatori/ët rregullues do të aplikojë algoritmin për të llogaritur për çdo skenar dhe zonë ofertimi pozicionet neto të rregulluara dhe flukset e rregulluara në linjat me rrymë të vazhduar që plotësojnë kushtet e përcaktuara në nenin 19(2);</w:t>
      </w:r>
    </w:p>
    <w:p w:rsidR="002F02C2" w:rsidRDefault="002F02C2" w:rsidP="002F02C2">
      <w:pPr>
        <w:pStyle w:val="Paragrafi"/>
        <w:rPr>
          <w:rFonts w:cs="Times New Roman"/>
          <w:spacing w:val="-4"/>
          <w:lang w:val="sq-AL"/>
        </w:rPr>
      </w:pPr>
      <w:r>
        <w:rPr>
          <w:rFonts w:cs="Times New Roman"/>
          <w:spacing w:val="-4"/>
          <w:lang w:val="sq-AL"/>
        </w:rPr>
        <w:t>d) Operatori/ët rregullues do të vendosë për të gjithë OST-të, nëpërmjet platformës së informacionit të përmendur në nenin 21, pozicionet neto të rregulluara dhe flukset e rregulluara në linjat me rrymë të vazhduar;</w:t>
      </w:r>
    </w:p>
    <w:p w:rsidR="002F02C2" w:rsidRDefault="002F02C2" w:rsidP="002F02C2">
      <w:pPr>
        <w:pStyle w:val="Paragrafi"/>
        <w:rPr>
          <w:rFonts w:cs="Times New Roman"/>
          <w:spacing w:val="-4"/>
          <w:lang w:val="sq-AL"/>
        </w:rPr>
      </w:pPr>
      <w:r>
        <w:rPr>
          <w:rFonts w:cs="Times New Roman"/>
          <w:spacing w:val="-4"/>
          <w:lang w:val="sq-AL"/>
        </w:rPr>
        <w:t>e) Çdo OST do të bëjë të disponueshëm MIRR-në e tij, në dispozicion nëpërmjet platformës së informacionit, në përputhje me nenin 21; në pajtim me nenin 4(3)(f) OST-ja do të sigurojë që MIRR-ja i tij është në përputhje venë pozicionet neto të rregulluara dhe flukset e rregulluara në linjat me rrymë të vazhduar ofruara nga operatorët rregullues;</w:t>
      </w:r>
    </w:p>
    <w:p w:rsidR="002F02C2" w:rsidRDefault="002F02C2" w:rsidP="002F02C2">
      <w:pPr>
        <w:pStyle w:val="Paragrafi"/>
        <w:rPr>
          <w:rFonts w:cs="Times New Roman"/>
          <w:spacing w:val="-4"/>
          <w:lang w:val="sq-AL"/>
        </w:rPr>
      </w:pPr>
      <w:r>
        <w:rPr>
          <w:rFonts w:cs="Times New Roman"/>
          <w:spacing w:val="-4"/>
          <w:lang w:val="sq-AL"/>
        </w:rPr>
        <w:t>f) Agjenti i bashkimit i OST-së do të:</w:t>
      </w:r>
    </w:p>
    <w:p w:rsidR="002F02C2" w:rsidRDefault="002F02C2" w:rsidP="002F02C2">
      <w:pPr>
        <w:pStyle w:val="Paragrafi"/>
        <w:rPr>
          <w:rFonts w:cs="Times New Roman"/>
          <w:spacing w:val="-4"/>
          <w:lang w:val="sq-AL"/>
        </w:rPr>
      </w:pPr>
      <w:r>
        <w:rPr>
          <w:rFonts w:cs="Times New Roman"/>
          <w:spacing w:val="-4"/>
          <w:lang w:val="sq-AL"/>
        </w:rPr>
        <w:t>i. kontrollojë përputhshmërinë e MIRR-së të dhënë nga OST-ja me kriteret e cilësisë të përcaktuara në përputhje me nenin 23;</w:t>
      </w:r>
    </w:p>
    <w:p w:rsidR="002F02C2" w:rsidRDefault="002F02C2" w:rsidP="002F02C2">
      <w:pPr>
        <w:pStyle w:val="Paragrafi"/>
        <w:rPr>
          <w:rFonts w:cs="Times New Roman"/>
          <w:spacing w:val="-4"/>
          <w:lang w:val="sq-AL"/>
        </w:rPr>
      </w:pPr>
      <w:r>
        <w:rPr>
          <w:rFonts w:cs="Times New Roman"/>
          <w:spacing w:val="-4"/>
          <w:lang w:val="sq-AL"/>
        </w:rPr>
        <w:t xml:space="preserve">ii. në qoftë se një MIRR dështon në kontrollin e cilësisë të përmendur në “i” ose përfton një MIRR të ri me cilësi të mjaftueshme nga OST përgjegjës ose zëvendëson një MIRR alternativ në përputhje me rregullat e zëvendësimit të përmendura në nenin 20(4) dhe e vendos këtë model të vlefshëm në dispozicion </w:t>
      </w:r>
      <w:r>
        <w:rPr>
          <w:rFonts w:cs="Times New Roman"/>
          <w:spacing w:val="-4"/>
          <w:lang w:val="sq-AL"/>
        </w:rPr>
        <w:lastRenderedPageBreak/>
        <w:t xml:space="preserve">nëpërmjet platformës së informacionit të përmendur në nenin 21; </w:t>
      </w:r>
    </w:p>
    <w:p w:rsidR="002F02C2" w:rsidRDefault="002F02C2" w:rsidP="002F02C2">
      <w:pPr>
        <w:pStyle w:val="Paragrafi"/>
        <w:rPr>
          <w:rFonts w:cs="Times New Roman"/>
          <w:spacing w:val="-4"/>
          <w:lang w:val="sq-AL"/>
        </w:rPr>
      </w:pPr>
      <w:r>
        <w:rPr>
          <w:rFonts w:cs="Times New Roman"/>
          <w:spacing w:val="-4"/>
          <w:lang w:val="sq-AL"/>
        </w:rPr>
        <w:t>g) Agjenti i bashkimit i OST-së do të:</w:t>
      </w:r>
    </w:p>
    <w:p w:rsidR="002F02C2" w:rsidRDefault="002F02C2" w:rsidP="002F02C2">
      <w:pPr>
        <w:pStyle w:val="Paragrafi"/>
        <w:rPr>
          <w:rFonts w:cs="Times New Roman"/>
          <w:spacing w:val="-4"/>
          <w:lang w:val="sq-AL"/>
        </w:rPr>
      </w:pPr>
      <w:r>
        <w:rPr>
          <w:rFonts w:cs="Times New Roman"/>
          <w:spacing w:val="-4"/>
          <w:lang w:val="sq-AL"/>
        </w:rPr>
        <w:t xml:space="preserve">i. zbatojë kërkesat në pajtim me nenin 20(3), në mënyrë që të bashkojë të gjithë MIRR-të në një MPRR në pajtim me nenin 22 të Rregullores 2016/1719 dhe të vendosë MPRR përfundimtar në dispozicion të të gjithë OST-ve dhe llogaritësve të koordinuar të kapaciteteve, me qëllim llogaritjen e kapacitetit nëpërmjet platformës së informacionit të përmendur në nenin 21; </w:t>
      </w:r>
    </w:p>
    <w:p w:rsidR="002F02C2" w:rsidRDefault="002F02C2" w:rsidP="002F02C2">
      <w:pPr>
        <w:pStyle w:val="Paragrafi"/>
        <w:rPr>
          <w:rFonts w:cs="Times New Roman"/>
          <w:spacing w:val="-4"/>
          <w:lang w:val="sq-AL"/>
        </w:rPr>
      </w:pPr>
      <w:r>
        <w:rPr>
          <w:rFonts w:cs="Times New Roman"/>
          <w:spacing w:val="-4"/>
          <w:lang w:val="sq-AL"/>
        </w:rPr>
        <w:t>ii. vlerësojë çdo MPRR të përftuar dhe sigurojë pajtueshmërinë me ato të përftuara nga të gjithë agjentët e bashkimit (nëse ka).</w:t>
      </w:r>
    </w:p>
    <w:p w:rsidR="002F02C2" w:rsidRDefault="002F02C2" w:rsidP="002F02C2">
      <w:pPr>
        <w:pStyle w:val="Paragrafi"/>
        <w:rPr>
          <w:rFonts w:cs="Times New Roman"/>
          <w:spacing w:val="-4"/>
          <w:lang w:val="sq-AL"/>
        </w:rPr>
      </w:pPr>
      <w:r>
        <w:rPr>
          <w:rFonts w:cs="Times New Roman"/>
          <w:spacing w:val="-4"/>
          <w:lang w:val="sq-AL"/>
        </w:rPr>
        <w:t>2. Të gjithë OST-të duhet të sigurojnë që procesi i bashkimit dhe MPRR-të janë të përfunduara në kohë sipas afateve operative për muajin në avancë dhe vitin në avancë, të përcaktuara për t’u plotësuar në Rregulloren 2016/1719 dhe metodologjitë e kërkuara në Rregulloren 2016/1719 dhe, në mënyrë të tillë, modeli me i saktë dhe i përditësuar i mundshëm të mund të dërgohet për qëllim të llogaritjes së kapaciteteve në çdo periudhë kohore.</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23</w:t>
      </w:r>
    </w:p>
    <w:p w:rsidR="002F02C2" w:rsidRDefault="002F02C2" w:rsidP="002F02C2">
      <w:pPr>
        <w:pStyle w:val="NeniNr"/>
        <w:rPr>
          <w:b/>
          <w:spacing w:val="-4"/>
          <w:lang w:val="sq-AL"/>
        </w:rPr>
      </w:pPr>
      <w:r>
        <w:rPr>
          <w:b/>
          <w:spacing w:val="-4"/>
          <w:lang w:val="sq-AL"/>
        </w:rPr>
        <w:t xml:space="preserve">Monitorimi i cilësisë </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Të gjithë OST-të përcaktojnë bashkërisht kriteret e cilësisë që MIRR-ja duhet të përmbushë në mënyrë që të bashkohen në një model të përbashkët të rrjetit. Një MIRR që nuk i plotëson këto kritere të cilësisë duhet të zëvendësohet me një MIRR zëvendësues.</w:t>
      </w:r>
    </w:p>
    <w:p w:rsidR="002F02C2" w:rsidRDefault="002F02C2" w:rsidP="002F02C2">
      <w:pPr>
        <w:pStyle w:val="Paragrafi"/>
        <w:rPr>
          <w:rFonts w:cs="Times New Roman"/>
          <w:spacing w:val="-4"/>
          <w:lang w:val="sq-AL"/>
        </w:rPr>
      </w:pPr>
      <w:r>
        <w:rPr>
          <w:rFonts w:cs="Times New Roman"/>
          <w:spacing w:val="-4"/>
          <w:lang w:val="sq-AL"/>
        </w:rPr>
        <w:t>2. Të gjithë OST-të përcaktojnë bashkërisht kriteret e cilësisë që MPRR-ja duhet të përmbushë përpara se të vihen në dispozicion nëpërmjet platformës së informacionit.</w:t>
      </w:r>
    </w:p>
    <w:p w:rsidR="002F02C2" w:rsidRDefault="002F02C2" w:rsidP="002F02C2">
      <w:pPr>
        <w:pStyle w:val="Paragrafi"/>
        <w:rPr>
          <w:rFonts w:cs="Times New Roman"/>
          <w:spacing w:val="-4"/>
          <w:lang w:val="sq-AL"/>
        </w:rPr>
      </w:pPr>
      <w:r>
        <w:rPr>
          <w:rFonts w:cs="Times New Roman"/>
          <w:spacing w:val="-4"/>
          <w:lang w:val="sq-AL"/>
        </w:rPr>
        <w:t xml:space="preserve">3. Të gjithë OST-të përcaktojnë bashkërisht kriteret që të plotësojnë pozicionet neto paraprake dhe flukset paraprake të linjave me rrymë të vazhduar, si dhe të dhëna të tjera të nevojshme për procesin e rregullimit të MPRR-së, në përputhje me nenin 19. Grupet e të dhënave që nuk plotësojnë këto kritere do të zëvendësohen me të dhëna zëvendësuese. </w:t>
      </w:r>
    </w:p>
    <w:p w:rsidR="002F02C2" w:rsidRDefault="002F02C2" w:rsidP="002F02C2">
      <w:pPr>
        <w:pStyle w:val="Paragrafi"/>
        <w:rPr>
          <w:rFonts w:cs="Times New Roman"/>
          <w:spacing w:val="-4"/>
          <w:lang w:val="sq-AL"/>
        </w:rPr>
      </w:pPr>
      <w:r>
        <w:rPr>
          <w:rFonts w:cs="Times New Roman"/>
          <w:spacing w:val="-4"/>
          <w:lang w:val="sq-AL"/>
        </w:rPr>
        <w:t>4. Të gjithë OST-të përcaktojnë bashkërisht treguesit e cilësisë që bëjnë të mundur vlerësimin e gjithë fazave të procesit MPRR, përfshirë në veçanti, procesin e rregullimit të MPRR-së të përshkruar në nenin 19. Ata do të monitorojë këta tregues cilësie dhe do të publikojnë treguesit dhe rezultatet e monitorimit si pjesë e të dhënave që do të ofrohen në përputhje me nenin 26(3) të Rregullores 2016/1719.</w:t>
      </w:r>
    </w:p>
    <w:p w:rsidR="002F02C2" w:rsidRDefault="002F02C2" w:rsidP="002F02C2">
      <w:pPr>
        <w:pStyle w:val="Hapesira7"/>
        <w:rPr>
          <w:spacing w:val="-4"/>
          <w:lang w:val="sq-AL"/>
        </w:rPr>
      </w:pPr>
      <w:bookmarkStart w:id="0" w:name="_GoBack"/>
      <w:bookmarkEnd w:id="0"/>
    </w:p>
    <w:p w:rsidR="002F02C2" w:rsidRDefault="002F02C2" w:rsidP="002F02C2">
      <w:pPr>
        <w:pStyle w:val="NeniNr"/>
        <w:rPr>
          <w:spacing w:val="-4"/>
          <w:lang w:val="sq-AL"/>
        </w:rPr>
      </w:pPr>
      <w:r>
        <w:rPr>
          <w:spacing w:val="-4"/>
          <w:lang w:val="sq-AL"/>
        </w:rPr>
        <w:t>Neni 24</w:t>
      </w:r>
    </w:p>
    <w:p w:rsidR="002F02C2" w:rsidRDefault="002F02C2" w:rsidP="002F02C2">
      <w:pPr>
        <w:pStyle w:val="NeniNr"/>
        <w:rPr>
          <w:b/>
          <w:spacing w:val="-4"/>
          <w:lang w:val="sq-AL"/>
        </w:rPr>
      </w:pPr>
      <w:r>
        <w:rPr>
          <w:b/>
          <w:spacing w:val="-4"/>
          <w:lang w:val="sq-AL"/>
        </w:rPr>
        <w:t>Afati kohor i zbatimit</w:t>
      </w:r>
    </w:p>
    <w:p w:rsidR="002F02C2" w:rsidRDefault="002F02C2" w:rsidP="002F02C2">
      <w:pPr>
        <w:pStyle w:val="Hapesira7"/>
        <w:rPr>
          <w:spacing w:val="-4"/>
          <w:lang w:val="sq-AL"/>
        </w:rPr>
      </w:pPr>
    </w:p>
    <w:p w:rsidR="002F02C2" w:rsidRDefault="002F02C2" w:rsidP="002F02C2">
      <w:pPr>
        <w:pStyle w:val="Paragrafi"/>
        <w:rPr>
          <w:rFonts w:cs="Times New Roman"/>
          <w:spacing w:val="-4"/>
          <w:lang w:val="sq-AL"/>
        </w:rPr>
      </w:pPr>
      <w:r>
        <w:rPr>
          <w:rFonts w:cs="Times New Roman"/>
          <w:spacing w:val="-4"/>
          <w:lang w:val="sq-AL"/>
        </w:rPr>
        <w:t>1. Pas miratimit të metodologjisë së tanishme çdo OST do të publikojë atë në internet, në përputhje me nenin 4(13) të Rregullores 2016/1719.</w:t>
      </w:r>
    </w:p>
    <w:p w:rsidR="002F02C2" w:rsidRDefault="002F02C2" w:rsidP="002F02C2">
      <w:pPr>
        <w:pStyle w:val="Paragrafi"/>
        <w:rPr>
          <w:rFonts w:cs="Times New Roman"/>
          <w:spacing w:val="-4"/>
          <w:lang w:val="sq-AL"/>
        </w:rPr>
      </w:pPr>
      <w:r>
        <w:rPr>
          <w:rFonts w:cs="Times New Roman"/>
          <w:spacing w:val="-4"/>
          <w:lang w:val="sq-AL"/>
        </w:rPr>
        <w:t>2. Të gjithë OST-të do të zhvillojnë bashkërisht një menaxhim për platformën e informacionit të referuar në nenin 21, e cila minimalisht do të adresojë temat e pronësisë, pritjes, alokimin e kostos, kërkesat e licencimit, dhe përgjegjësitë operuese. Ky kuadër menaxhimi duhet të përgatitet në kohë të mjaftueshme për të lejuar të gjithë OST-të të përmbushin afatin e përcaktuar në paragrafin 3 dhe duhet të respektojë dispozitat mbi delegimin përcaktuara në nenin 62 të Rregullores 2016/1719.</w:t>
      </w:r>
    </w:p>
    <w:p w:rsidR="002F02C2" w:rsidRDefault="002F02C2" w:rsidP="002F02C2">
      <w:pPr>
        <w:pStyle w:val="Paragrafi"/>
        <w:rPr>
          <w:rFonts w:cs="Times New Roman"/>
          <w:spacing w:val="-4"/>
          <w:lang w:val="sq-AL"/>
        </w:rPr>
      </w:pPr>
      <w:r>
        <w:rPr>
          <w:rFonts w:cs="Times New Roman"/>
          <w:spacing w:val="-4"/>
          <w:lang w:val="sq-AL"/>
        </w:rPr>
        <w:t>3. Jo më vonë se gjashtë muaj pas miratimit të metodologjisë së modelit të përbashkët të rrjetit të paraqitur në pajtim me neni 17 i Rregullores 2015/1222 të gjithë OST-të duhet të organizojnë procesin e bashkimit modele individuale të rrjetit duke plotësuar detyrat e mëposhtme:</w:t>
      </w:r>
    </w:p>
    <w:p w:rsidR="002F02C2" w:rsidRDefault="002F02C2" w:rsidP="002F02C2">
      <w:pPr>
        <w:pStyle w:val="Paragrafi"/>
        <w:rPr>
          <w:rFonts w:cs="Times New Roman"/>
          <w:spacing w:val="-4"/>
          <w:lang w:val="sq-AL"/>
        </w:rPr>
      </w:pPr>
      <w:r>
        <w:rPr>
          <w:rFonts w:cs="Times New Roman"/>
          <w:spacing w:val="-4"/>
          <w:lang w:val="sq-AL"/>
        </w:rPr>
        <w:t>a) Të gjithë OST-të do të zhvillojë së bashku kornizën menaxhuese referuar në paragrafin 2. Ata duhet të respektojnë dispozitat mbi delegimin të përcaktuara në nenin 81 të Rregullores 2015/1222 dhe nenit 62 të Rregullores 2016/1719, respektivisht;</w:t>
      </w:r>
    </w:p>
    <w:p w:rsidR="002F02C2" w:rsidRDefault="002F02C2" w:rsidP="002F02C2">
      <w:pPr>
        <w:pStyle w:val="Paragrafi"/>
        <w:rPr>
          <w:rFonts w:cs="Times New Roman"/>
          <w:spacing w:val="-4"/>
          <w:lang w:val="sq-AL"/>
        </w:rPr>
      </w:pPr>
      <w:r>
        <w:rPr>
          <w:rFonts w:cs="Times New Roman"/>
          <w:spacing w:val="-4"/>
          <w:lang w:val="sq-AL"/>
        </w:rPr>
        <w:t xml:space="preserve">b) Çdo OST do të zyrtarizojë marrëveshjen e delegimit me operatorin rregullues referuar në nenin 19. Në hartimin e kësaj marrëveshjeje çdo OST do të respektojë dispozitat mbi delegimin e përcaktuar në </w:t>
      </w:r>
      <w:r>
        <w:rPr>
          <w:rFonts w:cs="Times New Roman"/>
          <w:spacing w:val="-4"/>
          <w:lang w:val="sq-AL"/>
        </w:rPr>
        <w:lastRenderedPageBreak/>
        <w:t>nenin 81 të Rregullores 2015/1222 dhe nenit 62 të Rregullores 2016/1719, respektivisht;</w:t>
      </w:r>
    </w:p>
    <w:p w:rsidR="002F02C2" w:rsidRDefault="002F02C2" w:rsidP="002F02C2">
      <w:pPr>
        <w:pStyle w:val="Paragrafi"/>
        <w:rPr>
          <w:rFonts w:cs="Times New Roman"/>
          <w:spacing w:val="-4"/>
          <w:lang w:val="sq-AL"/>
        </w:rPr>
      </w:pPr>
      <w:r>
        <w:rPr>
          <w:rFonts w:cs="Times New Roman"/>
          <w:spacing w:val="-4"/>
          <w:lang w:val="sq-AL"/>
        </w:rPr>
        <w:t>c) Të gjithë OST-të duhet të specifikojnë së bashku dhe të zhvillojnë algoritmin referuar në nenin 19 dhe, gjithashtu, do të përcaktojnë rregullat dhe procesin lidhur me algoritmin e përmendur. Të gjithë OST-të do të publikojë në internet specifikimet, rregullat dhe procesin lidhur me algoritmin referuar në nenin 19;</w:t>
      </w:r>
    </w:p>
    <w:p w:rsidR="002F02C2" w:rsidRDefault="002F02C2" w:rsidP="002F02C2">
      <w:pPr>
        <w:pStyle w:val="Paragrafi"/>
        <w:rPr>
          <w:rFonts w:cs="Times New Roman"/>
          <w:spacing w:val="-4"/>
          <w:lang w:val="sq-AL"/>
        </w:rPr>
      </w:pPr>
      <w:r>
        <w:rPr>
          <w:rFonts w:cs="Times New Roman"/>
          <w:spacing w:val="-4"/>
          <w:lang w:val="sq-AL"/>
        </w:rPr>
        <w:t>d) Të gjithë OST-të do të përcaktojnë bashkërisht kriteret e cilësisë dhe treguesit e cilësisë të referuara në nenin 23;</w:t>
      </w:r>
    </w:p>
    <w:p w:rsidR="002F02C2" w:rsidRDefault="002F02C2" w:rsidP="002F02C2">
      <w:pPr>
        <w:pStyle w:val="Paragrafi"/>
        <w:rPr>
          <w:rFonts w:cs="Times New Roman"/>
          <w:spacing w:val="-4"/>
          <w:lang w:val="sq-AL"/>
        </w:rPr>
      </w:pPr>
      <w:r>
        <w:rPr>
          <w:rFonts w:cs="Times New Roman"/>
          <w:spacing w:val="-4"/>
          <w:lang w:val="sq-AL"/>
        </w:rPr>
        <w:t>e) Të gjithë OST-t duhet të formulojnë bashkërisht kërkesat në lidhje me agjentët e bashkimit dhe procesi i bashkimi i përmendur në nenin 20(2), si dhe rregullat e zëvendësimit të përmendura në nenin 20(4);</w:t>
      </w:r>
    </w:p>
    <w:p w:rsidR="002F02C2" w:rsidRDefault="002F02C2" w:rsidP="002F02C2">
      <w:pPr>
        <w:pStyle w:val="Paragrafi"/>
        <w:rPr>
          <w:rFonts w:cs="Times New Roman"/>
          <w:spacing w:val="-4"/>
          <w:lang w:val="sq-AL"/>
        </w:rPr>
      </w:pPr>
      <w:r>
        <w:rPr>
          <w:rFonts w:cs="Times New Roman"/>
          <w:spacing w:val="-4"/>
          <w:lang w:val="sq-AL"/>
        </w:rPr>
        <w:t>f) Çdo OST do të zyrtarizojë marrëveshjen e delegimit me agjentët e bashkimit përmendur në nenin 20. Në hartimin e kësaj marrëveshjeje çdo OST duhet të respektojë dispozitat mbi delegimin e përcaktuar në nenin 81 të Rregullores 2015/1222 dhe nenin 62 të Rregullores 2016/1719, respektivisht.</w:t>
      </w:r>
    </w:p>
    <w:p w:rsidR="002F02C2" w:rsidRDefault="002F02C2" w:rsidP="002F02C2">
      <w:pPr>
        <w:pStyle w:val="Paragrafi"/>
        <w:rPr>
          <w:rFonts w:cs="Times New Roman"/>
          <w:spacing w:val="-4"/>
          <w:lang w:val="sq-AL"/>
        </w:rPr>
      </w:pPr>
      <w:r>
        <w:rPr>
          <w:rFonts w:cs="Times New Roman"/>
          <w:spacing w:val="-4"/>
          <w:lang w:val="sq-AL"/>
        </w:rPr>
        <w:t>4. Jo më vonë shtatë muaj pas miratimit të metodologjisë së modelit të përbashkët të rrjetit të paraqitur në pajtim me neni 17 i Rregullores 2015/1222 ose 14 korrik 2017, cilido OST qoftë e vonuar, platforma informacioni përmendur në nenin 21, do të jetë funksionale. Të gjithë OST-të, të gjithë operatorët rregullues dhe të gjithë agjentët e bashkimit do të jenë të lidhur në platformën e informacionit dhe do të jenë në gjendje të përdorin të gjitha karakteristikat e tij, siç përshkruhet në metodologjinë aktuale.</w:t>
      </w:r>
    </w:p>
    <w:p w:rsidR="002F02C2" w:rsidRDefault="002F02C2" w:rsidP="002F02C2">
      <w:pPr>
        <w:pStyle w:val="Paragrafi"/>
        <w:rPr>
          <w:rFonts w:cs="Times New Roman"/>
          <w:spacing w:val="-4"/>
          <w:lang w:val="sq-AL"/>
        </w:rPr>
      </w:pPr>
      <w:r>
        <w:rPr>
          <w:rFonts w:cs="Times New Roman"/>
          <w:spacing w:val="-4"/>
          <w:lang w:val="sq-AL"/>
        </w:rPr>
        <w:t>5. Jo më vonë trembëdhjetë muaj pas miratimit të metodologjisë së modelit të përbashkët të rrjetit të paraqitur në pajtim të nenit 17 të Rregullores 2015/1222 ose 14 janar 2018, cilido OST, qoftë i vonuar, të gjithë OST-të së bashku do të sigurojnë që procesi MPRR të jetë funksional dhe në dispozicion për përdorim nga kalkuluesit e koordinuar të kapaciteteve.</w:t>
      </w:r>
    </w:p>
    <w:p w:rsidR="002F02C2" w:rsidRDefault="002F02C2" w:rsidP="002F02C2">
      <w:pPr>
        <w:pStyle w:val="Paragrafi"/>
        <w:rPr>
          <w:rFonts w:cs="Times New Roman"/>
          <w:spacing w:val="-4"/>
          <w:lang w:val="sq-AL"/>
        </w:rPr>
      </w:pPr>
      <w:r>
        <w:rPr>
          <w:rFonts w:cs="Times New Roman"/>
          <w:spacing w:val="-4"/>
          <w:lang w:val="sq-AL"/>
        </w:rPr>
        <w:t xml:space="preserve">6. Të gjitha OST-të bashku do të përgatisin të dhënat e disponueshme në lidhje me monitorimin e cilësisë në një afat kohor të mjaftueshëm për të mundësuar përfshirjen e tyre në raportin e parë të përmendur në nenin 31 të Rregullores 2015/1222, përkatësisht jo më vonë se 14 gusht 2017 dhe raportit të parë të përmendur në nenin 26 të Rregullores 2016/1719, jo më vonë se 17 tetor 2018. Ata do të përgatisin këto të dhëna në vitet e mëvonshme, siç kërkohet. </w:t>
      </w:r>
    </w:p>
    <w:p w:rsidR="002F02C2" w:rsidRDefault="002F02C2" w:rsidP="002F02C2">
      <w:pPr>
        <w:pStyle w:val="Hapesira7"/>
        <w:rPr>
          <w:spacing w:val="-4"/>
          <w:lang w:val="sq-AL"/>
        </w:rPr>
      </w:pPr>
    </w:p>
    <w:p w:rsidR="002F02C2" w:rsidRDefault="002F02C2" w:rsidP="002F02C2">
      <w:pPr>
        <w:pStyle w:val="NeniNr"/>
        <w:rPr>
          <w:spacing w:val="-4"/>
          <w:lang w:val="sq-AL"/>
        </w:rPr>
      </w:pPr>
      <w:r>
        <w:rPr>
          <w:spacing w:val="-4"/>
          <w:lang w:val="sq-AL"/>
        </w:rPr>
        <w:t>Neni 25</w:t>
      </w:r>
    </w:p>
    <w:p w:rsidR="002F02C2" w:rsidRDefault="002F02C2" w:rsidP="002F02C2">
      <w:pPr>
        <w:pStyle w:val="NeniNr"/>
        <w:rPr>
          <w:b/>
          <w:spacing w:val="-4"/>
          <w:lang w:val="sq-AL"/>
        </w:rPr>
      </w:pPr>
      <w:r>
        <w:rPr>
          <w:b/>
          <w:spacing w:val="-4"/>
          <w:lang w:val="sq-AL"/>
        </w:rPr>
        <w:t>Gjuha</w:t>
      </w:r>
    </w:p>
    <w:p w:rsidR="002F02C2" w:rsidRDefault="002F02C2" w:rsidP="002F02C2">
      <w:pPr>
        <w:pStyle w:val="Hapesira7"/>
        <w:rPr>
          <w:spacing w:val="-4"/>
          <w:lang w:val="sq-AL"/>
        </w:rPr>
      </w:pPr>
    </w:p>
    <w:p w:rsidR="002F02C2" w:rsidRDefault="002F02C2" w:rsidP="002F02C2">
      <w:pPr>
        <w:pStyle w:val="Paragrafi"/>
        <w:rPr>
          <w:spacing w:val="-4"/>
          <w:lang w:val="sq-AL"/>
        </w:rPr>
      </w:pPr>
      <w:r>
        <w:rPr>
          <w:spacing w:val="-4"/>
          <w:lang w:val="sq-AL"/>
        </w:rPr>
        <w:t>Gjuha e referencës për këtë propozim të MMPRR-së do të jetë anglishtja. Për shmangien e pasigurive, kur OST-të duhet të përkthejnë këtë propozim në gjuhën e tyre kombëtare, në rast të mospërputhjeve ndërmjet versionit në gjuhën angleze të publikuar nga OST-ja, në përputhje me nenin 4(13) të Rregullores 2016/1719 dhe versionit në një gjuhë tjetër, OST-të, në përputhje me legjislacionin kombëtar, i sigurojnë autoritetit rregullator përkatës një përkthim të përditësuar të propozimit.</w:t>
      </w: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5"/>
  </w:num>
  <w:num w:numId="20">
    <w:abstractNumId w:val="1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006"/>
    <w:rsid w:val="002567F3"/>
    <w:rsid w:val="002F02C2"/>
    <w:rsid w:val="00661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CB54A3-CF6D-4797-AB57-D9376FA7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2C2"/>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2F02C2"/>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2F02C2"/>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2F02C2"/>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2F02C2"/>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2F02C2"/>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2F02C2"/>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2F02C2"/>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2F02C2"/>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02C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2F02C2"/>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2F02C2"/>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2F02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2F02C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2F02C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2F02C2"/>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2F02C2"/>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2F02C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F02C2"/>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2F02C2"/>
    <w:rPr>
      <w:color w:val="0000FF"/>
      <w:u w:val="single"/>
    </w:rPr>
  </w:style>
  <w:style w:type="character" w:styleId="FollowedHyperlink">
    <w:name w:val="FollowedHyperlink"/>
    <w:uiPriority w:val="99"/>
    <w:semiHidden/>
    <w:unhideWhenUsed/>
    <w:rsid w:val="002F02C2"/>
    <w:rPr>
      <w:color w:val="800080"/>
      <w:u w:val="single"/>
    </w:rPr>
  </w:style>
  <w:style w:type="paragraph" w:styleId="HTMLAddress">
    <w:name w:val="HTML Address"/>
    <w:basedOn w:val="Normal"/>
    <w:link w:val="HTMLAddressChar"/>
    <w:semiHidden/>
    <w:unhideWhenUsed/>
    <w:rsid w:val="002F02C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F02C2"/>
    <w:rPr>
      <w:rFonts w:ascii="Tahoma" w:eastAsia="Times New Roman" w:hAnsi="Tahoma" w:cs="Times New Roman"/>
      <w:i/>
      <w:iCs/>
      <w:lang w:val="de-AT" w:eastAsia="de-DE"/>
    </w:rPr>
  </w:style>
  <w:style w:type="character" w:styleId="HTMLCode">
    <w:name w:val="HTML Code"/>
    <w:semiHidden/>
    <w:unhideWhenUsed/>
    <w:rsid w:val="002F02C2"/>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2F02C2"/>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2F02C2"/>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2F02C2"/>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2F02C2"/>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2F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2F02C2"/>
    <w:rPr>
      <w:rFonts w:ascii="Courier New" w:eastAsia="Times New Roman" w:hAnsi="Courier New" w:cs="Times New Roman"/>
      <w:sz w:val="20"/>
      <w:lang w:val="de-AT" w:eastAsia="de-DE"/>
    </w:rPr>
  </w:style>
  <w:style w:type="character" w:styleId="HTMLSample">
    <w:name w:val="HTML Sample"/>
    <w:semiHidden/>
    <w:unhideWhenUsed/>
    <w:rsid w:val="002F02C2"/>
    <w:rPr>
      <w:rFonts w:ascii="Courier New" w:eastAsia="Times New Roman" w:hAnsi="Courier New" w:cs="Courier New" w:hint="default"/>
    </w:rPr>
  </w:style>
  <w:style w:type="character" w:styleId="HTMLTypewriter">
    <w:name w:val="HTML Typewriter"/>
    <w:semiHidden/>
    <w:unhideWhenUsed/>
    <w:rsid w:val="002F02C2"/>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2F02C2"/>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2F02C2"/>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2F02C2"/>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2F02C2"/>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2F02C2"/>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2F02C2"/>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2F02C2"/>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2F02C2"/>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2F02C2"/>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2F02C2"/>
    <w:rPr>
      <w:b/>
      <w:bCs/>
      <w:lang w:val="en-AU" w:eastAsia="en-US" w:bidi="ar-SA"/>
    </w:rPr>
  </w:style>
  <w:style w:type="character" w:customStyle="1" w:styleId="HeaderChar">
    <w:name w:val="Header Char"/>
    <w:basedOn w:val="DefaultParagraphFont"/>
    <w:link w:val="Header"/>
    <w:uiPriority w:val="99"/>
    <w:semiHidden/>
    <w:locked/>
    <w:rsid w:val="002F02C2"/>
    <w:rPr>
      <w:rFonts w:ascii="Calibri" w:eastAsia="Calibri" w:hAnsi="Calibri" w:cs="Times New Roman"/>
    </w:rPr>
  </w:style>
  <w:style w:type="character" w:customStyle="1" w:styleId="FooterChar">
    <w:name w:val="Footer Char"/>
    <w:basedOn w:val="DefaultParagraphFont"/>
    <w:link w:val="Footer"/>
    <w:uiPriority w:val="99"/>
    <w:semiHidden/>
    <w:locked/>
    <w:rsid w:val="002F02C2"/>
    <w:rPr>
      <w:rFonts w:ascii="Calibri" w:eastAsia="Calibri" w:hAnsi="Calibri" w:cs="Times New Roman"/>
    </w:rPr>
  </w:style>
  <w:style w:type="paragraph" w:styleId="Index1">
    <w:name w:val="index 1"/>
    <w:basedOn w:val="Normal"/>
    <w:next w:val="Normal"/>
    <w:autoRedefine/>
    <w:semiHidden/>
    <w:unhideWhenUsed/>
    <w:rsid w:val="002F02C2"/>
    <w:pPr>
      <w:spacing w:after="0" w:line="240" w:lineRule="auto"/>
      <w:ind w:left="220" w:hanging="220"/>
    </w:pPr>
  </w:style>
  <w:style w:type="character" w:customStyle="1" w:styleId="CaptionChar">
    <w:name w:val="Caption Char"/>
    <w:link w:val="Caption"/>
    <w:semiHidden/>
    <w:locked/>
    <w:rsid w:val="002F02C2"/>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2F02C2"/>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2F02C2"/>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2F02C2"/>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2F02C2"/>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2F02C2"/>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2F02C2"/>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2F02C2"/>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2F02C2"/>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2F02C2"/>
    <w:rPr>
      <w:rFonts w:ascii="Calibri" w:eastAsia="Calibri" w:hAnsi="Calibri" w:cs="Times New Roman"/>
    </w:rPr>
  </w:style>
  <w:style w:type="character" w:customStyle="1" w:styleId="MessageHeaderChar">
    <w:name w:val="Message Header Char"/>
    <w:basedOn w:val="DefaultParagraphFont"/>
    <w:link w:val="MessageHeader"/>
    <w:semiHidden/>
    <w:locked/>
    <w:rsid w:val="002F02C2"/>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2F02C2"/>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2F02C2"/>
    <w:rPr>
      <w:rFonts w:ascii="Tahoma" w:eastAsia="Times New Roman" w:hAnsi="Tahoma" w:cs="Times New Roman"/>
      <w:lang w:val="de-AT" w:eastAsia="de-DE"/>
    </w:rPr>
  </w:style>
  <w:style w:type="character" w:customStyle="1" w:styleId="DateChar">
    <w:name w:val="Date Char"/>
    <w:basedOn w:val="DefaultParagraphFont"/>
    <w:link w:val="Date"/>
    <w:semiHidden/>
    <w:locked/>
    <w:rsid w:val="002F02C2"/>
    <w:rPr>
      <w:rFonts w:ascii="Tahoma" w:eastAsia="Times New Roman" w:hAnsi="Tahoma" w:cs="Times New Roman"/>
      <w:lang w:val="de-AT" w:eastAsia="de-DE"/>
    </w:rPr>
  </w:style>
  <w:style w:type="paragraph" w:styleId="BodyText">
    <w:name w:val="Body Text"/>
    <w:basedOn w:val="Normal"/>
    <w:link w:val="BodyTextChar"/>
    <w:semiHidden/>
    <w:unhideWhenUsed/>
    <w:qFormat/>
    <w:rsid w:val="002F02C2"/>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2F02C2"/>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2F02C2"/>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2F02C2"/>
    <w:pPr>
      <w:spacing w:after="120"/>
      <w:ind w:left="360"/>
    </w:pPr>
  </w:style>
  <w:style w:type="character" w:customStyle="1" w:styleId="BodyTextIndentChar1">
    <w:name w:val="Body Text Indent Char1"/>
    <w:basedOn w:val="DefaultParagraphFont"/>
    <w:semiHidden/>
    <w:rsid w:val="002F02C2"/>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2F02C2"/>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2F02C2"/>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2F02C2"/>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2F02C2"/>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2F02C2"/>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2F02C2"/>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2F02C2"/>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2F02C2"/>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2F02C2"/>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2F02C2"/>
    <w:rPr>
      <w:rFonts w:ascii="Tahoma" w:eastAsia="Calibri" w:hAnsi="Tahoma" w:cs="Tahoma"/>
      <w:sz w:val="16"/>
      <w:szCs w:val="16"/>
    </w:rPr>
  </w:style>
  <w:style w:type="character" w:customStyle="1" w:styleId="NoSpacingChar">
    <w:name w:val="No Spacing Char"/>
    <w:basedOn w:val="DefaultParagraphFont"/>
    <w:link w:val="NoSpacing"/>
    <w:uiPriority w:val="1"/>
    <w:locked/>
    <w:rsid w:val="002F02C2"/>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F02C2"/>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F02C2"/>
    <w:pPr>
      <w:ind w:left="720" w:firstLine="0"/>
      <w:contextualSpacing/>
      <w:jc w:val="left"/>
    </w:pPr>
    <w:rPr>
      <w:rFonts w:eastAsia="Times New Roman"/>
    </w:rPr>
  </w:style>
  <w:style w:type="character" w:customStyle="1" w:styleId="AktiChar">
    <w:name w:val="Akti Char"/>
    <w:basedOn w:val="DefaultParagraphFont"/>
    <w:link w:val="Akti"/>
    <w:locked/>
    <w:rsid w:val="002F02C2"/>
    <w:rPr>
      <w:rFonts w:ascii="Garamond" w:eastAsia="MS Mincho" w:hAnsi="Garamond" w:cs="CG Times"/>
      <w:b/>
      <w:bCs/>
      <w:caps/>
      <w:color w:val="000000"/>
      <w:sz w:val="24"/>
      <w:lang w:val="en-GB"/>
    </w:rPr>
  </w:style>
  <w:style w:type="paragraph" w:customStyle="1" w:styleId="Akti">
    <w:name w:val="Akti"/>
    <w:link w:val="AktiChar"/>
    <w:qFormat/>
    <w:rsid w:val="002F02C2"/>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2F02C2"/>
    <w:rPr>
      <w:rFonts w:ascii="Garamond" w:eastAsia="MS Mincho" w:hAnsi="Garamond" w:cs="CG Times"/>
      <w:b/>
      <w:bCs/>
      <w:sz w:val="24"/>
      <w:lang w:val="en-GB"/>
    </w:rPr>
  </w:style>
  <w:style w:type="paragraph" w:customStyle="1" w:styleId="NumriData">
    <w:name w:val="Numri_Data"/>
    <w:next w:val="Normal"/>
    <w:link w:val="NumriDataChar"/>
    <w:qFormat/>
    <w:rsid w:val="002F02C2"/>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2F02C2"/>
    <w:rPr>
      <w:rFonts w:ascii="Garamond" w:eastAsia="MS Mincho" w:hAnsi="Garamond" w:cs="CG Times"/>
      <w:sz w:val="24"/>
    </w:rPr>
  </w:style>
  <w:style w:type="paragraph" w:customStyle="1" w:styleId="Paragrafi">
    <w:name w:val="Paragrafi"/>
    <w:link w:val="ParagrafiChar"/>
    <w:qFormat/>
    <w:rsid w:val="002F02C2"/>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2F02C2"/>
    <w:rPr>
      <w:rFonts w:ascii="Garamond" w:eastAsia="MS Mincho" w:hAnsi="Garamond" w:cs="CG Times"/>
      <w:b/>
      <w:bCs/>
      <w:caps/>
      <w:sz w:val="24"/>
      <w:lang w:val="en-GB"/>
    </w:rPr>
  </w:style>
  <w:style w:type="paragraph" w:customStyle="1" w:styleId="Titulli">
    <w:name w:val="Titulli"/>
    <w:next w:val="Normal"/>
    <w:link w:val="TitulliChar"/>
    <w:qFormat/>
    <w:rsid w:val="002F02C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2F02C2"/>
    <w:rPr>
      <w:rFonts w:ascii="Garamond" w:eastAsia="MS Mincho" w:hAnsi="Garamond" w:cs="CG Times"/>
      <w:sz w:val="24"/>
      <w:lang w:val="en-GB"/>
    </w:rPr>
  </w:style>
  <w:style w:type="paragraph" w:customStyle="1" w:styleId="NeniNr">
    <w:name w:val="Neni_Nr"/>
    <w:next w:val="Normal"/>
    <w:link w:val="NeniNrChar"/>
    <w:qFormat/>
    <w:rsid w:val="002F02C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2F02C2"/>
    <w:rPr>
      <w:rFonts w:ascii="Garamond" w:eastAsia="MS Mincho" w:hAnsi="Garamond" w:cs="CG Times"/>
      <w:b/>
      <w:bCs/>
      <w:sz w:val="24"/>
      <w:lang w:val="en-GB"/>
    </w:rPr>
  </w:style>
  <w:style w:type="paragraph" w:customStyle="1" w:styleId="NeniTitull">
    <w:name w:val="Neni_Titull"/>
    <w:next w:val="Normal"/>
    <w:link w:val="NeniTitullChar"/>
    <w:qFormat/>
    <w:rsid w:val="002F02C2"/>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2F02C2"/>
    <w:rPr>
      <w:rFonts w:ascii="Garamond" w:eastAsia="MS Mincho" w:hAnsi="Garamond" w:cs="CG Times"/>
      <w:caps/>
      <w:sz w:val="24"/>
      <w:lang w:val="en-GB"/>
    </w:rPr>
  </w:style>
  <w:style w:type="paragraph" w:customStyle="1" w:styleId="Autoriteti">
    <w:name w:val="Autoriteti"/>
    <w:next w:val="Normal"/>
    <w:link w:val="AutoritetiChar"/>
    <w:qFormat/>
    <w:rsid w:val="002F02C2"/>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2F02C2"/>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2F02C2"/>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2F02C2"/>
    <w:pPr>
      <w:ind w:firstLine="0"/>
      <w:jc w:val="center"/>
    </w:pPr>
    <w:rPr>
      <w:caps/>
      <w:szCs w:val="24"/>
    </w:rPr>
  </w:style>
  <w:style w:type="paragraph" w:customStyle="1" w:styleId="Vendosi">
    <w:name w:val="Vendosi"/>
    <w:basedOn w:val="Titull-Titull"/>
    <w:uiPriority w:val="99"/>
    <w:qFormat/>
    <w:rsid w:val="002F02C2"/>
  </w:style>
  <w:style w:type="paragraph" w:customStyle="1" w:styleId="Hapesira7">
    <w:name w:val="Hapesira 7"/>
    <w:basedOn w:val="Paragrafi"/>
    <w:uiPriority w:val="99"/>
    <w:qFormat/>
    <w:rsid w:val="002F02C2"/>
    <w:rPr>
      <w:sz w:val="14"/>
      <w:szCs w:val="24"/>
    </w:rPr>
  </w:style>
  <w:style w:type="character" w:customStyle="1" w:styleId="Style1Char">
    <w:name w:val="Style1 Char"/>
    <w:link w:val="Style1"/>
    <w:locked/>
    <w:rsid w:val="002F02C2"/>
    <w:rPr>
      <w:rFonts w:ascii="CG Times" w:eastAsia="MS Mincho" w:hAnsi="CG Times" w:cs="CG Times"/>
      <w:b/>
      <w:bCs/>
      <w:caps/>
      <w:color w:val="000000"/>
      <w:sz w:val="21"/>
      <w:lang w:val="en-GB"/>
    </w:rPr>
  </w:style>
  <w:style w:type="paragraph" w:customStyle="1" w:styleId="Style1">
    <w:name w:val="Style1"/>
    <w:basedOn w:val="Akti"/>
    <w:link w:val="Style1Char"/>
    <w:qFormat/>
    <w:rsid w:val="002F02C2"/>
    <w:rPr>
      <w:rFonts w:ascii="CG Times" w:hAnsi="CG Times"/>
      <w:sz w:val="21"/>
    </w:rPr>
  </w:style>
  <w:style w:type="paragraph" w:customStyle="1" w:styleId="ADDRESS">
    <w:name w:val="ADDRESS"/>
    <w:basedOn w:val="Normal"/>
    <w:uiPriority w:val="99"/>
    <w:qFormat/>
    <w:rsid w:val="002F02C2"/>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2F02C2"/>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2F02C2"/>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2F02C2"/>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2F02C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2F02C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2F02C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2F02C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2F02C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2F02C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2F02C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2F02C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2F02C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2F02C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2F02C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2F02C2"/>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2F02C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2F02C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2F02C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2F02C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2F02C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2F02C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2F02C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2F02C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2F02C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2F02C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2F02C2"/>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2F02C2"/>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2F02C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2F02C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2F02C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2F02C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2F02C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2F02C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2F02C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2F02C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2F02C2"/>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2F02C2"/>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2F02C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2F02C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2F02C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2F02C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2F02C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2F02C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2F02C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2F02C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2F02C2"/>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2F02C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2F02C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2F02C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2F02C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2F02C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2F02C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2F02C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2F02C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2F02C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2F02C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2F02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2F02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2F02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2F02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2F02C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2F02C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2F02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2F02C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2F02C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2F02C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2F02C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2F02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2F02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2F02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2F02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2F02C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2F02C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2F02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2F02C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2F02C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2F02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2F02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2F02C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2F02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2F02C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2F02C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2F02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2F02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2F02C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2F02C2"/>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2F02C2"/>
    <w:rPr>
      <w:rFonts w:ascii="Times New Roman" w:eastAsia="Calibri" w:hAnsi="Times New Roman" w:cs="Times New Roman"/>
      <w:color w:val="000000"/>
      <w:sz w:val="24"/>
      <w:szCs w:val="24"/>
    </w:rPr>
  </w:style>
  <w:style w:type="paragraph" w:customStyle="1" w:styleId="Default">
    <w:name w:val="Default"/>
    <w:link w:val="DefaultChar"/>
    <w:qFormat/>
    <w:rsid w:val="002F02C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2F02C2"/>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F02C2"/>
    <w:rPr>
      <w:sz w:val="24"/>
      <w:lang w:val="en-GB" w:eastAsia="fr-FR"/>
    </w:rPr>
  </w:style>
  <w:style w:type="paragraph" w:customStyle="1" w:styleId="JuPara">
    <w:name w:val="Ju_Para"/>
    <w:aliases w:val="Left,First line:  0 cm,ECHR_Para,Para"/>
    <w:basedOn w:val="Normal"/>
    <w:link w:val="JuParaCar"/>
    <w:qFormat/>
    <w:rsid w:val="002F02C2"/>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2F02C2"/>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2F02C2"/>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2F02C2"/>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2F02C2"/>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2F02C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2F02C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2F02C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2F02C2"/>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2F02C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2F02C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2F02C2"/>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2F02C2"/>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2F02C2"/>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2F02C2"/>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2F02C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2F02C2"/>
    <w:rPr>
      <w:b w:val="0"/>
    </w:rPr>
  </w:style>
  <w:style w:type="paragraph" w:customStyle="1" w:styleId="StyleStyle1Bold">
    <w:name w:val="Style Style1 + Bold"/>
    <w:basedOn w:val="Style1"/>
    <w:uiPriority w:val="99"/>
    <w:qFormat/>
    <w:rsid w:val="002F02C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2F02C2"/>
    <w:rPr>
      <w:rFonts w:ascii="EUAlbertina" w:hAnsi="EUAlbertina"/>
      <w:color w:val="auto"/>
    </w:rPr>
  </w:style>
  <w:style w:type="paragraph" w:customStyle="1" w:styleId="CM4">
    <w:name w:val="CM4"/>
    <w:basedOn w:val="Normal"/>
    <w:next w:val="Normal"/>
    <w:uiPriority w:val="99"/>
    <w:qFormat/>
    <w:rsid w:val="002F02C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2F02C2"/>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2F02C2"/>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2F02C2"/>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2F02C2"/>
    <w:rPr>
      <w:rFonts w:ascii="Calibri" w:eastAsia="Times New Roman" w:hAnsi="Calibri" w:cs="Times New Roman"/>
      <w:sz w:val="24"/>
      <w:szCs w:val="24"/>
      <w:lang w:val="en-GB" w:eastAsia="en-GB"/>
    </w:rPr>
  </w:style>
  <w:style w:type="paragraph" w:customStyle="1" w:styleId="Text1">
    <w:name w:val="Text 1"/>
    <w:basedOn w:val="Normal"/>
    <w:link w:val="Text1Char"/>
    <w:qFormat/>
    <w:rsid w:val="002F02C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2F02C2"/>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2F02C2"/>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2F02C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2F02C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2F02C2"/>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2F02C2"/>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2F02C2"/>
  </w:style>
  <w:style w:type="paragraph" w:customStyle="1" w:styleId="Point0">
    <w:name w:val="Point 0"/>
    <w:basedOn w:val="Normal"/>
    <w:uiPriority w:val="99"/>
    <w:qFormat/>
    <w:rsid w:val="002F02C2"/>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2F02C2"/>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2F02C2"/>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2F02C2"/>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2F02C2"/>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2F02C2"/>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2F02C2"/>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2F02C2"/>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2F02C2"/>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2F02C2"/>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2F02C2"/>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2F02C2"/>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2F02C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2F02C2"/>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2F02C2"/>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2F02C2"/>
    <w:rPr>
      <w:rFonts w:ascii="CG Times" w:eastAsia="Times New Roman" w:hAnsi="CG Times" w:cs="Times New Roman"/>
      <w:b/>
      <w:szCs w:val="24"/>
    </w:rPr>
  </w:style>
  <w:style w:type="paragraph" w:customStyle="1" w:styleId="ParagrafiCharCharChar">
    <w:name w:val="Paragrafi Char Char Char"/>
    <w:link w:val="ParagrafiCharCharCharChar"/>
    <w:qFormat/>
    <w:rsid w:val="002F02C2"/>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2F02C2"/>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2F02C2"/>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2F02C2"/>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2F02C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2F02C2"/>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2F02C2"/>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2F02C2"/>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2F02C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2F02C2"/>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2F02C2"/>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2F02C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2F02C2"/>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2F02C2"/>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2F02C2"/>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2F02C2"/>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2F02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2F02C2"/>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2F02C2"/>
    <w:pPr>
      <w:tabs>
        <w:tab w:val="left" w:pos="6575"/>
      </w:tabs>
    </w:pPr>
    <w:rPr>
      <w:spacing w:val="-4"/>
    </w:rPr>
  </w:style>
  <w:style w:type="paragraph" w:customStyle="1" w:styleId="Cover1">
    <w:name w:val="Cover1"/>
    <w:basedOn w:val="Normal"/>
    <w:next w:val="Normal"/>
    <w:uiPriority w:val="99"/>
    <w:qFormat/>
    <w:rsid w:val="002F02C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2F02C2"/>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2F02C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2F02C2"/>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2F02C2"/>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2F02C2"/>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2F02C2"/>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2F02C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2F02C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2F02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2F02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2F02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2F02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2F02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F02C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2F02C2"/>
    <w:rPr>
      <w:vertAlign w:val="superscript"/>
    </w:rPr>
  </w:style>
  <w:style w:type="paragraph" w:customStyle="1" w:styleId="Char2">
    <w:name w:val="Char2"/>
    <w:basedOn w:val="Normal"/>
    <w:link w:val="FootnoteReference"/>
    <w:uiPriority w:val="99"/>
    <w:qFormat/>
    <w:rsid w:val="002F02C2"/>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2F02C2"/>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2F02C2"/>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2F02C2"/>
    <w:rPr>
      <w:sz w:val="24"/>
    </w:rPr>
  </w:style>
  <w:style w:type="paragraph" w:customStyle="1" w:styleId="xl160">
    <w:name w:val="xl160"/>
    <w:basedOn w:val="Normal"/>
    <w:uiPriority w:val="99"/>
    <w:qFormat/>
    <w:rsid w:val="002F02C2"/>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2F02C2"/>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2F02C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2F02C2"/>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2F02C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2F02C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2F02C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2F02C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2F02C2"/>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2F02C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2F02C2"/>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2F02C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2F02C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2F02C2"/>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2F02C2"/>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2F02C2"/>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2F02C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2F02C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2F02C2"/>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2F02C2"/>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2F02C2"/>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2F02C2"/>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2F02C2"/>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2F02C2"/>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2F02C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2F02C2"/>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2F02C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2F02C2"/>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2F02C2"/>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2F02C2"/>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2F02C2"/>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2F02C2"/>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2F02C2"/>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2F02C2"/>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2F02C2"/>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2F02C2"/>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2F02C2"/>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2F02C2"/>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2F02C2"/>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2F02C2"/>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2F02C2"/>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2F02C2"/>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2F02C2"/>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2F02C2"/>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2F02C2"/>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2F02C2"/>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2F02C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2F02C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2F02C2"/>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2F02C2"/>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2F02C2"/>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2F02C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2F02C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2F02C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2F02C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2F02C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2F02C2"/>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2F02C2"/>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2F02C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2F02C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2F02C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2F02C2"/>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2F02C2"/>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2F02C2"/>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2F02C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2F02C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2F02C2"/>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2F02C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2F02C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2F02C2"/>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2F02C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2F02C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2F02C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2F02C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2F02C2"/>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2F02C2"/>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2F02C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2F02C2"/>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2F02C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2F02C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2F02C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2F02C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2F02C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2F02C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2F02C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2F02C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2F02C2"/>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2F02C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2F02C2"/>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2F02C2"/>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2F02C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2F02C2"/>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2F02C2"/>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2F02C2"/>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2F02C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2F02C2"/>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2F02C2"/>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2F02C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2F02C2"/>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2F02C2"/>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2F02C2"/>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2F02C2"/>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2F02C2"/>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2F02C2"/>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2F02C2"/>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2F02C2"/>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2F02C2"/>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2F02C2"/>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2F02C2"/>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2F02C2"/>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2F02C2"/>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2F02C2"/>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2F02C2"/>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2F02C2"/>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2F02C2"/>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2F02C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2F02C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2F02C2"/>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2F02C2"/>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2F02C2"/>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2F02C2"/>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2F02C2"/>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2F02C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2F02C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2F02C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2F02C2"/>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2F02C2"/>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2F0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2F02C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2F02C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2F02C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2F02C2"/>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2F02C2"/>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2F02C2"/>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2F02C2"/>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2F02C2"/>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2F02C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2F02C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2F02C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2F02C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2F02C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2F02C2"/>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2F02C2"/>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2F02C2"/>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2F02C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2F02C2"/>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2F02C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2F02C2"/>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2F02C2"/>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2F02C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2F02C2"/>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2F02C2"/>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2F02C2"/>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2F02C2"/>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2F02C2"/>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2F02C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2F02C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2F02C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2F02C2"/>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2F02C2"/>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2F02C2"/>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2F02C2"/>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2F02C2"/>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2F02C2"/>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2F02C2"/>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2F02C2"/>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2F02C2"/>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2F02C2"/>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2F02C2"/>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2F02C2"/>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2F02C2"/>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2F02C2"/>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2F02C2"/>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2F02C2"/>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2F02C2"/>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2F02C2"/>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2F02C2"/>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2F02C2"/>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2F02C2"/>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2F02C2"/>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2F02C2"/>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2F02C2"/>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2F02C2"/>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2F02C2"/>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2F02C2"/>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2F02C2"/>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2F02C2"/>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2F02C2"/>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2F02C2"/>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2F02C2"/>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2F02C2"/>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2F02C2"/>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2F02C2"/>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2F02C2"/>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2F02C2"/>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2F02C2"/>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2F02C2"/>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2F02C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2F02C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2F02C2"/>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2F02C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2F02C2"/>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2F02C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2F02C2"/>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2F02C2"/>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2F02C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2F02C2"/>
    <w:pPr>
      <w:spacing w:before="0"/>
    </w:pPr>
  </w:style>
  <w:style w:type="paragraph" w:customStyle="1" w:styleId="Definition1a">
    <w:name w:val="Definition 1a"/>
    <w:basedOn w:val="Definition"/>
    <w:next w:val="Definition1b"/>
    <w:uiPriority w:val="99"/>
    <w:qFormat/>
    <w:rsid w:val="002F02C2"/>
    <w:pPr>
      <w:keepNext/>
    </w:pPr>
  </w:style>
  <w:style w:type="character" w:customStyle="1" w:styleId="Paragraph1Char">
    <w:name w:val="Paragraph (1) Char"/>
    <w:link w:val="Paragraph1"/>
    <w:locked/>
    <w:rsid w:val="002F02C2"/>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2F02C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2F02C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2F02C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2F02C2"/>
    <w:pPr>
      <w:tabs>
        <w:tab w:val="clear" w:pos="2835"/>
      </w:tabs>
      <w:ind w:firstLine="0"/>
    </w:pPr>
  </w:style>
  <w:style w:type="paragraph" w:customStyle="1" w:styleId="Definition3">
    <w:name w:val="Definition 3"/>
    <w:basedOn w:val="Definition2"/>
    <w:uiPriority w:val="99"/>
    <w:qFormat/>
    <w:rsid w:val="002F02C2"/>
    <w:pPr>
      <w:tabs>
        <w:tab w:val="clear" w:pos="3402"/>
      </w:tabs>
      <w:ind w:left="3402"/>
    </w:pPr>
  </w:style>
  <w:style w:type="paragraph" w:customStyle="1" w:styleId="Definition4">
    <w:name w:val="Definition 4"/>
    <w:basedOn w:val="Definition3"/>
    <w:uiPriority w:val="99"/>
    <w:qFormat/>
    <w:rsid w:val="002F02C2"/>
    <w:pPr>
      <w:tabs>
        <w:tab w:val="clear" w:pos="3969"/>
      </w:tabs>
      <w:ind w:left="3969"/>
    </w:pPr>
  </w:style>
  <w:style w:type="paragraph" w:customStyle="1" w:styleId="Paragraphi">
    <w:name w:val="Paragraph (i)"/>
    <w:basedOn w:val="Normal"/>
    <w:uiPriority w:val="99"/>
    <w:qFormat/>
    <w:rsid w:val="002F02C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2F02C2"/>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2F02C2"/>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2F02C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2F02C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2F02C2"/>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2F02C2"/>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2F02C2"/>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2F02C2"/>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2F02C2"/>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2F02C2"/>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2F02C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2F02C2"/>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2F02C2"/>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2F02C2"/>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2F02C2"/>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2F02C2"/>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2F02C2"/>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2F02C2"/>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2F02C2"/>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2F02C2"/>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2F02C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2F02C2"/>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2F02C2"/>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2F02C2"/>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2F02C2"/>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2F02C2"/>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2F02C2"/>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2F02C2"/>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2F02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2F02C2"/>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2F02C2"/>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2F02C2"/>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2F02C2"/>
    <w:pPr>
      <w:ind w:left="720" w:firstLine="0"/>
      <w:contextualSpacing/>
      <w:jc w:val="left"/>
    </w:pPr>
    <w:rPr>
      <w:rFonts w:eastAsia="Times New Roman" w:hAnsi="Times New Roman"/>
      <w:lang w:val="sq-AL"/>
    </w:rPr>
  </w:style>
  <w:style w:type="paragraph" w:customStyle="1" w:styleId="Body">
    <w:name w:val="Body"/>
    <w:uiPriority w:val="99"/>
    <w:qFormat/>
    <w:rsid w:val="002F02C2"/>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2F02C2"/>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2F02C2"/>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2F02C2"/>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2F02C2"/>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2F02C2"/>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2F02C2"/>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2F02C2"/>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2F02C2"/>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2F02C2"/>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2F02C2"/>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2F02C2"/>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2F02C2"/>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2F02C2"/>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2F02C2"/>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2F02C2"/>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2F02C2"/>
    <w:rPr>
      <w:spacing w:val="10"/>
      <w:sz w:val="15"/>
      <w:szCs w:val="15"/>
      <w:shd w:val="clear" w:color="auto" w:fill="FFFFFF"/>
    </w:rPr>
  </w:style>
  <w:style w:type="paragraph" w:customStyle="1" w:styleId="Bodytext350">
    <w:name w:val="Body text (35)"/>
    <w:basedOn w:val="Normal"/>
    <w:link w:val="Bodytext35"/>
    <w:qFormat/>
    <w:rsid w:val="002F02C2"/>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2F02C2"/>
    <w:rPr>
      <w:sz w:val="18"/>
      <w:szCs w:val="18"/>
      <w:shd w:val="clear" w:color="auto" w:fill="FFFFFF"/>
    </w:rPr>
  </w:style>
  <w:style w:type="paragraph" w:customStyle="1" w:styleId="Bodytext370">
    <w:name w:val="Body text (37)"/>
    <w:basedOn w:val="Normal"/>
    <w:link w:val="Bodytext37"/>
    <w:qFormat/>
    <w:rsid w:val="002F02C2"/>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2F02C2"/>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2F02C2"/>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2F02C2"/>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2F02C2"/>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2F02C2"/>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2F02C2"/>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2F02C2"/>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2F02C2"/>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2F02C2"/>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2F02C2"/>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2F02C2"/>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2F02C2"/>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2F02C2"/>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2F02C2"/>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2F02C2"/>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2F02C2"/>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2F02C2"/>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2F02C2"/>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2F02C2"/>
    <w:pPr>
      <w:numPr>
        <w:ilvl w:val="1"/>
      </w:numPr>
    </w:pPr>
  </w:style>
  <w:style w:type="paragraph" w:customStyle="1" w:styleId="AODocTxtL2">
    <w:name w:val="AODocTxtL2"/>
    <w:basedOn w:val="AODocTxt"/>
    <w:uiPriority w:val="99"/>
    <w:qFormat/>
    <w:rsid w:val="002F02C2"/>
    <w:pPr>
      <w:numPr>
        <w:ilvl w:val="2"/>
      </w:numPr>
    </w:pPr>
  </w:style>
  <w:style w:type="paragraph" w:customStyle="1" w:styleId="AODocTxtL3">
    <w:name w:val="AODocTxtL3"/>
    <w:basedOn w:val="AODocTxt"/>
    <w:uiPriority w:val="99"/>
    <w:qFormat/>
    <w:rsid w:val="002F02C2"/>
    <w:pPr>
      <w:numPr>
        <w:ilvl w:val="3"/>
      </w:numPr>
    </w:pPr>
  </w:style>
  <w:style w:type="paragraph" w:customStyle="1" w:styleId="AODocTxtL4">
    <w:name w:val="AODocTxtL4"/>
    <w:basedOn w:val="AODocTxt"/>
    <w:uiPriority w:val="99"/>
    <w:qFormat/>
    <w:rsid w:val="002F02C2"/>
    <w:pPr>
      <w:numPr>
        <w:ilvl w:val="4"/>
      </w:numPr>
    </w:pPr>
  </w:style>
  <w:style w:type="paragraph" w:customStyle="1" w:styleId="AODocTxtL5">
    <w:name w:val="AODocTxtL5"/>
    <w:basedOn w:val="AODocTxt"/>
    <w:uiPriority w:val="99"/>
    <w:qFormat/>
    <w:rsid w:val="002F02C2"/>
    <w:pPr>
      <w:numPr>
        <w:ilvl w:val="5"/>
      </w:numPr>
    </w:pPr>
  </w:style>
  <w:style w:type="paragraph" w:customStyle="1" w:styleId="AODocTxtL6">
    <w:name w:val="AODocTxtL6"/>
    <w:basedOn w:val="AODocTxt"/>
    <w:uiPriority w:val="99"/>
    <w:qFormat/>
    <w:rsid w:val="002F02C2"/>
    <w:pPr>
      <w:numPr>
        <w:ilvl w:val="6"/>
      </w:numPr>
    </w:pPr>
  </w:style>
  <w:style w:type="paragraph" w:customStyle="1" w:styleId="AODocTxtL7">
    <w:name w:val="AODocTxtL7"/>
    <w:basedOn w:val="AODocTxt"/>
    <w:uiPriority w:val="99"/>
    <w:qFormat/>
    <w:rsid w:val="002F02C2"/>
    <w:pPr>
      <w:numPr>
        <w:ilvl w:val="7"/>
      </w:numPr>
    </w:pPr>
  </w:style>
  <w:style w:type="paragraph" w:customStyle="1" w:styleId="AODocTxtL8">
    <w:name w:val="AODocTxtL8"/>
    <w:basedOn w:val="AODocTxt"/>
    <w:uiPriority w:val="99"/>
    <w:qFormat/>
    <w:rsid w:val="002F02C2"/>
    <w:pPr>
      <w:numPr>
        <w:ilvl w:val="8"/>
      </w:numPr>
    </w:pPr>
  </w:style>
  <w:style w:type="paragraph" w:customStyle="1" w:styleId="Char">
    <w:name w:val="Знак Знак Char Знак Знак"/>
    <w:basedOn w:val="Normal"/>
    <w:uiPriority w:val="99"/>
    <w:qFormat/>
    <w:rsid w:val="002F02C2"/>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ReturnAddress">
    <w:name w:val="Return Address"/>
    <w:basedOn w:val="Normal"/>
    <w:uiPriority w:val="99"/>
    <w:qFormat/>
    <w:rsid w:val="002F02C2"/>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2F02C2"/>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2F02C2"/>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2F02C2"/>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2F02C2"/>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2F02C2"/>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2F02C2"/>
  </w:style>
  <w:style w:type="paragraph" w:customStyle="1" w:styleId="CharCharCharCharCharCharCharCharCharCharChar1">
    <w:name w:val="Char Char Char Char Char Char Char Char Char Char Char1"/>
    <w:basedOn w:val="Normal"/>
    <w:uiPriority w:val="99"/>
    <w:qFormat/>
    <w:rsid w:val="002F02C2"/>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2F02C2"/>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2F02C2"/>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2F02C2"/>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2F02C2"/>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2F02C2"/>
    <w:pPr>
      <w:ind w:left="720" w:firstLine="0"/>
      <w:contextualSpacing/>
      <w:jc w:val="left"/>
    </w:pPr>
    <w:rPr>
      <w:rFonts w:eastAsia="MS Mincho"/>
    </w:rPr>
  </w:style>
  <w:style w:type="paragraph" w:customStyle="1" w:styleId="Style54">
    <w:name w:val="Style54"/>
    <w:basedOn w:val="Normal"/>
    <w:uiPriority w:val="99"/>
    <w:qFormat/>
    <w:rsid w:val="002F02C2"/>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2F02C2"/>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2F02C2"/>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2F02C2"/>
    <w:pPr>
      <w:ind w:firstLine="0"/>
    </w:pPr>
    <w:rPr>
      <w:u w:val="single"/>
    </w:rPr>
  </w:style>
  <w:style w:type="paragraph" w:customStyle="1" w:styleId="Indenta">
    <w:name w:val="Indent (a)"/>
    <w:basedOn w:val="Normal"/>
    <w:uiPriority w:val="99"/>
    <w:qFormat/>
    <w:rsid w:val="002F02C2"/>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2F02C2"/>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2F02C2"/>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2F02C2"/>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2F02C2"/>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2F02C2"/>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2F02C2"/>
    <w:pPr>
      <w:numPr>
        <w:numId w:val="17"/>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bl">
    <w:name w:val="ti-tb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uiPriority w:val="99"/>
    <w:qFormat/>
    <w:rsid w:val="002F02C2"/>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2F02C2"/>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2F02C2"/>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2F02C2"/>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2F02C2"/>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2F02C2"/>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2F02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2F02C2"/>
    <w:pPr>
      <w:autoSpaceDE w:val="0"/>
      <w:autoSpaceDN w:val="0"/>
      <w:spacing w:after="0" w:line="240" w:lineRule="auto"/>
      <w:ind w:firstLine="0"/>
      <w:jc w:val="left"/>
    </w:pPr>
    <w:rPr>
      <w:rFonts w:ascii="Arial" w:hAnsi="Arial" w:cs="Arial"/>
      <w:sz w:val="24"/>
      <w:szCs w:val="24"/>
    </w:rPr>
  </w:style>
  <w:style w:type="paragraph" w:customStyle="1" w:styleId="pircontent">
    <w:name w:val="pircontent"/>
    <w:basedOn w:val="Normal"/>
    <w:uiPriority w:val="99"/>
    <w:qFormat/>
    <w:rsid w:val="002F02C2"/>
    <w:pPr>
      <w:spacing w:before="100" w:beforeAutospacing="1" w:after="100" w:afterAutospacing="1" w:line="312" w:lineRule="atLeast"/>
      <w:ind w:firstLine="0"/>
      <w:jc w:val="left"/>
    </w:pPr>
    <w:rPr>
      <w:rFonts w:ascii="Verdana" w:eastAsia="Times New Roman" w:hAnsi="Verdana"/>
      <w:color w:val="000000"/>
      <w:sz w:val="17"/>
      <w:szCs w:val="17"/>
    </w:rPr>
  </w:style>
  <w:style w:type="character" w:customStyle="1" w:styleId="Style33Char">
    <w:name w:val="Style33 Char"/>
    <w:basedOn w:val="DefaultParagraphFont"/>
    <w:link w:val="Style33"/>
    <w:locked/>
    <w:rsid w:val="002F02C2"/>
    <w:rPr>
      <w:rFonts w:ascii="Tahoma" w:eastAsia="Arial Unicode MS" w:hAnsi="Tahoma" w:cs="Tahoma"/>
      <w:b/>
      <w:w w:val="103"/>
      <w:szCs w:val="24"/>
      <w:lang w:val="sq-AL" w:eastAsia="sq-AL"/>
    </w:rPr>
  </w:style>
  <w:style w:type="paragraph" w:customStyle="1" w:styleId="Style33">
    <w:name w:val="Style33"/>
    <w:basedOn w:val="Normal"/>
    <w:link w:val="Style33Char"/>
    <w:qFormat/>
    <w:rsid w:val="002F02C2"/>
    <w:pPr>
      <w:tabs>
        <w:tab w:val="left" w:pos="9720"/>
      </w:tabs>
      <w:spacing w:before="240" w:after="240" w:line="240" w:lineRule="auto"/>
      <w:ind w:right="380" w:firstLine="0"/>
      <w:jc w:val="center"/>
    </w:pPr>
    <w:rPr>
      <w:rFonts w:ascii="Tahoma" w:eastAsia="Arial Unicode MS" w:hAnsi="Tahoma" w:cs="Tahoma"/>
      <w:b/>
      <w:w w:val="103"/>
      <w:szCs w:val="24"/>
      <w:lang w:val="sq-AL" w:eastAsia="sq-AL"/>
    </w:rPr>
  </w:style>
  <w:style w:type="character" w:styleId="CommentReference">
    <w:name w:val="annotation reference"/>
    <w:semiHidden/>
    <w:unhideWhenUsed/>
    <w:rsid w:val="002F02C2"/>
    <w:rPr>
      <w:sz w:val="16"/>
      <w:szCs w:val="16"/>
    </w:rPr>
  </w:style>
  <w:style w:type="character" w:styleId="LineNumber">
    <w:name w:val="line number"/>
    <w:semiHidden/>
    <w:unhideWhenUsed/>
    <w:rsid w:val="002F02C2"/>
    <w:rPr>
      <w:rFonts w:ascii="Tahoma" w:hAnsi="Tahoma" w:cs="Tahoma" w:hint="default"/>
      <w:sz w:val="22"/>
    </w:rPr>
  </w:style>
  <w:style w:type="character" w:styleId="EndnoteReference">
    <w:name w:val="endnote reference"/>
    <w:semiHidden/>
    <w:unhideWhenUsed/>
    <w:rsid w:val="002F02C2"/>
    <w:rPr>
      <w:vertAlign w:val="superscript"/>
    </w:rPr>
  </w:style>
  <w:style w:type="character" w:styleId="PlaceholderText">
    <w:name w:val="Placeholder Text"/>
    <w:uiPriority w:val="99"/>
    <w:semiHidden/>
    <w:rsid w:val="002F02C2"/>
    <w:rPr>
      <w:rFonts w:ascii="Times New Roman" w:hAnsi="Times New Roman" w:cs="Times New Roman" w:hint="default"/>
      <w:color w:val="808080"/>
    </w:rPr>
  </w:style>
  <w:style w:type="character" w:styleId="SubtleEmphasis">
    <w:name w:val="Subtle Emphasis"/>
    <w:uiPriority w:val="19"/>
    <w:qFormat/>
    <w:rsid w:val="002F02C2"/>
    <w:rPr>
      <w:i/>
      <w:iCs/>
      <w:color w:val="404040"/>
    </w:rPr>
  </w:style>
  <w:style w:type="character" w:styleId="IntenseEmphasis">
    <w:name w:val="Intense Emphasis"/>
    <w:uiPriority w:val="21"/>
    <w:qFormat/>
    <w:rsid w:val="002F02C2"/>
    <w:rPr>
      <w:b/>
      <w:bCs/>
      <w:i/>
      <w:iCs/>
      <w:color w:val="4F81BD"/>
      <w:sz w:val="24"/>
    </w:rPr>
  </w:style>
  <w:style w:type="character" w:styleId="IntenseReference">
    <w:name w:val="Intense Reference"/>
    <w:basedOn w:val="DefaultParagraphFont"/>
    <w:uiPriority w:val="32"/>
    <w:qFormat/>
    <w:rsid w:val="002F02C2"/>
    <w:rPr>
      <w:b/>
      <w:bCs/>
      <w:smallCaps/>
      <w:color w:val="5B9BD5" w:themeColor="accent1"/>
      <w:spacing w:val="5"/>
    </w:rPr>
  </w:style>
  <w:style w:type="character" w:styleId="BookTitle">
    <w:name w:val="Book Title"/>
    <w:uiPriority w:val="33"/>
    <w:qFormat/>
    <w:rsid w:val="002F02C2"/>
    <w:rPr>
      <w:b/>
      <w:bCs/>
      <w:smallCaps/>
      <w:spacing w:val="5"/>
    </w:rPr>
  </w:style>
  <w:style w:type="character" w:customStyle="1" w:styleId="Heading9Char1">
    <w:name w:val="Heading 9 Char1"/>
    <w:basedOn w:val="DefaultParagraphFont"/>
    <w:semiHidden/>
    <w:rsid w:val="002F02C2"/>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2F02C2"/>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2F02C2"/>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2F02C2"/>
    <w:rPr>
      <w:rFonts w:ascii="Segoe UI" w:eastAsia="Calibri" w:hAnsi="Segoe UI" w:cs="Segoe UI"/>
      <w:sz w:val="18"/>
      <w:szCs w:val="18"/>
    </w:rPr>
  </w:style>
  <w:style w:type="paragraph" w:styleId="Header">
    <w:name w:val="header"/>
    <w:basedOn w:val="Normal"/>
    <w:link w:val="HeaderChar"/>
    <w:uiPriority w:val="99"/>
    <w:semiHidden/>
    <w:unhideWhenUsed/>
    <w:rsid w:val="002F02C2"/>
    <w:pPr>
      <w:tabs>
        <w:tab w:val="center" w:pos="4680"/>
        <w:tab w:val="right" w:pos="9360"/>
      </w:tabs>
      <w:spacing w:after="0" w:line="240" w:lineRule="auto"/>
    </w:pPr>
  </w:style>
  <w:style w:type="character" w:customStyle="1" w:styleId="HeaderChar1">
    <w:name w:val="Header Char1"/>
    <w:basedOn w:val="DefaultParagraphFont"/>
    <w:uiPriority w:val="99"/>
    <w:semiHidden/>
    <w:rsid w:val="002F02C2"/>
    <w:rPr>
      <w:rFonts w:ascii="Calibri" w:eastAsia="Calibri" w:hAnsi="Calibri" w:cs="Times New Roman"/>
    </w:rPr>
  </w:style>
  <w:style w:type="paragraph" w:styleId="Footer">
    <w:name w:val="footer"/>
    <w:basedOn w:val="Normal"/>
    <w:link w:val="FooterChar"/>
    <w:uiPriority w:val="99"/>
    <w:semiHidden/>
    <w:unhideWhenUsed/>
    <w:rsid w:val="002F02C2"/>
    <w:pPr>
      <w:tabs>
        <w:tab w:val="center" w:pos="4680"/>
        <w:tab w:val="right" w:pos="9360"/>
      </w:tabs>
      <w:spacing w:after="0" w:line="240" w:lineRule="auto"/>
    </w:pPr>
  </w:style>
  <w:style w:type="character" w:customStyle="1" w:styleId="FooterChar1">
    <w:name w:val="Footer Char1"/>
    <w:basedOn w:val="DefaultParagraphFont"/>
    <w:uiPriority w:val="99"/>
    <w:semiHidden/>
    <w:rsid w:val="002F02C2"/>
    <w:rPr>
      <w:rFonts w:ascii="Calibri" w:eastAsia="Calibri" w:hAnsi="Calibri" w:cs="Times New Roman"/>
    </w:rPr>
  </w:style>
  <w:style w:type="paragraph" w:styleId="Subtitle">
    <w:name w:val="Subtitle"/>
    <w:basedOn w:val="Normal"/>
    <w:next w:val="Normal"/>
    <w:link w:val="SubtitleChar"/>
    <w:qFormat/>
    <w:rsid w:val="002F02C2"/>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2F02C2"/>
    <w:rPr>
      <w:rFonts w:eastAsiaTheme="minorEastAsia"/>
      <w:color w:val="5A5A5A" w:themeColor="text1" w:themeTint="A5"/>
      <w:spacing w:val="15"/>
    </w:rPr>
  </w:style>
  <w:style w:type="character" w:customStyle="1" w:styleId="apple-converted-space">
    <w:name w:val="apple-converted-space"/>
    <w:rsid w:val="002F02C2"/>
  </w:style>
  <w:style w:type="paragraph" w:styleId="BodyText3">
    <w:name w:val="Body Text 3"/>
    <w:basedOn w:val="Normal"/>
    <w:link w:val="BodyText3Char"/>
    <w:semiHidden/>
    <w:unhideWhenUsed/>
    <w:rsid w:val="002F02C2"/>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2F02C2"/>
    <w:rPr>
      <w:rFonts w:ascii="Calibri" w:eastAsia="Calibri" w:hAnsi="Calibri" w:cs="Times New Roman"/>
      <w:sz w:val="16"/>
      <w:szCs w:val="16"/>
    </w:rPr>
  </w:style>
  <w:style w:type="character" w:customStyle="1" w:styleId="sb8d990e2">
    <w:name w:val="sb8d990e2"/>
    <w:basedOn w:val="DefaultParagraphFont"/>
    <w:rsid w:val="002F02C2"/>
  </w:style>
  <w:style w:type="character" w:customStyle="1" w:styleId="normal--char">
    <w:name w:val="normal--char"/>
    <w:basedOn w:val="DefaultParagraphFont"/>
    <w:rsid w:val="002F02C2"/>
  </w:style>
  <w:style w:type="character" w:customStyle="1" w:styleId="s7d2086b4">
    <w:name w:val="s7d2086b4"/>
    <w:basedOn w:val="DefaultParagraphFont"/>
    <w:uiPriority w:val="99"/>
    <w:rsid w:val="002F02C2"/>
  </w:style>
  <w:style w:type="character" w:customStyle="1" w:styleId="hps">
    <w:name w:val="hps"/>
    <w:basedOn w:val="DefaultParagraphFont"/>
    <w:rsid w:val="002F02C2"/>
  </w:style>
  <w:style w:type="character" w:customStyle="1" w:styleId="grame">
    <w:name w:val="grame"/>
    <w:rsid w:val="002F02C2"/>
    <w:rPr>
      <w:rFonts w:ascii="Times New Roman" w:hAnsi="Times New Roman" w:cs="Times New Roman" w:hint="default"/>
    </w:rPr>
  </w:style>
  <w:style w:type="character" w:customStyle="1" w:styleId="atn">
    <w:name w:val="atn"/>
    <w:basedOn w:val="DefaultParagraphFont"/>
    <w:rsid w:val="002F02C2"/>
  </w:style>
  <w:style w:type="paragraph" w:styleId="PlainText">
    <w:name w:val="Plain Text"/>
    <w:basedOn w:val="Normal"/>
    <w:link w:val="PlainTextChar"/>
    <w:uiPriority w:val="99"/>
    <w:semiHidden/>
    <w:unhideWhenUsed/>
    <w:rsid w:val="002F02C2"/>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2F02C2"/>
    <w:rPr>
      <w:rFonts w:ascii="Consolas" w:eastAsia="Calibri" w:hAnsi="Consolas" w:cs="Times New Roman"/>
      <w:sz w:val="21"/>
      <w:szCs w:val="21"/>
    </w:rPr>
  </w:style>
  <w:style w:type="paragraph" w:styleId="DocumentMap">
    <w:name w:val="Document Map"/>
    <w:basedOn w:val="Normal"/>
    <w:link w:val="DocumentMapChar"/>
    <w:semiHidden/>
    <w:unhideWhenUsed/>
    <w:rsid w:val="002F02C2"/>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2F02C2"/>
    <w:rPr>
      <w:rFonts w:ascii="Segoe UI" w:eastAsia="Calibri" w:hAnsi="Segoe UI" w:cs="Segoe UI"/>
      <w:sz w:val="16"/>
      <w:szCs w:val="16"/>
    </w:rPr>
  </w:style>
  <w:style w:type="character" w:customStyle="1" w:styleId="longtext">
    <w:name w:val="long_text"/>
    <w:rsid w:val="002F02C2"/>
    <w:rPr>
      <w:rFonts w:ascii="Comic Sans MS" w:hAnsi="Comic Sans MS" w:hint="default"/>
      <w:b/>
      <w:bCs w:val="0"/>
      <w:sz w:val="96"/>
      <w:szCs w:val="24"/>
      <w:lang w:val="pl-PL" w:eastAsia="pl-PL" w:bidi="ar-SA"/>
    </w:rPr>
  </w:style>
  <w:style w:type="character" w:customStyle="1" w:styleId="Point1CharChar">
    <w:name w:val="Point 1 Char Char"/>
    <w:rsid w:val="002F02C2"/>
    <w:rPr>
      <w:sz w:val="24"/>
      <w:szCs w:val="24"/>
      <w:lang w:val="en-GB" w:eastAsia="en-GB" w:bidi="ar-SA"/>
    </w:rPr>
  </w:style>
  <w:style w:type="character" w:customStyle="1" w:styleId="ParagrafiCharChar">
    <w:name w:val="Paragrafi Char Char"/>
    <w:rsid w:val="002F02C2"/>
    <w:rPr>
      <w:rFonts w:ascii="CG Times" w:hAnsi="CG Times" w:hint="default"/>
      <w:sz w:val="22"/>
      <w:lang w:val="en-US" w:eastAsia="en-US" w:bidi="ar-SA"/>
    </w:rPr>
  </w:style>
  <w:style w:type="character" w:customStyle="1" w:styleId="apple-style-span">
    <w:name w:val="apple-style-span"/>
    <w:rsid w:val="002F02C2"/>
  </w:style>
  <w:style w:type="character" w:customStyle="1" w:styleId="CommentTextChar">
    <w:name w:val="Comment Text Char"/>
    <w:basedOn w:val="DefaultParagraphFont"/>
    <w:semiHidden/>
    <w:rsid w:val="002F02C2"/>
    <w:rPr>
      <w:rFonts w:ascii="Calibri" w:eastAsia="Calibri" w:hAnsi="Calibri" w:cs="Times New Roman"/>
    </w:rPr>
  </w:style>
  <w:style w:type="character" w:customStyle="1" w:styleId="CommentTextChar1">
    <w:name w:val="Comment Text Char1"/>
    <w:basedOn w:val="DefaultParagraphFont"/>
    <w:uiPriority w:val="99"/>
    <w:rsid w:val="002F02C2"/>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2F02C2"/>
    <w:pPr>
      <w:spacing w:line="240" w:lineRule="auto"/>
    </w:pPr>
    <w:rPr>
      <w:sz w:val="20"/>
      <w:szCs w:val="20"/>
    </w:rPr>
  </w:style>
  <w:style w:type="character" w:customStyle="1" w:styleId="CommentTextChar2">
    <w:name w:val="Comment Text Char2"/>
    <w:basedOn w:val="DefaultParagraphFont"/>
    <w:link w:val="CommentText"/>
    <w:uiPriority w:val="99"/>
    <w:semiHidden/>
    <w:rsid w:val="002F02C2"/>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2F02C2"/>
    <w:rPr>
      <w:b/>
      <w:bCs/>
    </w:rPr>
  </w:style>
  <w:style w:type="character" w:customStyle="1" w:styleId="CommentSubjectChar">
    <w:name w:val="Comment Subject Char"/>
    <w:basedOn w:val="CommentTextChar2"/>
    <w:link w:val="CommentSubject"/>
    <w:semiHidden/>
    <w:rsid w:val="002F02C2"/>
    <w:rPr>
      <w:rFonts w:ascii="Calibri" w:eastAsia="Calibri" w:hAnsi="Calibri" w:cs="Times New Roman"/>
      <w:b/>
      <w:bCs/>
      <w:sz w:val="20"/>
      <w:szCs w:val="20"/>
    </w:rPr>
  </w:style>
  <w:style w:type="paragraph" w:styleId="MacroText">
    <w:name w:val="macro"/>
    <w:link w:val="MacroTextChar"/>
    <w:semiHidden/>
    <w:unhideWhenUsed/>
    <w:rsid w:val="002F02C2"/>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2F02C2"/>
    <w:rPr>
      <w:rFonts w:ascii="Consolas" w:eastAsia="Calibri" w:hAnsi="Consolas" w:cs="Times New Roman"/>
      <w:sz w:val="20"/>
      <w:szCs w:val="20"/>
    </w:rPr>
  </w:style>
  <w:style w:type="paragraph" w:styleId="Date">
    <w:name w:val="Date"/>
    <w:basedOn w:val="Normal"/>
    <w:next w:val="Normal"/>
    <w:link w:val="DateChar"/>
    <w:semiHidden/>
    <w:unhideWhenUsed/>
    <w:rsid w:val="002F02C2"/>
    <w:rPr>
      <w:rFonts w:ascii="Tahoma" w:eastAsia="Times New Roman" w:hAnsi="Tahoma"/>
      <w:lang w:val="de-AT" w:eastAsia="de-DE"/>
    </w:rPr>
  </w:style>
  <w:style w:type="character" w:customStyle="1" w:styleId="DateChar1">
    <w:name w:val="Date Char1"/>
    <w:basedOn w:val="DefaultParagraphFont"/>
    <w:semiHidden/>
    <w:rsid w:val="002F02C2"/>
    <w:rPr>
      <w:rFonts w:ascii="Calibri" w:eastAsia="Calibri" w:hAnsi="Calibri" w:cs="Times New Roman"/>
    </w:rPr>
  </w:style>
  <w:style w:type="character" w:customStyle="1" w:styleId="Emphasis1">
    <w:name w:val="Emphasis1"/>
    <w:semiHidden/>
    <w:rsid w:val="002F02C2"/>
  </w:style>
  <w:style w:type="paragraph" w:styleId="NoteHeading">
    <w:name w:val="Note Heading"/>
    <w:basedOn w:val="Normal"/>
    <w:next w:val="Normal"/>
    <w:link w:val="NoteHeadingChar"/>
    <w:semiHidden/>
    <w:unhideWhenUsed/>
    <w:rsid w:val="002F02C2"/>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2F02C2"/>
    <w:rPr>
      <w:rFonts w:ascii="Calibri" w:eastAsia="Calibri" w:hAnsi="Calibri" w:cs="Times New Roman"/>
    </w:rPr>
  </w:style>
  <w:style w:type="paragraph" w:styleId="BodyTextFirstIndent2">
    <w:name w:val="Body Text First Indent 2"/>
    <w:basedOn w:val="BodyTextIndent"/>
    <w:link w:val="BodyTextFirstIndent2Char"/>
    <w:semiHidden/>
    <w:unhideWhenUsed/>
    <w:rsid w:val="002F02C2"/>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2F02C2"/>
    <w:rPr>
      <w:rFonts w:ascii="Calibri" w:eastAsia="Calibri" w:hAnsi="Calibri" w:cs="Times New Roman"/>
    </w:rPr>
  </w:style>
  <w:style w:type="paragraph" w:styleId="Salutation">
    <w:name w:val="Salutation"/>
    <w:basedOn w:val="Normal"/>
    <w:next w:val="Normal"/>
    <w:link w:val="SalutationChar"/>
    <w:semiHidden/>
    <w:unhideWhenUsed/>
    <w:rsid w:val="002F02C2"/>
    <w:rPr>
      <w:rFonts w:ascii="Tahoma" w:eastAsia="Times New Roman" w:hAnsi="Tahoma"/>
      <w:lang w:val="de-AT" w:eastAsia="de-DE"/>
    </w:rPr>
  </w:style>
  <w:style w:type="character" w:customStyle="1" w:styleId="SalutationChar1">
    <w:name w:val="Salutation Char1"/>
    <w:basedOn w:val="DefaultParagraphFont"/>
    <w:semiHidden/>
    <w:rsid w:val="002F02C2"/>
    <w:rPr>
      <w:rFonts w:ascii="Calibri" w:eastAsia="Calibri" w:hAnsi="Calibri" w:cs="Times New Roman"/>
    </w:rPr>
  </w:style>
  <w:style w:type="paragraph" w:styleId="Closing">
    <w:name w:val="Closing"/>
    <w:basedOn w:val="Normal"/>
    <w:link w:val="ClosingChar"/>
    <w:semiHidden/>
    <w:unhideWhenUsed/>
    <w:rsid w:val="002F02C2"/>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2F02C2"/>
    <w:rPr>
      <w:rFonts w:ascii="Calibri" w:eastAsia="Calibri" w:hAnsi="Calibri" w:cs="Times New Roman"/>
    </w:rPr>
  </w:style>
  <w:style w:type="paragraph" w:styleId="Signature">
    <w:name w:val="Signature"/>
    <w:basedOn w:val="Normal"/>
    <w:link w:val="SignatureChar"/>
    <w:semiHidden/>
    <w:unhideWhenUsed/>
    <w:rsid w:val="002F02C2"/>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2F02C2"/>
    <w:rPr>
      <w:rFonts w:ascii="Calibri" w:eastAsia="Calibri" w:hAnsi="Calibri" w:cs="Times New Roman"/>
    </w:rPr>
  </w:style>
  <w:style w:type="paragraph" w:styleId="E-mailSignature">
    <w:name w:val="E-mail Signature"/>
    <w:basedOn w:val="Normal"/>
    <w:link w:val="E-mailSignatureChar"/>
    <w:semiHidden/>
    <w:unhideWhenUsed/>
    <w:rsid w:val="002F02C2"/>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2F02C2"/>
    <w:rPr>
      <w:rFonts w:ascii="Calibri" w:eastAsia="Calibri" w:hAnsi="Calibri" w:cs="Times New Roman"/>
    </w:rPr>
  </w:style>
  <w:style w:type="paragraph" w:styleId="BodyText2">
    <w:name w:val="Body Text 2"/>
    <w:basedOn w:val="Normal"/>
    <w:link w:val="BodyText2Char"/>
    <w:semiHidden/>
    <w:unhideWhenUsed/>
    <w:rsid w:val="002F02C2"/>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2F02C2"/>
    <w:rPr>
      <w:rFonts w:ascii="Calibri" w:eastAsia="Calibri" w:hAnsi="Calibri" w:cs="Times New Roman"/>
    </w:rPr>
  </w:style>
  <w:style w:type="paragraph" w:styleId="BodyTextIndent2">
    <w:name w:val="Body Text Indent 2"/>
    <w:basedOn w:val="Normal"/>
    <w:link w:val="BodyTextIndent2Char"/>
    <w:semiHidden/>
    <w:unhideWhenUsed/>
    <w:rsid w:val="002F02C2"/>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2F02C2"/>
    <w:rPr>
      <w:rFonts w:ascii="Calibri" w:eastAsia="Calibri" w:hAnsi="Calibri" w:cs="Times New Roman"/>
    </w:rPr>
  </w:style>
  <w:style w:type="paragraph" w:styleId="BodyTextIndent3">
    <w:name w:val="Body Text Indent 3"/>
    <w:basedOn w:val="Normal"/>
    <w:link w:val="BodyTextIndent3Char"/>
    <w:semiHidden/>
    <w:unhideWhenUsed/>
    <w:rsid w:val="002F02C2"/>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2F02C2"/>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2F02C2"/>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2F02C2"/>
    <w:rPr>
      <w:rFonts w:ascii="Calibri" w:eastAsia="Calibri" w:hAnsi="Calibri" w:cs="Times New Roman"/>
    </w:rPr>
  </w:style>
  <w:style w:type="character" w:customStyle="1" w:styleId="CharChar11">
    <w:name w:val="Char Char11"/>
    <w:semiHidden/>
    <w:locked/>
    <w:rsid w:val="002F02C2"/>
    <w:rPr>
      <w:rFonts w:ascii="Tahoma" w:hAnsi="Tahoma" w:cs="Tahoma" w:hint="default"/>
      <w:i/>
      <w:iCs/>
      <w:sz w:val="22"/>
      <w:szCs w:val="22"/>
      <w:lang w:val="de-AT" w:eastAsia="de-DE" w:bidi="ar-SA"/>
    </w:rPr>
  </w:style>
  <w:style w:type="character" w:customStyle="1" w:styleId="CharChar36">
    <w:name w:val="Char Char36"/>
    <w:locked/>
    <w:rsid w:val="002F02C2"/>
    <w:rPr>
      <w:rFonts w:ascii="Arial" w:hAnsi="Arial" w:cs="Arial" w:hint="default"/>
      <w:b/>
      <w:bCs/>
      <w:kern w:val="32"/>
      <w:sz w:val="32"/>
      <w:szCs w:val="32"/>
      <w:lang w:val="sq-AL" w:eastAsia="en-US" w:bidi="ar-SA"/>
    </w:rPr>
  </w:style>
  <w:style w:type="character" w:customStyle="1" w:styleId="CharChar35">
    <w:name w:val="Char Char35"/>
    <w:locked/>
    <w:rsid w:val="002F02C2"/>
    <w:rPr>
      <w:rFonts w:ascii="Arial" w:hAnsi="Arial" w:cs="Arial" w:hint="default"/>
      <w:b/>
      <w:bCs/>
      <w:i/>
      <w:iCs/>
      <w:sz w:val="28"/>
      <w:szCs w:val="28"/>
      <w:lang w:val="sq-AL" w:eastAsia="en-US" w:bidi="ar-SA"/>
    </w:rPr>
  </w:style>
  <w:style w:type="character" w:customStyle="1" w:styleId="CharChar34">
    <w:name w:val="Char Char34"/>
    <w:locked/>
    <w:rsid w:val="002F02C2"/>
    <w:rPr>
      <w:rFonts w:ascii="Tahoma" w:hAnsi="Tahoma" w:cs="Tahoma" w:hint="default"/>
      <w:b/>
      <w:bCs w:val="0"/>
      <w:kern w:val="28"/>
      <w:sz w:val="24"/>
      <w:szCs w:val="28"/>
      <w:lang w:val="de-AT" w:eastAsia="de-DE" w:bidi="ar-SA"/>
    </w:rPr>
  </w:style>
  <w:style w:type="character" w:customStyle="1" w:styleId="CharChar33">
    <w:name w:val="Char Char33"/>
    <w:locked/>
    <w:rsid w:val="002F02C2"/>
    <w:rPr>
      <w:rFonts w:ascii="Tahoma" w:hAnsi="Tahoma" w:cs="Tahoma" w:hint="default"/>
      <w:b/>
      <w:bCs w:val="0"/>
      <w:i/>
      <w:iCs w:val="0"/>
      <w:kern w:val="28"/>
      <w:sz w:val="22"/>
      <w:szCs w:val="22"/>
      <w:lang w:val="de-AT" w:eastAsia="de-DE" w:bidi="ar-SA"/>
    </w:rPr>
  </w:style>
  <w:style w:type="character" w:customStyle="1" w:styleId="CharChar32">
    <w:name w:val="Char Char32"/>
    <w:locked/>
    <w:rsid w:val="002F02C2"/>
    <w:rPr>
      <w:rFonts w:ascii="Tahoma" w:hAnsi="Tahoma" w:cs="Tahoma" w:hint="default"/>
      <w:b/>
      <w:bCs w:val="0"/>
      <w:i/>
      <w:iCs w:val="0"/>
      <w:kern w:val="28"/>
      <w:sz w:val="22"/>
      <w:szCs w:val="22"/>
      <w:lang w:val="de-AT" w:eastAsia="de-DE" w:bidi="ar-SA"/>
    </w:rPr>
  </w:style>
  <w:style w:type="character" w:customStyle="1" w:styleId="CharChar31">
    <w:name w:val="Char Char31"/>
    <w:locked/>
    <w:rsid w:val="002F02C2"/>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2F02C2"/>
    <w:rPr>
      <w:rFonts w:ascii="Courier New" w:hAnsi="Courier New" w:cs="Courier New" w:hint="default"/>
      <w:szCs w:val="22"/>
      <w:lang w:val="de-AT" w:eastAsia="de-DE" w:bidi="ar-SA"/>
    </w:rPr>
  </w:style>
  <w:style w:type="character" w:customStyle="1" w:styleId="CharChar30">
    <w:name w:val="Char Char30"/>
    <w:locked/>
    <w:rsid w:val="002F02C2"/>
    <w:rPr>
      <w:rFonts w:ascii="Tahoma" w:hAnsi="Tahoma" w:cs="Tahoma" w:hint="default"/>
      <w:b/>
      <w:bCs w:val="0"/>
      <w:i/>
      <w:iCs w:val="0"/>
      <w:kern w:val="28"/>
      <w:sz w:val="22"/>
      <w:szCs w:val="22"/>
      <w:lang w:val="de-AT" w:eastAsia="de-DE" w:bidi="ar-SA"/>
    </w:rPr>
  </w:style>
  <w:style w:type="character" w:customStyle="1" w:styleId="CharChar29">
    <w:name w:val="Char Char29"/>
    <w:locked/>
    <w:rsid w:val="002F02C2"/>
    <w:rPr>
      <w:rFonts w:ascii="Tahoma" w:hAnsi="Tahoma" w:cs="Tahoma" w:hint="default"/>
      <w:b/>
      <w:bCs w:val="0"/>
      <w:i/>
      <w:iCs w:val="0"/>
      <w:kern w:val="28"/>
      <w:sz w:val="22"/>
      <w:szCs w:val="22"/>
      <w:lang w:val="de-AT" w:eastAsia="de-DE" w:bidi="ar-SA"/>
    </w:rPr>
  </w:style>
  <w:style w:type="character" w:customStyle="1" w:styleId="CharChar28">
    <w:name w:val="Char Char28"/>
    <w:locked/>
    <w:rsid w:val="002F02C2"/>
    <w:rPr>
      <w:rFonts w:ascii="Tahoma" w:hAnsi="Tahoma" w:cs="Tahoma" w:hint="default"/>
      <w:b/>
      <w:bCs w:val="0"/>
      <w:i/>
      <w:iCs w:val="0"/>
      <w:kern w:val="28"/>
      <w:sz w:val="22"/>
      <w:szCs w:val="22"/>
      <w:lang w:val="de-AT" w:eastAsia="de-DE" w:bidi="ar-SA"/>
    </w:rPr>
  </w:style>
  <w:style w:type="character" w:customStyle="1" w:styleId="CharChar27">
    <w:name w:val="Char Char27"/>
    <w:locked/>
    <w:rsid w:val="002F02C2"/>
    <w:rPr>
      <w:rFonts w:ascii="Calibri" w:eastAsia="Calibri" w:hAnsi="Calibri" w:hint="default"/>
      <w:lang w:val="sq-AL" w:eastAsia="en-US" w:bidi="ar-SA"/>
    </w:rPr>
  </w:style>
  <w:style w:type="character" w:customStyle="1" w:styleId="CharChar24">
    <w:name w:val="Char Char24"/>
    <w:locked/>
    <w:rsid w:val="002F02C2"/>
    <w:rPr>
      <w:rFonts w:ascii="Tahoma" w:hAnsi="Tahoma" w:cs="Tahoma" w:hint="default"/>
      <w:sz w:val="22"/>
      <w:szCs w:val="22"/>
      <w:lang w:val="de-AT" w:eastAsia="de-DE" w:bidi="ar-SA"/>
    </w:rPr>
  </w:style>
  <w:style w:type="character" w:customStyle="1" w:styleId="CharChar23">
    <w:name w:val="Char Char23"/>
    <w:locked/>
    <w:rsid w:val="002F02C2"/>
    <w:rPr>
      <w:rFonts w:ascii="Tahoma" w:hAnsi="Tahoma" w:cs="Tahoma" w:hint="default"/>
      <w:sz w:val="22"/>
      <w:szCs w:val="22"/>
      <w:lang w:val="de-AT" w:eastAsia="de-DE" w:bidi="ar-SA"/>
    </w:rPr>
  </w:style>
  <w:style w:type="character" w:customStyle="1" w:styleId="CharChar22">
    <w:name w:val="Char Char22"/>
    <w:semiHidden/>
    <w:locked/>
    <w:rsid w:val="002F02C2"/>
    <w:rPr>
      <w:rFonts w:ascii="Courier New" w:hAnsi="Courier New" w:cs="Courier New" w:hint="default"/>
      <w:sz w:val="22"/>
      <w:szCs w:val="22"/>
      <w:lang w:val="de-DE" w:eastAsia="de-DE" w:bidi="ar-SA"/>
    </w:rPr>
  </w:style>
  <w:style w:type="character" w:customStyle="1" w:styleId="CharChar21">
    <w:name w:val="Char Char21"/>
    <w:locked/>
    <w:rsid w:val="002F02C2"/>
    <w:rPr>
      <w:rFonts w:ascii="Tahoma" w:hAnsi="Tahoma" w:cs="Tahoma" w:hint="default"/>
      <w:b/>
      <w:bCs w:val="0"/>
      <w:kern w:val="28"/>
      <w:sz w:val="36"/>
      <w:szCs w:val="36"/>
      <w:lang w:val="de-AT" w:eastAsia="de-DE" w:bidi="ar-SA"/>
    </w:rPr>
  </w:style>
  <w:style w:type="character" w:customStyle="1" w:styleId="CharChar12">
    <w:name w:val="Char Char12"/>
    <w:semiHidden/>
    <w:locked/>
    <w:rsid w:val="002F02C2"/>
    <w:rPr>
      <w:rFonts w:ascii="Tahoma" w:hAnsi="Tahoma" w:cs="Tahoma" w:hint="default"/>
      <w:sz w:val="22"/>
      <w:szCs w:val="22"/>
      <w:lang w:val="de-AT" w:eastAsia="de-DE" w:bidi="ar-SA"/>
    </w:rPr>
  </w:style>
  <w:style w:type="character" w:customStyle="1" w:styleId="CharChar9">
    <w:name w:val="Char Char9"/>
    <w:semiHidden/>
    <w:locked/>
    <w:rsid w:val="002F02C2"/>
    <w:rPr>
      <w:rFonts w:ascii="Tahoma" w:hAnsi="Tahoma" w:cs="Tahoma" w:hint="default"/>
      <w:sz w:val="22"/>
      <w:szCs w:val="22"/>
      <w:lang w:val="de-AT" w:eastAsia="de-DE" w:bidi="ar-SA"/>
    </w:rPr>
  </w:style>
  <w:style w:type="character" w:customStyle="1" w:styleId="CharChar25">
    <w:name w:val="Char Char25"/>
    <w:semiHidden/>
    <w:locked/>
    <w:rsid w:val="002F02C2"/>
    <w:rPr>
      <w:rFonts w:ascii="Tahoma" w:hAnsi="Tahoma" w:cs="Tahoma" w:hint="default"/>
      <w:sz w:val="22"/>
      <w:szCs w:val="22"/>
      <w:lang w:val="de-AT" w:eastAsia="de-DE" w:bidi="ar-SA"/>
    </w:rPr>
  </w:style>
  <w:style w:type="character" w:customStyle="1" w:styleId="CharChar15">
    <w:name w:val="Char Char15"/>
    <w:semiHidden/>
    <w:locked/>
    <w:rsid w:val="002F02C2"/>
    <w:rPr>
      <w:rFonts w:ascii="Tahoma" w:hAnsi="Tahoma" w:cs="Tahoma" w:hint="default"/>
      <w:sz w:val="22"/>
      <w:szCs w:val="22"/>
      <w:lang w:val="de-AT" w:eastAsia="de-DE" w:bidi="ar-SA"/>
    </w:rPr>
  </w:style>
  <w:style w:type="character" w:customStyle="1" w:styleId="CharChar16">
    <w:name w:val="Char Char16"/>
    <w:semiHidden/>
    <w:locked/>
    <w:rsid w:val="002F02C2"/>
    <w:rPr>
      <w:rFonts w:ascii="Tahoma" w:hAnsi="Tahoma" w:cs="Arial" w:hint="default"/>
      <w:sz w:val="24"/>
      <w:szCs w:val="24"/>
      <w:lang w:val="de-AT" w:eastAsia="de-DE" w:bidi="ar-SA"/>
    </w:rPr>
  </w:style>
  <w:style w:type="character" w:customStyle="1" w:styleId="CharChar20">
    <w:name w:val="Char Char20"/>
    <w:locked/>
    <w:rsid w:val="002F02C2"/>
    <w:rPr>
      <w:rFonts w:ascii="Tahoma" w:hAnsi="Tahoma" w:cs="Tahoma" w:hint="default"/>
      <w:b/>
      <w:bCs w:val="0"/>
      <w:kern w:val="28"/>
      <w:sz w:val="32"/>
      <w:szCs w:val="36"/>
      <w:lang w:val="de-AT" w:eastAsia="de-DE" w:bidi="ar-SA"/>
    </w:rPr>
  </w:style>
  <w:style w:type="character" w:customStyle="1" w:styleId="CharChar13">
    <w:name w:val="Char Char13"/>
    <w:semiHidden/>
    <w:locked/>
    <w:rsid w:val="002F02C2"/>
    <w:rPr>
      <w:rFonts w:ascii="Tahoma" w:hAnsi="Tahoma" w:cs="Tahoma" w:hint="default"/>
      <w:sz w:val="22"/>
      <w:szCs w:val="22"/>
      <w:lang w:val="de-AT" w:eastAsia="de-DE" w:bidi="ar-SA"/>
    </w:rPr>
  </w:style>
  <w:style w:type="character" w:customStyle="1" w:styleId="CharChar19">
    <w:name w:val="Char Char19"/>
    <w:semiHidden/>
    <w:locked/>
    <w:rsid w:val="002F02C2"/>
    <w:rPr>
      <w:rFonts w:ascii="Tahoma" w:hAnsi="Tahoma" w:cs="Tahoma" w:hint="default"/>
      <w:sz w:val="22"/>
      <w:szCs w:val="22"/>
      <w:lang w:val="de-AT" w:eastAsia="de-DE" w:bidi="ar-SA"/>
    </w:rPr>
  </w:style>
  <w:style w:type="character" w:customStyle="1" w:styleId="CharChar3">
    <w:name w:val="Char Char3"/>
    <w:semiHidden/>
    <w:locked/>
    <w:rsid w:val="002F02C2"/>
  </w:style>
  <w:style w:type="character" w:customStyle="1" w:styleId="CharChar14">
    <w:name w:val="Char Char14"/>
    <w:semiHidden/>
    <w:locked/>
    <w:rsid w:val="002F02C2"/>
  </w:style>
  <w:style w:type="character" w:customStyle="1" w:styleId="CharChar17">
    <w:name w:val="Char Char17"/>
    <w:locked/>
    <w:rsid w:val="002F02C2"/>
    <w:rPr>
      <w:rFonts w:ascii="Tahoma" w:hAnsi="Tahoma" w:cs="Tahoma" w:hint="default"/>
      <w:sz w:val="22"/>
      <w:szCs w:val="22"/>
      <w:lang w:val="de-AT" w:eastAsia="de-DE" w:bidi="ar-SA"/>
    </w:rPr>
  </w:style>
  <w:style w:type="character" w:customStyle="1" w:styleId="CharChar7">
    <w:name w:val="Char Char7"/>
    <w:semiHidden/>
    <w:locked/>
    <w:rsid w:val="002F02C2"/>
    <w:rPr>
      <w:rFonts w:ascii="Tahoma" w:hAnsi="Tahoma" w:cs="Tahoma" w:hint="default"/>
      <w:sz w:val="22"/>
      <w:szCs w:val="22"/>
      <w:lang w:val="de-AT" w:eastAsia="de-DE" w:bidi="ar-SA"/>
    </w:rPr>
  </w:style>
  <w:style w:type="character" w:customStyle="1" w:styleId="CharChar6">
    <w:name w:val="Char Char6"/>
    <w:semiHidden/>
    <w:locked/>
    <w:rsid w:val="002F02C2"/>
    <w:rPr>
      <w:rFonts w:ascii="Tahoma" w:hAnsi="Tahoma" w:cs="Tahoma" w:hint="default"/>
      <w:sz w:val="16"/>
      <w:szCs w:val="16"/>
      <w:lang w:val="de-AT" w:eastAsia="de-DE" w:bidi="ar-SA"/>
    </w:rPr>
  </w:style>
  <w:style w:type="character" w:customStyle="1" w:styleId="CharChar5">
    <w:name w:val="Char Char5"/>
    <w:semiHidden/>
    <w:locked/>
    <w:rsid w:val="002F02C2"/>
    <w:rPr>
      <w:rFonts w:ascii="Tahoma" w:hAnsi="Tahoma" w:cs="Tahoma" w:hint="default"/>
      <w:sz w:val="22"/>
      <w:szCs w:val="22"/>
      <w:lang w:val="de-AT" w:eastAsia="de-DE" w:bidi="ar-SA"/>
    </w:rPr>
  </w:style>
  <w:style w:type="character" w:customStyle="1" w:styleId="CharChar4">
    <w:name w:val="Char Char4"/>
    <w:semiHidden/>
    <w:locked/>
    <w:rsid w:val="002F02C2"/>
    <w:rPr>
      <w:rFonts w:ascii="Tahoma" w:hAnsi="Tahoma" w:cs="Tahoma" w:hint="default"/>
      <w:sz w:val="16"/>
      <w:szCs w:val="16"/>
      <w:lang w:val="de-AT" w:eastAsia="de-DE" w:bidi="ar-SA"/>
    </w:rPr>
  </w:style>
  <w:style w:type="character" w:customStyle="1" w:styleId="CharChar18">
    <w:name w:val="Char Char18"/>
    <w:semiHidden/>
    <w:locked/>
    <w:rsid w:val="002F02C2"/>
    <w:rPr>
      <w:rFonts w:ascii="Tahoma" w:hAnsi="Tahoma" w:cs="Tahoma" w:hint="default"/>
      <w:sz w:val="22"/>
      <w:szCs w:val="22"/>
      <w:lang w:val="de-AT" w:eastAsia="de-DE" w:bidi="ar-SA"/>
    </w:rPr>
  </w:style>
  <w:style w:type="character" w:customStyle="1" w:styleId="CharChar8">
    <w:name w:val="Char Char8"/>
    <w:locked/>
    <w:rsid w:val="002F02C2"/>
    <w:rPr>
      <w:rFonts w:ascii="Tahoma" w:hAnsi="Tahoma" w:cs="Tahoma" w:hint="default"/>
      <w:sz w:val="22"/>
      <w:szCs w:val="22"/>
      <w:lang w:val="de-AT" w:eastAsia="de-DE" w:bidi="ar-SA"/>
    </w:rPr>
  </w:style>
  <w:style w:type="character" w:customStyle="1" w:styleId="CharChar2">
    <w:name w:val="Char Char2"/>
    <w:locked/>
    <w:rsid w:val="002F02C2"/>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2F02C2"/>
    <w:rPr>
      <w:rFonts w:ascii="Tahoma" w:hAnsi="Tahoma" w:cs="Tahoma" w:hint="default"/>
      <w:sz w:val="16"/>
      <w:szCs w:val="16"/>
      <w:lang w:val="sq-AL" w:eastAsia="en-US" w:bidi="ar-SA"/>
    </w:rPr>
  </w:style>
  <w:style w:type="character" w:customStyle="1" w:styleId="CommentTextChar11">
    <w:name w:val="Comment Text Char11"/>
    <w:aliases w:val="Char Char37"/>
    <w:semiHidden/>
    <w:rsid w:val="002F02C2"/>
    <w:rPr>
      <w:rFonts w:ascii="Calibri" w:hAnsi="Calibri" w:hint="default"/>
      <w:lang w:val="sq-AL"/>
    </w:rPr>
  </w:style>
  <w:style w:type="character" w:customStyle="1" w:styleId="DeltaViewInsertion">
    <w:name w:val="DeltaView Insertion"/>
    <w:uiPriority w:val="99"/>
    <w:rsid w:val="002F02C2"/>
    <w:rPr>
      <w:color w:val="0000FF"/>
      <w:spacing w:val="0"/>
      <w:u w:val="double"/>
    </w:rPr>
  </w:style>
  <w:style w:type="character" w:customStyle="1" w:styleId="az12">
    <w:name w:val="az12"/>
    <w:uiPriority w:val="99"/>
    <w:rsid w:val="002F02C2"/>
    <w:rPr>
      <w:rFonts w:ascii="Times New Roman" w:hAnsi="Times New Roman" w:cs="Times New Roman" w:hint="default"/>
      <w:sz w:val="24"/>
    </w:rPr>
  </w:style>
  <w:style w:type="character" w:customStyle="1" w:styleId="Style26">
    <w:name w:val="Style2"/>
    <w:basedOn w:val="Point1Char"/>
    <w:uiPriority w:val="1"/>
    <w:qFormat/>
    <w:rsid w:val="002F02C2"/>
    <w:rPr>
      <w:rFonts w:ascii="Calibri" w:eastAsia="Times New Roman" w:hAnsi="Calibri" w:cs="Times New Roman"/>
      <w:sz w:val="24"/>
      <w:szCs w:val="24"/>
      <w:lang w:val="en-GB" w:eastAsia="en-GB"/>
    </w:rPr>
  </w:style>
  <w:style w:type="character" w:customStyle="1" w:styleId="Style2Char">
    <w:name w:val="Style2 Char"/>
    <w:locked/>
    <w:rsid w:val="002F02C2"/>
    <w:rPr>
      <w:rFonts w:ascii="Times New Roman" w:eastAsia="Times New Roman" w:hAnsi="Times New Roman" w:cs="Times New Roman" w:hint="default"/>
      <w:color w:val="0070C0"/>
      <w:sz w:val="28"/>
      <w:szCs w:val="24"/>
      <w:lang w:val="sq-AL"/>
    </w:rPr>
  </w:style>
  <w:style w:type="character" w:customStyle="1" w:styleId="longtext1">
    <w:name w:val="long_text1"/>
    <w:rsid w:val="002F02C2"/>
    <w:rPr>
      <w:sz w:val="20"/>
      <w:szCs w:val="20"/>
    </w:rPr>
  </w:style>
  <w:style w:type="character" w:customStyle="1" w:styleId="En-tteoupieddepage0">
    <w:name w:val="En-tête ou pied de page"/>
    <w:basedOn w:val="En-tteoupieddepage"/>
    <w:uiPriority w:val="99"/>
    <w:rsid w:val="002F02C2"/>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2F02C2"/>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2F02C2"/>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2F02C2"/>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2F02C2"/>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2F02C2"/>
    <w:rPr>
      <w:rFonts w:ascii="Times New Roman" w:hAnsi="Times New Roman" w:cs="Times New Roman"/>
      <w:u w:val="single"/>
      <w:shd w:val="clear" w:color="auto" w:fill="FFFFFF"/>
    </w:rPr>
  </w:style>
  <w:style w:type="character" w:customStyle="1" w:styleId="super">
    <w:name w:val="super"/>
    <w:basedOn w:val="DefaultParagraphFont"/>
    <w:rsid w:val="002F02C2"/>
  </w:style>
  <w:style w:type="character" w:customStyle="1" w:styleId="italic">
    <w:name w:val="italic"/>
    <w:basedOn w:val="DefaultParagraphFont"/>
    <w:rsid w:val="002F02C2"/>
  </w:style>
  <w:style w:type="character" w:customStyle="1" w:styleId="shorttext">
    <w:name w:val="short_text"/>
    <w:basedOn w:val="DefaultParagraphFont"/>
    <w:rsid w:val="002F02C2"/>
  </w:style>
  <w:style w:type="character" w:customStyle="1" w:styleId="boldface">
    <w:name w:val="boldface"/>
    <w:basedOn w:val="DefaultParagraphFont"/>
    <w:rsid w:val="002F02C2"/>
  </w:style>
  <w:style w:type="character" w:customStyle="1" w:styleId="italics">
    <w:name w:val="italics"/>
    <w:basedOn w:val="DefaultParagraphFont"/>
    <w:rsid w:val="002F02C2"/>
  </w:style>
  <w:style w:type="character" w:customStyle="1" w:styleId="superscript">
    <w:name w:val="superscript"/>
    <w:basedOn w:val="DefaultParagraphFont"/>
    <w:rsid w:val="002F02C2"/>
  </w:style>
  <w:style w:type="paragraph" w:styleId="Caption">
    <w:name w:val="caption"/>
    <w:basedOn w:val="Normal"/>
    <w:next w:val="Normal"/>
    <w:link w:val="CaptionChar"/>
    <w:semiHidden/>
    <w:unhideWhenUsed/>
    <w:qFormat/>
    <w:rsid w:val="002F02C2"/>
    <w:pPr>
      <w:spacing w:line="240" w:lineRule="auto"/>
    </w:pPr>
    <w:rPr>
      <w:rFonts w:ascii="Tahoma" w:eastAsia="Times New Roman" w:hAnsi="Tahoma"/>
      <w:sz w:val="16"/>
      <w:lang w:val="de-AT" w:eastAsia="de-DE"/>
    </w:rPr>
  </w:style>
  <w:style w:type="character" w:customStyle="1" w:styleId="MessageHeaderLabel">
    <w:name w:val="Message Header Label"/>
    <w:rsid w:val="002F02C2"/>
    <w:rPr>
      <w:rFonts w:ascii="Arial" w:hAnsi="Arial" w:cs="Arial" w:hint="default"/>
      <w:b/>
      <w:bCs/>
      <w:spacing w:val="-4"/>
      <w:sz w:val="18"/>
      <w:szCs w:val="18"/>
      <w:vertAlign w:val="baseline"/>
    </w:rPr>
  </w:style>
  <w:style w:type="character" w:customStyle="1" w:styleId="bold">
    <w:name w:val="bold"/>
    <w:rsid w:val="002F02C2"/>
    <w:rPr>
      <w:b/>
      <w:bCs/>
    </w:rPr>
  </w:style>
  <w:style w:type="character" w:customStyle="1" w:styleId="st">
    <w:name w:val="st"/>
    <w:rsid w:val="002F02C2"/>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2F02C2"/>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2F02C2"/>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2F02C2"/>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2F02C2"/>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2F02C2"/>
    <w:rPr>
      <w:i/>
      <w:iCs/>
      <w:color w:val="000000"/>
      <w:spacing w:val="0"/>
      <w:w w:val="100"/>
      <w:position w:val="0"/>
      <w:sz w:val="16"/>
      <w:szCs w:val="16"/>
      <w:shd w:val="clear" w:color="auto" w:fill="FFFFFF"/>
      <w:lang w:val="sq-AL" w:eastAsia="sq-AL" w:bidi="sq-AL"/>
    </w:rPr>
  </w:style>
  <w:style w:type="character" w:customStyle="1" w:styleId="text10">
    <w:name w:val="text1"/>
    <w:rsid w:val="002F02C2"/>
    <w:rPr>
      <w:rFonts w:ascii="Verdana" w:hAnsi="Verdana" w:hint="default"/>
      <w:color w:val="000000"/>
      <w:sz w:val="18"/>
      <w:szCs w:val="18"/>
    </w:rPr>
  </w:style>
  <w:style w:type="character" w:customStyle="1" w:styleId="TitleChar2">
    <w:name w:val="Title Char2"/>
    <w:uiPriority w:val="99"/>
    <w:locked/>
    <w:rsid w:val="002F02C2"/>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2F02C2"/>
    <w:rPr>
      <w:rFonts w:ascii="Garamond" w:hAnsi="Garamond" w:cs="Garamond" w:hint="default"/>
      <w:sz w:val="22"/>
      <w:szCs w:val="22"/>
    </w:rPr>
  </w:style>
  <w:style w:type="character" w:customStyle="1" w:styleId="arial14">
    <w:name w:val="arial14"/>
    <w:rsid w:val="002F02C2"/>
  </w:style>
  <w:style w:type="character" w:customStyle="1" w:styleId="ju-005fpara--char">
    <w:name w:val="ju-005fpara--char"/>
    <w:basedOn w:val="DefaultParagraphFont"/>
    <w:rsid w:val="002F02C2"/>
  </w:style>
  <w:style w:type="character" w:customStyle="1" w:styleId="eheadnotes">
    <w:name w:val="eheadnotes"/>
    <w:rsid w:val="002F02C2"/>
    <w:rPr>
      <w:rFonts w:ascii="Times New Roman" w:hAnsi="Times New Roman" w:cs="Times New Roman" w:hint="default"/>
    </w:rPr>
  </w:style>
  <w:style w:type="character" w:customStyle="1" w:styleId="edate">
    <w:name w:val="edate"/>
    <w:rsid w:val="002F02C2"/>
    <w:rPr>
      <w:rFonts w:ascii="Times New Roman" w:hAnsi="Times New Roman" w:cs="Times New Roman" w:hint="default"/>
    </w:rPr>
  </w:style>
  <w:style w:type="character" w:customStyle="1" w:styleId="enumber">
    <w:name w:val="enumber"/>
    <w:rsid w:val="002F02C2"/>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2F02C2"/>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2F02C2"/>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2F02C2"/>
  </w:style>
  <w:style w:type="character" w:customStyle="1" w:styleId="bumpedfont15">
    <w:name w:val="bumpedfont15"/>
    <w:rsid w:val="002F02C2"/>
  </w:style>
  <w:style w:type="character" w:customStyle="1" w:styleId="sub">
    <w:name w:val="sub"/>
    <w:basedOn w:val="DefaultParagraphFont"/>
    <w:rsid w:val="002F02C2"/>
  </w:style>
  <w:style w:type="character" w:customStyle="1" w:styleId="yshortcuts">
    <w:name w:val="yshortcuts"/>
    <w:basedOn w:val="DefaultParagraphFont"/>
    <w:rsid w:val="002F02C2"/>
  </w:style>
  <w:style w:type="character" w:customStyle="1" w:styleId="css-9sn2pa">
    <w:name w:val="css-9sn2pa"/>
    <w:rsid w:val="002F02C2"/>
  </w:style>
  <w:style w:type="character" w:customStyle="1" w:styleId="FontStyle26">
    <w:name w:val="Font Style26"/>
    <w:rsid w:val="002F02C2"/>
    <w:rPr>
      <w:rFonts w:ascii="Book Antiqua" w:hAnsi="Book Antiqua" w:cs="Book Antiqua" w:hint="default"/>
      <w:b/>
      <w:bCs/>
      <w:sz w:val="18"/>
      <w:szCs w:val="18"/>
    </w:rPr>
  </w:style>
  <w:style w:type="character" w:customStyle="1" w:styleId="FontStyle27">
    <w:name w:val="Font Style27"/>
    <w:rsid w:val="002F02C2"/>
    <w:rPr>
      <w:rFonts w:ascii="Book Antiqua" w:hAnsi="Book Antiqua" w:cs="Book Antiqua" w:hint="default"/>
      <w:sz w:val="18"/>
      <w:szCs w:val="18"/>
    </w:rPr>
  </w:style>
  <w:style w:type="character" w:customStyle="1" w:styleId="FontStyle28">
    <w:name w:val="Font Style28"/>
    <w:rsid w:val="002F02C2"/>
    <w:rPr>
      <w:rFonts w:ascii="Book Antiqua" w:hAnsi="Book Antiqua" w:cs="Book Antiqua" w:hint="default"/>
      <w:sz w:val="18"/>
      <w:szCs w:val="18"/>
    </w:rPr>
  </w:style>
  <w:style w:type="character" w:customStyle="1" w:styleId="FontStyle31">
    <w:name w:val="Font Style31"/>
    <w:rsid w:val="002F02C2"/>
    <w:rPr>
      <w:rFonts w:ascii="Bookman Old Style" w:hAnsi="Bookman Old Style" w:cs="Bookman Old Style" w:hint="default"/>
      <w:b/>
      <w:bCs/>
      <w:sz w:val="18"/>
      <w:szCs w:val="18"/>
    </w:rPr>
  </w:style>
  <w:style w:type="character" w:customStyle="1" w:styleId="FontStyle32">
    <w:name w:val="Font Style32"/>
    <w:rsid w:val="002F02C2"/>
    <w:rPr>
      <w:rFonts w:ascii="Times New Roman" w:hAnsi="Times New Roman" w:cs="Times New Roman" w:hint="default"/>
      <w:sz w:val="20"/>
      <w:szCs w:val="20"/>
    </w:rPr>
  </w:style>
  <w:style w:type="character" w:customStyle="1" w:styleId="FontStyle33">
    <w:name w:val="Font Style33"/>
    <w:rsid w:val="002F02C2"/>
    <w:rPr>
      <w:rFonts w:ascii="Times New Roman" w:hAnsi="Times New Roman" w:cs="Times New Roman" w:hint="default"/>
      <w:sz w:val="24"/>
      <w:szCs w:val="24"/>
    </w:rPr>
  </w:style>
  <w:style w:type="character" w:customStyle="1" w:styleId="FontStyle34">
    <w:name w:val="Font Style34"/>
    <w:rsid w:val="002F02C2"/>
    <w:rPr>
      <w:rFonts w:ascii="Times New Roman" w:hAnsi="Times New Roman" w:cs="Times New Roman" w:hint="default"/>
      <w:sz w:val="22"/>
      <w:szCs w:val="22"/>
    </w:rPr>
  </w:style>
  <w:style w:type="character" w:customStyle="1" w:styleId="FontStyle35">
    <w:name w:val="Font Style35"/>
    <w:rsid w:val="002F02C2"/>
    <w:rPr>
      <w:rFonts w:ascii="Times New Roman" w:hAnsi="Times New Roman" w:cs="Times New Roman" w:hint="default"/>
      <w:b/>
      <w:bCs/>
      <w:sz w:val="22"/>
      <w:szCs w:val="22"/>
    </w:rPr>
  </w:style>
  <w:style w:type="character" w:customStyle="1" w:styleId="FontStyle37">
    <w:name w:val="Font Style37"/>
    <w:rsid w:val="002F02C2"/>
    <w:rPr>
      <w:rFonts w:ascii="Times New Roman" w:hAnsi="Times New Roman" w:cs="Times New Roman" w:hint="default"/>
      <w:sz w:val="22"/>
      <w:szCs w:val="22"/>
    </w:rPr>
  </w:style>
  <w:style w:type="character" w:customStyle="1" w:styleId="FontStyle38">
    <w:name w:val="Font Style38"/>
    <w:rsid w:val="002F02C2"/>
    <w:rPr>
      <w:rFonts w:ascii="Times New Roman" w:hAnsi="Times New Roman" w:cs="Times New Roman" w:hint="default"/>
      <w:sz w:val="22"/>
      <w:szCs w:val="22"/>
    </w:rPr>
  </w:style>
  <w:style w:type="character" w:customStyle="1" w:styleId="FontStyle36">
    <w:name w:val="Font Style36"/>
    <w:rsid w:val="002F02C2"/>
    <w:rPr>
      <w:rFonts w:ascii="Garamond" w:hAnsi="Garamond" w:cs="Garamond" w:hint="default"/>
      <w:i/>
      <w:iCs/>
      <w:sz w:val="24"/>
      <w:szCs w:val="24"/>
    </w:rPr>
  </w:style>
  <w:style w:type="character" w:customStyle="1" w:styleId="FontStyle39">
    <w:name w:val="Font Style39"/>
    <w:rsid w:val="002F02C2"/>
    <w:rPr>
      <w:rFonts w:ascii="Times New Roman" w:hAnsi="Times New Roman" w:cs="Times New Roman" w:hint="default"/>
      <w:sz w:val="22"/>
      <w:szCs w:val="22"/>
    </w:rPr>
  </w:style>
  <w:style w:type="character" w:customStyle="1" w:styleId="FontStyle40">
    <w:name w:val="Font Style40"/>
    <w:rsid w:val="002F02C2"/>
    <w:rPr>
      <w:rFonts w:ascii="Franklin Gothic Medium Cond" w:hAnsi="Franklin Gothic Medium Cond" w:cs="Franklin Gothic Medium Cond" w:hint="default"/>
      <w:b/>
      <w:bCs/>
      <w:sz w:val="24"/>
      <w:szCs w:val="24"/>
    </w:rPr>
  </w:style>
  <w:style w:type="character" w:customStyle="1" w:styleId="FontStyle41">
    <w:name w:val="Font Style41"/>
    <w:rsid w:val="002F02C2"/>
    <w:rPr>
      <w:rFonts w:ascii="Times New Roman" w:hAnsi="Times New Roman" w:cs="Times New Roman" w:hint="default"/>
      <w:b/>
      <w:bCs/>
      <w:sz w:val="22"/>
      <w:szCs w:val="22"/>
    </w:rPr>
  </w:style>
  <w:style w:type="character" w:customStyle="1" w:styleId="FontStyle42">
    <w:name w:val="Font Style42"/>
    <w:rsid w:val="002F02C2"/>
    <w:rPr>
      <w:rFonts w:ascii="Georgia" w:hAnsi="Georgia" w:cs="Georgia" w:hint="default"/>
      <w:sz w:val="18"/>
      <w:szCs w:val="18"/>
    </w:rPr>
  </w:style>
  <w:style w:type="character" w:customStyle="1" w:styleId="FontStyle43">
    <w:name w:val="Font Style43"/>
    <w:rsid w:val="002F02C2"/>
    <w:rPr>
      <w:rFonts w:ascii="Times New Roman" w:hAnsi="Times New Roman" w:cs="Times New Roman" w:hint="default"/>
      <w:sz w:val="34"/>
      <w:szCs w:val="34"/>
    </w:rPr>
  </w:style>
  <w:style w:type="character" w:customStyle="1" w:styleId="FontStyle44">
    <w:name w:val="Font Style44"/>
    <w:rsid w:val="002F02C2"/>
    <w:rPr>
      <w:rFonts w:ascii="Georgia" w:hAnsi="Georgia" w:cs="Georgia" w:hint="default"/>
      <w:b/>
      <w:bCs/>
      <w:sz w:val="20"/>
      <w:szCs w:val="20"/>
    </w:rPr>
  </w:style>
  <w:style w:type="character" w:customStyle="1" w:styleId="FontStyle45">
    <w:name w:val="Font Style45"/>
    <w:rsid w:val="002F02C2"/>
    <w:rPr>
      <w:rFonts w:ascii="Times New Roman" w:hAnsi="Times New Roman" w:cs="Times New Roman" w:hint="default"/>
      <w:sz w:val="22"/>
      <w:szCs w:val="22"/>
    </w:rPr>
  </w:style>
  <w:style w:type="character" w:customStyle="1" w:styleId="FontStyle46">
    <w:name w:val="Font Style46"/>
    <w:rsid w:val="002F02C2"/>
    <w:rPr>
      <w:rFonts w:ascii="Times New Roman" w:hAnsi="Times New Roman" w:cs="Times New Roman" w:hint="default"/>
      <w:sz w:val="22"/>
      <w:szCs w:val="22"/>
    </w:rPr>
  </w:style>
  <w:style w:type="character" w:customStyle="1" w:styleId="FontStyle29">
    <w:name w:val="Font Style29"/>
    <w:rsid w:val="002F02C2"/>
    <w:rPr>
      <w:rFonts w:ascii="Palatino Linotype" w:hAnsi="Palatino Linotype" w:cs="Palatino Linotype" w:hint="default"/>
      <w:sz w:val="16"/>
      <w:szCs w:val="16"/>
    </w:rPr>
  </w:style>
  <w:style w:type="character" w:customStyle="1" w:styleId="FontStyle30">
    <w:name w:val="Font Style30"/>
    <w:rsid w:val="002F02C2"/>
    <w:rPr>
      <w:rFonts w:ascii="Book Antiqua" w:hAnsi="Book Antiqua" w:cs="Book Antiqua" w:hint="default"/>
      <w:sz w:val="18"/>
      <w:szCs w:val="18"/>
    </w:rPr>
  </w:style>
  <w:style w:type="character" w:customStyle="1" w:styleId="FontStyle24">
    <w:name w:val="Font Style24"/>
    <w:rsid w:val="002F02C2"/>
    <w:rPr>
      <w:rFonts w:ascii="Book Antiqua" w:hAnsi="Book Antiqua" w:cs="Book Antiqua" w:hint="default"/>
      <w:sz w:val="16"/>
      <w:szCs w:val="16"/>
    </w:rPr>
  </w:style>
  <w:style w:type="character" w:customStyle="1" w:styleId="FontStyle12">
    <w:name w:val="Font Style12"/>
    <w:rsid w:val="002F02C2"/>
    <w:rPr>
      <w:rFonts w:ascii="Century Gothic" w:hAnsi="Century Gothic" w:cs="Century Gothic" w:hint="default"/>
      <w:b/>
      <w:bCs/>
      <w:sz w:val="16"/>
      <w:szCs w:val="16"/>
    </w:rPr>
  </w:style>
  <w:style w:type="character" w:customStyle="1" w:styleId="FontStyle14">
    <w:name w:val="Font Style14"/>
    <w:rsid w:val="002F02C2"/>
    <w:rPr>
      <w:rFonts w:ascii="Book Antiqua" w:hAnsi="Book Antiqua" w:cs="Book Antiqua" w:hint="default"/>
      <w:sz w:val="20"/>
      <w:szCs w:val="20"/>
    </w:rPr>
  </w:style>
  <w:style w:type="character" w:customStyle="1" w:styleId="FontStyle15">
    <w:name w:val="Font Style15"/>
    <w:rsid w:val="002F02C2"/>
    <w:rPr>
      <w:rFonts w:ascii="Book Antiqua" w:hAnsi="Book Antiqua" w:cs="Book Antiqua" w:hint="default"/>
      <w:b/>
      <w:bCs/>
      <w:sz w:val="20"/>
      <w:szCs w:val="20"/>
    </w:rPr>
  </w:style>
  <w:style w:type="character" w:customStyle="1" w:styleId="FontStyle16">
    <w:name w:val="Font Style16"/>
    <w:rsid w:val="002F02C2"/>
    <w:rPr>
      <w:rFonts w:ascii="Palatino Linotype" w:hAnsi="Palatino Linotype" w:cs="Palatino Linotype" w:hint="default"/>
      <w:sz w:val="20"/>
      <w:szCs w:val="20"/>
    </w:rPr>
  </w:style>
  <w:style w:type="character" w:customStyle="1" w:styleId="FontStyle17">
    <w:name w:val="Font Style17"/>
    <w:rsid w:val="002F02C2"/>
    <w:rPr>
      <w:rFonts w:ascii="Book Antiqua" w:hAnsi="Book Antiqua" w:cs="Book Antiqua" w:hint="default"/>
      <w:sz w:val="22"/>
      <w:szCs w:val="22"/>
    </w:rPr>
  </w:style>
  <w:style w:type="character" w:customStyle="1" w:styleId="FontStyle18">
    <w:name w:val="Font Style18"/>
    <w:rsid w:val="002F02C2"/>
    <w:rPr>
      <w:rFonts w:ascii="MS Reference Sans Serif" w:hAnsi="MS Reference Sans Serif" w:cs="MS Reference Sans Serif" w:hint="default"/>
      <w:sz w:val="20"/>
      <w:szCs w:val="20"/>
    </w:rPr>
  </w:style>
  <w:style w:type="character" w:customStyle="1" w:styleId="CommentSubjectChar1">
    <w:name w:val="Comment Subject Char1"/>
    <w:uiPriority w:val="99"/>
    <w:rsid w:val="002F02C2"/>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2F02C2"/>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uiPriority w:val="1"/>
    <w:semiHidden/>
    <w:locked/>
    <w:rsid w:val="002F02C2"/>
    <w:rPr>
      <w:rFonts w:ascii="Book Antiqua" w:hAnsi="Book Antiqua" w:hint="default"/>
      <w:sz w:val="24"/>
      <w:szCs w:val="24"/>
      <w:lang w:val="sq-AL"/>
    </w:rPr>
  </w:style>
  <w:style w:type="character" w:customStyle="1" w:styleId="Bodytext32">
    <w:name w:val="Body text (3)"/>
    <w:rsid w:val="002F02C2"/>
    <w:rPr>
      <w:rFonts w:ascii="Book Antiqua" w:eastAsia="Book Antiqua" w:hAnsi="Book Antiqua" w:cs="Book Antiqua" w:hint="default"/>
      <w:b/>
      <w:bCs/>
      <w:i w:val="0"/>
      <w:iCs w:val="0"/>
      <w:smallCaps w:val="0"/>
      <w:strike w:val="0"/>
      <w:dstrike w:val="0"/>
      <w:color w:val="433E4A"/>
      <w:spacing w:val="0"/>
      <w:w w:val="100"/>
      <w:position w:val="0"/>
      <w:sz w:val="22"/>
      <w:szCs w:val="22"/>
      <w:u w:val="none"/>
      <w:effect w:val="none"/>
      <w:lang w:val="sq-AL" w:eastAsia="sq-AL" w:bidi="sq-AL"/>
    </w:rPr>
  </w:style>
  <w:style w:type="table" w:styleId="TableSimple1">
    <w:name w:val="Table Simple 1"/>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F02C2"/>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F02C2"/>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F02C2"/>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F02C2"/>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F02C2"/>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F02C2"/>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F02C2"/>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F02C2"/>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2F02C2"/>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F02C2"/>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2F02C2"/>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F02C2"/>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F02C2"/>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2F02C2"/>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2F02C2"/>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2F02C2"/>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2F02C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uiPriority w:val="59"/>
    <w:rsid w:val="002F02C2"/>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2F02C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2F02C2"/>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2F02C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2F02C2"/>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2F02C2"/>
    <w:pPr>
      <w:numPr>
        <w:numId w:val="1"/>
      </w:numPr>
      <w:contextualSpacing/>
    </w:pPr>
  </w:style>
  <w:style w:type="paragraph" w:styleId="ListBullet">
    <w:name w:val="List Bullet"/>
    <w:basedOn w:val="Normal"/>
    <w:semiHidden/>
    <w:unhideWhenUsed/>
    <w:rsid w:val="002F02C2"/>
    <w:pPr>
      <w:numPr>
        <w:numId w:val="3"/>
      </w:numPr>
      <w:contextualSpacing/>
    </w:pPr>
  </w:style>
  <w:style w:type="paragraph" w:styleId="ListBullet2">
    <w:name w:val="List Bullet 2"/>
    <w:basedOn w:val="Normal"/>
    <w:semiHidden/>
    <w:unhideWhenUsed/>
    <w:rsid w:val="002F02C2"/>
    <w:pPr>
      <w:numPr>
        <w:numId w:val="5"/>
      </w:numPr>
      <w:contextualSpacing/>
    </w:pPr>
  </w:style>
  <w:style w:type="paragraph" w:styleId="ListBullet3">
    <w:name w:val="List Bullet 3"/>
    <w:basedOn w:val="Normal"/>
    <w:semiHidden/>
    <w:unhideWhenUsed/>
    <w:rsid w:val="002F02C2"/>
    <w:pPr>
      <w:numPr>
        <w:numId w:val="6"/>
      </w:numPr>
      <w:contextualSpacing/>
    </w:pPr>
  </w:style>
  <w:style w:type="paragraph" w:styleId="ListBullet4">
    <w:name w:val="List Bullet 4"/>
    <w:basedOn w:val="Normal"/>
    <w:semiHidden/>
    <w:unhideWhenUsed/>
    <w:rsid w:val="002F02C2"/>
    <w:pPr>
      <w:numPr>
        <w:numId w:val="7"/>
      </w:numPr>
      <w:contextualSpacing/>
    </w:pPr>
  </w:style>
  <w:style w:type="paragraph" w:styleId="ListBullet5">
    <w:name w:val="List Bullet 5"/>
    <w:basedOn w:val="Normal"/>
    <w:semiHidden/>
    <w:unhideWhenUsed/>
    <w:rsid w:val="002F02C2"/>
    <w:pPr>
      <w:numPr>
        <w:numId w:val="8"/>
      </w:numPr>
      <w:contextualSpacing/>
    </w:pPr>
  </w:style>
  <w:style w:type="paragraph" w:styleId="ListNumber2">
    <w:name w:val="List Number 2"/>
    <w:basedOn w:val="Normal"/>
    <w:semiHidden/>
    <w:unhideWhenUsed/>
    <w:rsid w:val="002F02C2"/>
    <w:pPr>
      <w:numPr>
        <w:numId w:val="9"/>
      </w:numPr>
      <w:contextualSpacing/>
    </w:pPr>
  </w:style>
  <w:style w:type="paragraph" w:styleId="ListNumber3">
    <w:name w:val="List Number 3"/>
    <w:basedOn w:val="Normal"/>
    <w:semiHidden/>
    <w:unhideWhenUsed/>
    <w:rsid w:val="002F02C2"/>
    <w:pPr>
      <w:numPr>
        <w:numId w:val="10"/>
      </w:numPr>
      <w:contextualSpacing/>
    </w:pPr>
  </w:style>
  <w:style w:type="paragraph" w:styleId="ListNumber4">
    <w:name w:val="List Number 4"/>
    <w:basedOn w:val="Normal"/>
    <w:semiHidden/>
    <w:unhideWhenUsed/>
    <w:rsid w:val="002F02C2"/>
    <w:pPr>
      <w:numPr>
        <w:numId w:val="11"/>
      </w:numPr>
      <w:contextualSpacing/>
    </w:pPr>
  </w:style>
  <w:style w:type="numbering" w:styleId="111111">
    <w:name w:val="Outline List 2"/>
    <w:basedOn w:val="NoList"/>
    <w:semiHidden/>
    <w:unhideWhenUsed/>
    <w:rsid w:val="002F02C2"/>
    <w:pPr>
      <w:numPr>
        <w:numId w:val="18"/>
      </w:numPr>
    </w:pPr>
  </w:style>
  <w:style w:type="numbering" w:customStyle="1" w:styleId="aAhs">
    <w:name w:val="aAhs"/>
    <w:uiPriority w:val="99"/>
    <w:rsid w:val="002F02C2"/>
    <w:pPr>
      <w:numPr>
        <w:numId w:val="19"/>
      </w:numPr>
    </w:pPr>
  </w:style>
  <w:style w:type="numbering" w:customStyle="1" w:styleId="Style3">
    <w:name w:val="Style3"/>
    <w:rsid w:val="002F02C2"/>
    <w:pPr>
      <w:numPr>
        <w:numId w:val="20"/>
      </w:numPr>
    </w:pPr>
  </w:style>
  <w:style w:type="numbering" w:styleId="ArticleSection">
    <w:name w:val="Outline List 3"/>
    <w:basedOn w:val="NoList"/>
    <w:semiHidden/>
    <w:unhideWhenUsed/>
    <w:rsid w:val="002F02C2"/>
    <w:pPr>
      <w:numPr>
        <w:numId w:val="21"/>
      </w:numPr>
    </w:pPr>
  </w:style>
  <w:style w:type="numbering" w:styleId="1ai">
    <w:name w:val="Outline List 1"/>
    <w:basedOn w:val="NoList"/>
    <w:semiHidden/>
    <w:unhideWhenUsed/>
    <w:rsid w:val="002F02C2"/>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11535</Words>
  <Characters>65755</Characters>
  <Application>Microsoft Office Word</Application>
  <DocSecurity>0</DocSecurity>
  <Lines>547</Lines>
  <Paragraphs>154</Paragraphs>
  <ScaleCrop>false</ScaleCrop>
  <Company/>
  <LinksUpToDate>false</LinksUpToDate>
  <CharactersWithSpaces>77136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2018-10-01T14:09:00Z</dcterms:created>
  <dcterms:modified xsi:type="dcterms:W3CDTF">2018-10-01T14:11:00Z</dcterms:modified>
</cp:coreProperties>
</file>