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956" w:rsidRDefault="00771956" w:rsidP="00771956">
      <w:pPr>
        <w:pStyle w:val="NeniTitull"/>
        <w:rPr>
          <w:i/>
          <w:lang w:val="sq-AL"/>
        </w:rPr>
      </w:pPr>
      <w:r>
        <w:rPr>
          <w:lang w:val="sq-AL"/>
        </w:rPr>
        <w:t>VENDIM</w:t>
      </w:r>
    </w:p>
    <w:p w:rsidR="00771956" w:rsidRDefault="00771956" w:rsidP="00771956">
      <w:pPr>
        <w:pStyle w:val="NeniTitull"/>
        <w:rPr>
          <w:i/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247, datë 11.12.2018</w:t>
      </w:r>
      <w:bookmarkEnd w:id="0"/>
    </w:p>
    <w:p w:rsidR="00771956" w:rsidRDefault="00771956" w:rsidP="00771956">
      <w:pPr>
        <w:pStyle w:val="NeniTitull"/>
        <w:rPr>
          <w:sz w:val="14"/>
          <w:lang w:val="sq-AL"/>
        </w:rPr>
      </w:pPr>
    </w:p>
    <w:p w:rsidR="00771956" w:rsidRDefault="00771956" w:rsidP="00771956">
      <w:pPr>
        <w:pStyle w:val="NeniTitull"/>
        <w:rPr>
          <w:caps/>
          <w:lang w:val="sq-AL"/>
        </w:rPr>
      </w:pPr>
      <w:r>
        <w:rPr>
          <w:caps/>
          <w:lang w:val="sq-AL"/>
        </w:rPr>
        <w:t>Mbi miratimin e “RregullaVE pËr Kushtet e shërbimit të furnizimit nga furnizuesi i mundësisë së fundit, dhe kushtet kontraktore tË furnizimit ME ENERGJI ELEKTRIKE”.</w:t>
      </w:r>
    </w:p>
    <w:p w:rsidR="00771956" w:rsidRDefault="00771956" w:rsidP="00771956">
      <w:pPr>
        <w:pStyle w:val="BodyTextIndent3"/>
        <w:widowControl w:val="0"/>
        <w:spacing w:after="0" w:line="240" w:lineRule="auto"/>
        <w:ind w:left="0" w:firstLine="284"/>
        <w:rPr>
          <w:rFonts w:ascii="Garamond" w:hAnsi="Garamond"/>
          <w:b/>
          <w:caps/>
          <w:sz w:val="14"/>
          <w:szCs w:val="24"/>
          <w:lang w:val="sq-AL"/>
        </w:rPr>
      </w:pPr>
    </w:p>
    <w:p w:rsidR="00771956" w:rsidRDefault="00771956" w:rsidP="0077195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16, nenit 86 dhe nenit 87, të ligjit nr. 43/2015 “</w:t>
      </w:r>
      <w:r>
        <w:rPr>
          <w:rFonts w:ascii="Garamond" w:hAnsi="Garamond"/>
          <w:i/>
          <w:sz w:val="24"/>
          <w:szCs w:val="24"/>
          <w:lang w:val="sq-AL"/>
        </w:rPr>
        <w:t>Për sektorin e energjisë elektrike</w:t>
      </w:r>
      <w:r>
        <w:rPr>
          <w:rFonts w:ascii="Garamond" w:hAnsi="Garamond"/>
          <w:sz w:val="24"/>
          <w:szCs w:val="24"/>
          <w:lang w:val="sq-AL"/>
        </w:rPr>
        <w:t xml:space="preserve">”, i ndryshuar; </w:t>
      </w:r>
      <w:r>
        <w:rPr>
          <w:rFonts w:ascii="Garamond" w:hAnsi="Garamond"/>
          <w:color w:val="000000"/>
          <w:sz w:val="24"/>
          <w:szCs w:val="24"/>
          <w:lang w:val="sq-AL"/>
        </w:rPr>
        <w:t>pikës 7 të VKM-së nr. 449, datë 15.6.2016 “</w:t>
      </w:r>
      <w:r>
        <w:rPr>
          <w:rFonts w:ascii="Garamond" w:hAnsi="Garamond"/>
          <w:sz w:val="24"/>
          <w:szCs w:val="24"/>
          <w:lang w:val="sq-AL"/>
        </w:rPr>
        <w:t>Për miratimin e kushteve dhe të procedurave për përcaktimin e Furnizuesit të Mundësisë së Fundit të Energjisë Elektrike”; nenit 26 të “</w:t>
      </w:r>
      <w:r>
        <w:rPr>
          <w:rFonts w:ascii="Garamond" w:hAnsi="Garamond"/>
          <w:i/>
          <w:sz w:val="24"/>
          <w:szCs w:val="24"/>
          <w:lang w:val="sq-AL"/>
        </w:rPr>
        <w:t xml:space="preserve">Rregullores për organizimin, funksionimin dhe procedurat e ERE-s”, </w:t>
      </w:r>
      <w:r>
        <w:rPr>
          <w:rFonts w:ascii="Garamond" w:hAnsi="Garamond"/>
          <w:sz w:val="24"/>
          <w:szCs w:val="24"/>
          <w:lang w:val="sq-AL"/>
        </w:rPr>
        <w:t xml:space="preserve">miratuar me vendimin e Bordit të ERE-s nr. 96, datë 17.6.2016, Bordi i ERE-s, </w:t>
      </w:r>
      <w:r>
        <w:rPr>
          <w:rFonts w:ascii="Garamond" w:hAnsi="Garamond"/>
          <w:spacing w:val="-4"/>
          <w:sz w:val="24"/>
          <w:szCs w:val="24"/>
          <w:lang w:val="sq-AL"/>
        </w:rPr>
        <w:t>në mbledhjen e tij të datës 11.12.2018, mbasi shqyrtoi relacionin e përgatitur nga drejtoritë teknike mbi miratimin e “</w:t>
      </w:r>
      <w:r>
        <w:rPr>
          <w:rFonts w:ascii="Garamond" w:hAnsi="Garamond"/>
          <w:i/>
          <w:spacing w:val="-4"/>
          <w:sz w:val="24"/>
          <w:szCs w:val="24"/>
          <w:lang w:val="sq-AL"/>
        </w:rPr>
        <w:t>Rregullave për kushtet e shërbimit të furnizimit nga Furnizuesi i Mundësisë së Fundit, dhe kushtet kontraktore të furnizimit me energji elektrike”.</w:t>
      </w:r>
    </w:p>
    <w:p w:rsidR="00771956" w:rsidRDefault="00771956" w:rsidP="007719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771956" w:rsidRDefault="00771956" w:rsidP="00771956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- Bazuar në autoritetin që i është dhënë dhe në përputhje me nenin 87 të ligjit nr. 43/2015, “Për sektorin e energjisë elektrike”, i ndryshuar, ERE përcakton kushtet e </w:t>
      </w:r>
      <w:r>
        <w:rPr>
          <w:i/>
          <w:spacing w:val="-4"/>
          <w:lang w:val="sq-AL"/>
        </w:rPr>
        <w:t>shërbimit të furnizimit nga Furnizuesi i Mundësisë së Fundit, dhe kushtet kontraktore të furnizimit me energji elektrike”</w:t>
      </w:r>
      <w:r>
        <w:rPr>
          <w:spacing w:val="-4"/>
          <w:lang w:val="sq-AL"/>
        </w:rPr>
        <w:t>.</w:t>
      </w:r>
    </w:p>
    <w:p w:rsidR="00771956" w:rsidRDefault="00771956" w:rsidP="00771956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- Bordi i ERE-s, në vendimin e tij nr. 45, datë 7.3.2018 vendosi: </w:t>
      </w:r>
      <w:r>
        <w:rPr>
          <w:i/>
          <w:spacing w:val="-4"/>
          <w:lang w:val="sq-AL"/>
        </w:rPr>
        <w:t>fillimin e procedurave për miratimin e “Rregullave për kushtet e shërbimit të furnizimit nga Furnizuesi i Mundësisë së Fundit dhe kushtet kontraktore të furnizimit me energji elektrike”</w:t>
      </w:r>
      <w:r>
        <w:rPr>
          <w:spacing w:val="-4"/>
          <w:lang w:val="sq-AL"/>
        </w:rPr>
        <w:t>.</w:t>
      </w:r>
    </w:p>
    <w:p w:rsidR="00771956" w:rsidRDefault="00771956" w:rsidP="0077195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 shkresën nr. 283 prot., datë 27.3.2018 ERE, ka ftuar të gjitha palët e interesuara për komente dhe opinione lidhur me këtë draft-rregullore. </w:t>
      </w:r>
    </w:p>
    <w:p w:rsidR="00771956" w:rsidRDefault="00771956" w:rsidP="00771956">
      <w:pPr>
        <w:pStyle w:val="Paragrafi"/>
        <w:rPr>
          <w:lang w:val="sq-AL"/>
        </w:rPr>
      </w:pPr>
      <w:r>
        <w:rPr>
          <w:bCs/>
          <w:iCs/>
          <w:spacing w:val="-4"/>
          <w:lang w:val="sq-AL"/>
        </w:rPr>
        <w:t xml:space="preserve">- Në shkresën e tij me nr. 283/1 prot. hyrës, datë 28.5.2018 Autoriteti i Konkurrencës, </w:t>
      </w:r>
      <w:r>
        <w:rPr>
          <w:spacing w:val="-4"/>
          <w:lang w:val="sq-AL"/>
        </w:rPr>
        <w:t xml:space="preserve">ka cituar se </w:t>
      </w:r>
      <w:r>
        <w:rPr>
          <w:bCs/>
          <w:iCs/>
          <w:spacing w:val="-4"/>
          <w:lang w:val="sq-AL"/>
        </w:rPr>
        <w:t>draft-rregullat për “</w:t>
      </w:r>
      <w:r>
        <w:rPr>
          <w:bCs/>
          <w:i/>
          <w:iCs/>
          <w:spacing w:val="-4"/>
          <w:lang w:val="sq-AL"/>
        </w:rPr>
        <w:t xml:space="preserve">Kushtet </w:t>
      </w:r>
      <w:r>
        <w:rPr>
          <w:i/>
          <w:spacing w:val="-4"/>
          <w:lang w:val="sq-AL"/>
        </w:rPr>
        <w:t>e shërbimit të furnizimit nga Furnizuesi i Mundësisë së Fundit dhe Kushtet Kontraktore të Furnizimit me Energji Elektrike</w:t>
      </w:r>
      <w:r>
        <w:rPr>
          <w:spacing w:val="-4"/>
          <w:lang w:val="sq-AL"/>
        </w:rPr>
        <w:t>”, nuk bien në kundërshtim me ligjin nr. 9121, datë 28.7.2003 “Për Mbrojtjen</w:t>
      </w:r>
      <w:r>
        <w:rPr>
          <w:lang w:val="sq-AL"/>
        </w:rPr>
        <w:t xml:space="preserve"> e Konkurencës”, i ndryshuar.</w:t>
      </w:r>
    </w:p>
    <w:p w:rsidR="00771956" w:rsidRDefault="00771956" w:rsidP="00771956">
      <w:pPr>
        <w:pStyle w:val="NoSpacing"/>
        <w:widowControl w:val="0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Sipas korrespondencave të ardhura pranë ERE-s nëpërmjet postës elektronike, janë paraqitur komente nga subjekte si: “Operatori i Sistemit të Trasmetimit” sh.a.; Ministria e Zhvillimit Ekonomik, Tregtisë dhe Sipërmarrjes; Ministria e Infrastrukturës dhe Energjisë dhe “OSHEE” sh.a., ku përkatësisht: </w:t>
      </w:r>
    </w:p>
    <w:p w:rsidR="00771956" w:rsidRDefault="00771956" w:rsidP="00771956">
      <w:pPr>
        <w:pStyle w:val="Paragrafi"/>
        <w:rPr>
          <w:lang w:val="sq-AL"/>
        </w:rPr>
      </w:pPr>
      <w:r>
        <w:rPr>
          <w:lang w:val="sq-AL"/>
        </w:rPr>
        <w:t xml:space="preserve">- Kompania OST sh.a., ka sugjeruar që: </w:t>
      </w:r>
    </w:p>
    <w:p w:rsidR="00771956" w:rsidRDefault="00771956" w:rsidP="00771956">
      <w:pPr>
        <w:pStyle w:val="NoSpacing"/>
        <w:widowControl w:val="0"/>
        <w:numPr>
          <w:ilvl w:val="0"/>
          <w:numId w:val="2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nenin 3 të draft-rregullores, duhen të shtohen përcaktimet, si: “matja”, “pika e lidhjes”, “OSSH”, “pika e shkëputjes”, “dispbalanca”, “kompensimi”, “parapagimi’, “devijimi i tensionit”, pasi janë të rëndësishme në përcaktimin e qartë të çështjeve të trajtuara në rregullore përkatësisht në nenet 6.2, 7, 16.5, 17, 19.3, 19.5. </w:t>
      </w:r>
    </w:p>
    <w:p w:rsidR="00771956" w:rsidRDefault="00771956" w:rsidP="00771956">
      <w:pPr>
        <w:pStyle w:val="NoSpacing"/>
        <w:widowControl w:val="0"/>
        <w:numPr>
          <w:ilvl w:val="0"/>
          <w:numId w:val="2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neni 4 të draft-rregullores duhet të bëhet publikimi i procedurës sipas hapave respektivë, i palëve të tjera të përfshira në këtë procedurë nëse ka, sipas rastit, si dhe ku duhet të merren lejet dhe miratimet përkatëse.</w:t>
      </w:r>
    </w:p>
    <w:p w:rsidR="00771956" w:rsidRDefault="00771956" w:rsidP="00771956">
      <w:pPr>
        <w:pStyle w:val="NoSpacing"/>
        <w:widowControl w:val="0"/>
        <w:numPr>
          <w:ilvl w:val="0"/>
          <w:numId w:val="2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nenin 11 “Leximi i matësit dhe faturimi i energjisë elektrike”, pika 11.1.1 sugjerohet që fatura të përmbajë edhe informacionin mbi balancën e mbetur në rast të funksionimit të skemave të parapagimit, si dhe detajimi i kompensimeve përkatëse nëse ka pasur zgjidhje të ankesave mbi saktësinë e leximit. </w:t>
      </w:r>
    </w:p>
    <w:p w:rsidR="00771956" w:rsidRDefault="00771956" w:rsidP="00771956">
      <w:pPr>
        <w:pStyle w:val="NoSpacing"/>
        <w:widowControl w:val="0"/>
        <w:numPr>
          <w:ilvl w:val="0"/>
          <w:numId w:val="2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nenin 15 “Pasojat e mospagesës” sugjerohet të shtohet si detyrim përgjegjësia e klientit në lidhje me përditësimin dhe mbajtjen e disponueshme të kontakteve dhe adresave të deklaruara për komunikim dhe aplikimi i tarifës së rilidhjes. </w:t>
      </w:r>
    </w:p>
    <w:p w:rsidR="00771956" w:rsidRDefault="00771956" w:rsidP="00771956">
      <w:pPr>
        <w:pStyle w:val="NoSpacing"/>
        <w:widowControl w:val="0"/>
        <w:numPr>
          <w:ilvl w:val="0"/>
          <w:numId w:val="2"/>
        </w:numPr>
        <w:ind w:left="0" w:firstLine="284"/>
        <w:jc w:val="both"/>
        <w:rPr>
          <w:rFonts w:ascii="Garamond" w:hAnsi="Garamond"/>
        </w:rPr>
      </w:pPr>
    </w:p>
    <w:p w:rsidR="00771956" w:rsidRDefault="00771956" w:rsidP="00771956">
      <w:pPr>
        <w:pStyle w:val="NoSpacing"/>
        <w:widowControl w:val="0"/>
        <w:numPr>
          <w:ilvl w:val="0"/>
          <w:numId w:val="2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nenin 17, “Ankimi për faturim dhe kushtet e furnizimit të energjisë elektrike”, pika 5, sugjerohet që në pikën 5.ii, të shtohet, detyrimi i furnizuesit për të reflektuar dhe pasqyruar zë për zë në faturën e muajit të radhës detajet e kompensimit, gjithashtu sugjerojmë që pjesa e dytë e pikës 5 të hiqet dhe opsioni ku klienti mund të mos kompensohet, pasi bie në kundërshtim me pikat “i” dhe “ii”.</w:t>
      </w:r>
    </w:p>
    <w:p w:rsidR="00771956" w:rsidRDefault="00771956" w:rsidP="00771956">
      <w:pPr>
        <w:pStyle w:val="NoSpacing"/>
        <w:widowControl w:val="0"/>
        <w:numPr>
          <w:ilvl w:val="0"/>
          <w:numId w:val="2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Komente të cilat janë përfshirë në rregullore.</w:t>
      </w:r>
    </w:p>
    <w:p w:rsidR="00771956" w:rsidRDefault="00771956" w:rsidP="00771956">
      <w:pPr>
        <w:pStyle w:val="Paragrafi"/>
        <w:rPr>
          <w:lang w:val="sq-AL"/>
        </w:rPr>
      </w:pPr>
      <w:r>
        <w:rPr>
          <w:lang w:val="sq-AL"/>
        </w:rPr>
        <w:t xml:space="preserve">- MIE ka paraqitur këto komente: </w:t>
      </w:r>
    </w:p>
    <w:p w:rsidR="00771956" w:rsidRDefault="00771956" w:rsidP="00771956">
      <w:pPr>
        <w:pStyle w:val="NoSpacing"/>
        <w:widowControl w:val="0"/>
        <w:numPr>
          <w:ilvl w:val="0"/>
          <w:numId w:val="3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nenin 7, pika “a”: </w:t>
      </w:r>
    </w:p>
    <w:p w:rsidR="00771956" w:rsidRDefault="00771956" w:rsidP="00771956">
      <w:pPr>
        <w:pStyle w:val="NoSpacing"/>
        <w:widowControl w:val="0"/>
        <w:numPr>
          <w:ilvl w:val="0"/>
          <w:numId w:val="3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Pas shprehjes “kërkesës me shkrim” të shtohet shprehja “e shoqëruar me dokumentacionin përkatës”.</w:t>
      </w:r>
    </w:p>
    <w:p w:rsidR="00771956" w:rsidRDefault="00771956" w:rsidP="00771956">
      <w:pPr>
        <w:pStyle w:val="NoSpacing"/>
        <w:widowControl w:val="0"/>
        <w:numPr>
          <w:ilvl w:val="0"/>
          <w:numId w:val="3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nenit 20, lidhur me “furnizimin dhe karakteristikat e furnizimit”, të referohet termi i plotë i “Rregullores për kushtet minimale të cilësisë së shërbimit të shpërndarjes dhe shitjes së energjisë elektrike”. </w:t>
      </w:r>
    </w:p>
    <w:p w:rsidR="00771956" w:rsidRDefault="00771956" w:rsidP="00771956">
      <w:pPr>
        <w:pStyle w:val="NoSpacing"/>
        <w:widowControl w:val="0"/>
        <w:numPr>
          <w:ilvl w:val="0"/>
          <w:numId w:val="3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 Në nenin 8, pika 4:</w:t>
      </w:r>
    </w:p>
    <w:p w:rsidR="00771956" w:rsidRDefault="00771956" w:rsidP="00771956">
      <w:pPr>
        <w:pStyle w:val="NoSpacing"/>
        <w:widowControl w:val="0"/>
        <w:numPr>
          <w:ilvl w:val="0"/>
          <w:numId w:val="3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Shprehja e “përfundimit të kontratës” të zëvendësohet me “ndërprerjes së kontratës”.</w:t>
      </w:r>
    </w:p>
    <w:p w:rsidR="00771956" w:rsidRDefault="00771956" w:rsidP="00771956">
      <w:pPr>
        <w:pStyle w:val="NoSpacing"/>
        <w:widowControl w:val="0"/>
        <w:numPr>
          <w:ilvl w:val="0"/>
          <w:numId w:val="3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Komente të cilat janë përfshirë në rregullore.</w:t>
      </w:r>
    </w:p>
    <w:p w:rsidR="00771956" w:rsidRDefault="00771956" w:rsidP="00771956">
      <w:pPr>
        <w:pStyle w:val="Paragrafi"/>
        <w:rPr>
          <w:lang w:val="sq-AL"/>
        </w:rPr>
      </w:pPr>
      <w:r>
        <w:rPr>
          <w:lang w:val="sq-AL"/>
        </w:rPr>
        <w:t xml:space="preserve">- MZHETS-ja ka dhënë këto komente: </w:t>
      </w:r>
    </w:p>
    <w:p w:rsidR="00771956" w:rsidRDefault="00771956" w:rsidP="00771956">
      <w:pPr>
        <w:pStyle w:val="NoSpacing"/>
        <w:widowControl w:val="0"/>
        <w:numPr>
          <w:ilvl w:val="0"/>
          <w:numId w:val="4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Pika 7.3 krahas detyrimit të furnizuesit për të informuar klientët, për sa parashikohet, duhet të përcaktojë edhe mënyrën/mjetet e informimit me shkrim të tyre. Ky koment është pranuar dhe reflektuar në rregullore. </w:t>
      </w:r>
    </w:p>
    <w:p w:rsidR="00771956" w:rsidRDefault="00771956" w:rsidP="00771956">
      <w:pPr>
        <w:pStyle w:val="NoSpacing"/>
        <w:widowControl w:val="0"/>
        <w:numPr>
          <w:ilvl w:val="0"/>
          <w:numId w:val="4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Për pikën 18.6, për rastin kur aparati matës nuk rezulton se të jetë i dëmtuar nga klienti sugjerohet të plotësohet dispozita me përcaktimin për detyrimin për zëvendësimin apo riparimin e aparatit matës, si një detyrim i furnizuesit. Ky koment është pranuar dhe reflektuar në rregullore. </w:t>
      </w:r>
    </w:p>
    <w:p w:rsidR="00771956" w:rsidRDefault="00771956" w:rsidP="00771956">
      <w:pPr>
        <w:pStyle w:val="NoSpacing"/>
        <w:widowControl w:val="0"/>
        <w:numPr>
          <w:ilvl w:val="0"/>
          <w:numId w:val="4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Për pikën 18.6, për rastin kur aparati matës nuk rezulton të jetë i dëmtuar nga klienti sugjerojmë të plotësohet dispozita me përcaktimin për detyrimin për zëvendësimin apo riparimin e aparatit matës, si një detyrim i furnizuesit. Ky koment u reflektuar në rregullore. </w:t>
      </w:r>
    </w:p>
    <w:p w:rsidR="00771956" w:rsidRDefault="00771956" w:rsidP="00771956">
      <w:pPr>
        <w:pStyle w:val="Paragrafi"/>
        <w:rPr>
          <w:lang w:val="sq-AL"/>
        </w:rPr>
      </w:pPr>
      <w:r>
        <w:rPr>
          <w:lang w:val="sq-AL"/>
        </w:rPr>
        <w:t xml:space="preserve">- Kompania “OSHEE” sh.a. ka dhënë këto komente: </w:t>
      </w:r>
    </w:p>
    <w:p w:rsidR="00771956" w:rsidRDefault="00771956" w:rsidP="00771956">
      <w:pPr>
        <w:pStyle w:val="NoSpacing"/>
        <w:widowControl w:val="0"/>
        <w:numPr>
          <w:ilvl w:val="0"/>
          <w:numId w:val="5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pikën 10.3, mund të parashikohet se në rast mos likuidimi brenda një periudhe x, garancia të shërbejë për shlyerje detyrimi. Nëse ka diferencë kreditore t’i kthehen klientit. Ky koment u pranua dhe u reflektua në rregullore. </w:t>
      </w:r>
    </w:p>
    <w:p w:rsidR="00771956" w:rsidRDefault="00771956" w:rsidP="00771956">
      <w:pPr>
        <w:pStyle w:val="NoSpacing"/>
        <w:widowControl w:val="0"/>
        <w:numPr>
          <w:ilvl w:val="0"/>
          <w:numId w:val="5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pikën 12.2 sugjerohet që njoftimi duhet të bëhet dhe me SMS apo e-mail. Ky koment u pranua dhe u reflektua në rregullore. </w:t>
      </w:r>
    </w:p>
    <w:p w:rsidR="00771956" w:rsidRDefault="00771956" w:rsidP="00771956">
      <w:pPr>
        <w:pStyle w:val="NoSpacing"/>
        <w:widowControl w:val="0"/>
        <w:numPr>
          <w:ilvl w:val="0"/>
          <w:numId w:val="5"/>
        </w:numPr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Në pikën 14.1 duhet të ndryshohet afati nga 5 ditë në 10 ditë, nga data e leximit të matësit. Ky koment u pranua dhe u reflektua në rregullore. </w:t>
      </w:r>
    </w:p>
    <w:p w:rsidR="00771956" w:rsidRDefault="00771956" w:rsidP="00771956">
      <w:pPr>
        <w:pStyle w:val="BodyText"/>
        <w:widowControl w:val="0"/>
        <w:numPr>
          <w:ilvl w:val="0"/>
          <w:numId w:val="0"/>
        </w:numPr>
        <w:tabs>
          <w:tab w:val="left" w:pos="720"/>
        </w:tabs>
        <w:ind w:left="284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Për gjithë sa më sipër, Bordi i ERE-s, </w:t>
      </w:r>
    </w:p>
    <w:p w:rsidR="00771956" w:rsidRDefault="00771956" w:rsidP="00771956">
      <w:pPr>
        <w:pStyle w:val="Paragrafi"/>
        <w:rPr>
          <w:sz w:val="14"/>
          <w:lang w:val="sq-AL"/>
        </w:rPr>
      </w:pPr>
    </w:p>
    <w:p w:rsidR="00771956" w:rsidRDefault="00771956" w:rsidP="00771956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71956" w:rsidRDefault="00771956" w:rsidP="00771956">
      <w:pPr>
        <w:pStyle w:val="Paragrafi"/>
        <w:rPr>
          <w:sz w:val="14"/>
          <w:lang w:val="sq-AL"/>
        </w:rPr>
      </w:pPr>
    </w:p>
    <w:p w:rsidR="00771956" w:rsidRDefault="00771956" w:rsidP="00771956">
      <w:pPr>
        <w:pStyle w:val="Paragrafi"/>
        <w:rPr>
          <w:lang w:val="sq-AL"/>
        </w:rPr>
      </w:pPr>
      <w:r>
        <w:rPr>
          <w:lang w:val="sq-AL"/>
        </w:rPr>
        <w:t>1. Të miratojë “Rregulloren për kushtet e shërbimit të furnizimit nga Furnizuesi i Mundësisë së Fundit dhe kushtet kontraktore të furnizimit me energji elektrike” (bashkëlidhur).</w:t>
      </w:r>
    </w:p>
    <w:p w:rsidR="00771956" w:rsidRDefault="00771956" w:rsidP="00771956">
      <w:pPr>
        <w:pStyle w:val="Paragrafi"/>
        <w:rPr>
          <w:lang w:val="sq-AL"/>
        </w:rPr>
      </w:pPr>
      <w:r>
        <w:rPr>
          <w:lang w:val="sq-AL"/>
        </w:rPr>
        <w:t>2. Drejtoria Juridike dhe e Mbrojtjes së Konsumatorit të njoftojë të interesuarit për vendimin e Bordit të ERE-s. </w:t>
      </w:r>
    </w:p>
    <w:p w:rsidR="00771956" w:rsidRDefault="00771956" w:rsidP="00771956">
      <w:pPr>
        <w:pStyle w:val="NoSpacing"/>
        <w:widowControl w:val="0"/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Ky vendim hyn në fuqi menjëherë. </w:t>
      </w:r>
    </w:p>
    <w:p w:rsidR="00771956" w:rsidRDefault="00771956" w:rsidP="00771956">
      <w:pPr>
        <w:pStyle w:val="NoSpacing"/>
        <w:widowControl w:val="0"/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Ky vendim botohet në Fletoren Zyrtare. </w:t>
      </w:r>
    </w:p>
    <w:p w:rsidR="00771956" w:rsidRDefault="00771956" w:rsidP="00771956">
      <w:pPr>
        <w:pStyle w:val="NoSpacing"/>
        <w:widowControl w:val="0"/>
        <w:ind w:firstLine="288"/>
        <w:jc w:val="both"/>
        <w:rPr>
          <w:rFonts w:ascii="Garamond" w:hAnsi="Garamond"/>
          <w:highlight w:val="yellow"/>
        </w:rPr>
      </w:pPr>
      <w:r>
        <w:rPr>
          <w:rFonts w:ascii="Garamond" w:hAnsi="Garamond"/>
        </w:rPr>
        <w:t xml:space="preserve">Ky vendim mund të ankimohet në Gjykatën Administrative Tiranë, brenda 30 ditëve kalendarike nga botimi në Fletoren Zyrtare. </w:t>
      </w:r>
    </w:p>
    <w:p w:rsidR="00771956" w:rsidRDefault="00771956" w:rsidP="00771956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771956" w:rsidRDefault="00771956" w:rsidP="00771956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KRYETARI</w:t>
      </w:r>
    </w:p>
    <w:p w:rsidR="00771956" w:rsidRDefault="00771956" w:rsidP="00771956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Petrit Ahmeti</w:t>
      </w:r>
    </w:p>
    <w:p w:rsidR="00771956" w:rsidRDefault="00771956" w:rsidP="00771956">
      <w:pPr>
        <w:spacing w:after="0" w:line="240" w:lineRule="auto"/>
        <w:ind w:firstLine="0"/>
        <w:jc w:val="left"/>
        <w:rPr>
          <w:rFonts w:ascii="Garamond" w:hAnsi="Garamond"/>
          <w:b/>
          <w:sz w:val="24"/>
          <w:szCs w:val="24"/>
          <w:lang w:val="sq-AL"/>
        </w:rPr>
        <w:sectPr w:rsidR="00771956" w:rsidSect="00771956">
          <w:pgSz w:w="11907" w:h="16840"/>
          <w:pgMar w:top="720" w:right="1134" w:bottom="720" w:left="1134" w:header="851" w:footer="851" w:gutter="0"/>
          <w:cols w:space="454"/>
        </w:sectPr>
      </w:pPr>
    </w:p>
    <w:p w:rsidR="00293B7D" w:rsidRDefault="00771956" w:rsidP="00771956"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62007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9057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9438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68865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0010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6771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9533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79533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486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5152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7819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000750" cy="72675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5" t="5241" r="5141" b="19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6867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3762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3" b="6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3B7D" w:rsidSect="00771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40057"/>
    <w:multiLevelType w:val="hybridMultilevel"/>
    <w:tmpl w:val="80A2294A"/>
    <w:lvl w:ilvl="0" w:tplc="79DA3D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B6552"/>
    <w:multiLevelType w:val="hybridMultilevel"/>
    <w:tmpl w:val="778CABC4"/>
    <w:lvl w:ilvl="0" w:tplc="69D21EF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63069"/>
    <w:multiLevelType w:val="hybridMultilevel"/>
    <w:tmpl w:val="06924F30"/>
    <w:lvl w:ilvl="0" w:tplc="637C15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F6EF7"/>
    <w:multiLevelType w:val="hybridMultilevel"/>
    <w:tmpl w:val="C6A09C66"/>
    <w:lvl w:ilvl="0" w:tplc="6AD628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11E35"/>
    <w:multiLevelType w:val="hybridMultilevel"/>
    <w:tmpl w:val="685E4388"/>
    <w:lvl w:ilvl="0" w:tplc="FB325B7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A910423A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203E5A06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</w:lvl>
    <w:lvl w:ilvl="3" w:tplc="EA00BC8E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40BCDEA2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72D48CC8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75C0CF86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FA38F8E8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A608F9E4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56"/>
    <w:rsid w:val="00293B7D"/>
    <w:rsid w:val="0077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0302EE-CF7F-4196-B395-1DAF827E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95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qFormat/>
    <w:rsid w:val="00771956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771956"/>
    <w:rPr>
      <w:rFonts w:ascii="Arial" w:eastAsia="Times New Roman" w:hAnsi="Arial" w:cs="Arial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71956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71956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7195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77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77195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719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7195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7195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719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8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2019-02-04T12:58:00Z</dcterms:created>
  <dcterms:modified xsi:type="dcterms:W3CDTF">2019-02-04T13:00:00Z</dcterms:modified>
</cp:coreProperties>
</file>