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B36" w:rsidRDefault="005B2B36" w:rsidP="005B2B3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5B2B36" w:rsidRDefault="005B2B36" w:rsidP="005B2B3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250, datë 11.12.2018</w:t>
      </w:r>
      <w:bookmarkEnd w:id="0"/>
    </w:p>
    <w:p w:rsidR="005B2B36" w:rsidRDefault="005B2B36" w:rsidP="005B2B36">
      <w:pPr>
        <w:pStyle w:val="NeniTitull"/>
        <w:rPr>
          <w:spacing w:val="-4"/>
          <w:sz w:val="14"/>
          <w:lang w:val="sq-AL"/>
        </w:rPr>
      </w:pPr>
    </w:p>
    <w:p w:rsidR="005B2B36" w:rsidRDefault="005B2B36" w:rsidP="005B2B3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MBI MIRATIMIN E “PROPOZIMI I GJITHË OST-ve PËR NJË METODOLOGJI TË MODELIT TË PËRBASHKËT TË RRJETIT NË PËRPUTHJE ME NENET </w:t>
      </w:r>
    </w:p>
    <w:p w:rsidR="005B2B36" w:rsidRDefault="005B2B36" w:rsidP="005B2B3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67 (1) DHE 70 (1) TË RREGULLORES </w:t>
      </w:r>
    </w:p>
    <w:p w:rsidR="005B2B36" w:rsidRDefault="005B2B36" w:rsidP="005B2B3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SË KOMISIONIT TË BASHKIMIT EVROPIAN (BE) 2017/1485, TË DATËS </w:t>
      </w:r>
    </w:p>
    <w:p w:rsidR="005B2B36" w:rsidRDefault="005B2B36" w:rsidP="005B2B3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2 GUSHT 2017 PËR KRIJIMIN E NJË UDHËZUESI MBI OPERIMIN E SISTEMIT TË TRANSMETIMIT TË ENERGJISË ELEKTRIKE”</w:t>
      </w:r>
    </w:p>
    <w:p w:rsidR="005B2B36" w:rsidRDefault="005B2B36" w:rsidP="005B2B36">
      <w:pPr>
        <w:pStyle w:val="Paragrafi"/>
        <w:rPr>
          <w:spacing w:val="-4"/>
          <w:sz w:val="14"/>
          <w:lang w:val="sq-AL"/>
        </w:rPr>
      </w:pPr>
    </w:p>
    <w:p w:rsidR="005B2B36" w:rsidRDefault="005B2B36" w:rsidP="005B2B3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neneve 7, 16, 56 dhe 63, të ligjit nr. 43/2015 “Për sektorin e energjisë elektrike”, i ndryshuar, neneve 117; 118–130 të Kodit të Transmetimit, të miratuar me vendimin e Bordit të ERE-s nr. 186, datë 10.11.2017;  neneve 67 (1) dhe 70 (1), të Rregullores së Komisionit të Bashkimit Evropian (BE) 2017/1485, të datës 2 gusht 2017;  nenit 26 të “Rregullave të praktikës dhe procedurave të ERE-s”, miratuar me vendimin e Bordit të ERE-s, nr. 96, datë 17.6.2016, Bordi i ERE-s, në mbledhjen e tij të datës 11.12.2018, mbasi shqyrtoi relacionin e përgatitur nga Drejtoria e Licencimit dhe Monitorimit të Tregut, mbi miratimin e “Propozimi i gjithë OST-ve për një metodologji të modelit të përbashkët të rrjetit në përputhje me nenet 67 (1) dhe 70 (1) të Rregullores së Komisionit të Bashkimit Evropian (BE) 2017/1485, të datës 2 gusht 2017 për krijimin e një udhëzuesi mbi operimin e sistemit të transmetimit të energjisë elektrike”,</w:t>
      </w:r>
    </w:p>
    <w:p w:rsidR="005B2B36" w:rsidRDefault="005B2B36" w:rsidP="005B2B3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5B2B36" w:rsidRDefault="005B2B36" w:rsidP="005B2B3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Bordi i ERE-s, me vendimin nr. 238, datë 2.11.2018, ka filluar procedurën për miratimin e “Propozimit të të gjitha OST-ve për një metodologji të modelit të përbashkët të rrjetit në përputhje me nenet 67 (1) dhe 70 (1) të Rregullores së Komisionit të Bashkimit Evropian (BE) 2017/1485, të datës 2 gusht 2017, për krijimin e një udhëzuesi mbi operimin e sistemit të transmetimit të energjisë elektrike”.</w:t>
      </w:r>
    </w:p>
    <w:p w:rsidR="005B2B36" w:rsidRDefault="005B2B36" w:rsidP="005B2B3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ERE, me shkresën nr. 55/69 prot., datë 7.11.2018 ka bërë njoftimin e fillimit të kësaj procedure në medien e shkruar dhe me shkresën nr. 422/6 prot., datë 2.11.2018, ka përcjellë njoftimin e fillimit të procedurës pranë palëve të interesit.</w:t>
      </w:r>
    </w:p>
    <w:p w:rsidR="005B2B36" w:rsidRDefault="005B2B36" w:rsidP="005B2B3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Ky propozim vjen në zbatim të dispozitave të ligjit nr. 43/2015 “Për sektorin e energjisë elektrike”, i ndryshuar, përkatësisht nenet 56 dhe 63, si dhe në përmbushje të detyrimeve të përcaktuara në Kodin e Transmetimit, të miratuar me vendim të ERE-s nr. 186, datë 10.11.2017, përkatësisht neni 117 “Kërkesa të përgjithshme për shkëmbimin e të dhënave”, si dhe nenet 118 deri 130 të tij. Propozimi është përshtatur në shqip nga Operatori i Sistemit të Transmetimit të Energjisë Elektrike (OST sh.a.), në përputhje me nenin 25 të dokumentit origjinal.</w:t>
      </w:r>
    </w:p>
    <w:p w:rsidR="005B2B36" w:rsidRDefault="005B2B36" w:rsidP="005B2B3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Dokumenti vjen nga OST sh.a., në vijim të komunikimit me shkresën nr. 7136 prot., datë 15.10.2018, me objekt: “Propozimi i gjithë OST-ve për një metodologji të modelit të përbashkët të rrjetit në përputhje me nenin 18 të Rregullores së Komisionit Bashkimit Evropian (BE) 2016/1719, të datës 26 shtator 2016,  për krijimin e një udhëzuesi mbi alokimin e kapaciteteve në avancë”, miratuar me vendimin e Bordit të ERE-s nr. 188, datë 20.8.2018 dhe është pjesë e të njëjtit kuadër metodologjik të Metodologjisë së Modelit të Përbashkët të Rrjetit, por i paraqitur dhe propozuar për miratim si akt më vete.</w:t>
      </w:r>
    </w:p>
    <w:p w:rsidR="005B2B36" w:rsidRDefault="005B2B36" w:rsidP="005B2B3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Ky dokument është një propozim i përbashkët i krijuar nga të gjithë Operatorët e Sistemeve të Transmetimit në lidhje me krijimin e një udhëzuesi mbi operimin e sistemit të transmetimit të energjisë elektrike.  </w:t>
      </w:r>
    </w:p>
    <w:p w:rsidR="005B2B36" w:rsidRDefault="005B2B36" w:rsidP="005B2B3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Dokumenti i përbërë nga 25 nene, saktëson mënyrën e krijimit të modeleve individuale të rrjetit nga secili Operator i Sistemit të Transmetimit, të dhënat që duhet të përmbajnë modelet përfshirë topologjinë, ngarkesën, gjenerimin, si dhe mënyrën e bashkimit të këtyre modeleve në një të vetëm, nëpërmjet të cilit do të bëhet në nivel evropian analiza e sigurisë me qëllim përcaktimin dhe eliminimin e kongjestioneve, për operimin optimal të sistemit të transmetimit të energjisë elektrike. Gjithashtu, dokumenti përcakton krijimin e një mjedisi të të dhënave të planifikimit operativ të ENTSO-E, i cili do të shërbejë si pikë referimi ku të gjitha OST-të do të jenë të detyruara të vënë në dispozicion dhe të kenë mundësi të marrin informacionin e nevojshëm për krijimin e modeleve individuale të rrjetit. </w:t>
      </w:r>
    </w:p>
    <w:p w:rsidR="005B2B36" w:rsidRDefault="005B2B36" w:rsidP="005B2B3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përputhje me vendimin e marrë nga ENTSO-E dhe sipas udhëzimeve të përcjella, kjo metodologji do të zbatohet për të gjitha OST-të e vendeve anëtare të Bashkimit Evropian, të cilat do ta përcjellin për miratim tek autoritet respektive rregullatore. OST-të nga një shtet joanëtar i Bashkimit Evropian inkurajohen, gjithashtu, që ta përcjellin dokumentin pranë Autoritetit Rregullator duke siguruar një përkthim të dokumentit së bashku me versionin në gjuhën angleze.</w:t>
      </w:r>
    </w:p>
    <w:p w:rsidR="005B2B36" w:rsidRDefault="005B2B36" w:rsidP="005B2B3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sipër, Bordi i ERE-s </w:t>
      </w:r>
    </w:p>
    <w:p w:rsidR="005B2B36" w:rsidRDefault="005B2B36" w:rsidP="005B2B36">
      <w:pPr>
        <w:pStyle w:val="NeniNr"/>
        <w:rPr>
          <w:spacing w:val="-4"/>
          <w:sz w:val="14"/>
          <w:lang w:val="sq-AL"/>
        </w:rPr>
      </w:pPr>
    </w:p>
    <w:p w:rsidR="005B2B36" w:rsidRDefault="005B2B36" w:rsidP="005B2B36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5B2B36" w:rsidRDefault="005B2B36" w:rsidP="005B2B36">
      <w:pPr>
        <w:pStyle w:val="Paragrafi"/>
        <w:rPr>
          <w:spacing w:val="-4"/>
          <w:sz w:val="14"/>
          <w:lang w:val="sq-AL"/>
        </w:rPr>
      </w:pPr>
    </w:p>
    <w:p w:rsidR="005B2B36" w:rsidRDefault="005B2B36" w:rsidP="005B2B3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miratojë “Propozimin e të gjitha OST-ve për një metodologji të modelit të përbashkët të rrjetit në përputhje me nenet 67 (1) dhe 70 (1) të Rregullores së Komisionit të Bashkimit Evropian (BE) 2017/1485, të datës 2 gusht 2017, për krijimin e një udhëzuesi mbi operimin e sistemit të transmetimit të energjisë elektrike”. (Bashkëlidhur këtij vendimi.)</w:t>
      </w:r>
    </w:p>
    <w:p w:rsidR="005B2B36" w:rsidRDefault="005B2B36" w:rsidP="005B2B3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Versioni në gjuhën e origjinës (anglisht) ka përparësi në rast mosdakordësie nga palët në interpretim të versionit shqip.</w:t>
      </w:r>
    </w:p>
    <w:p w:rsidR="005B2B36" w:rsidRDefault="005B2B36" w:rsidP="005B2B3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Drejtoria Juridike dhe e Mbrojtjes së Konsumatorit do të njoftojë palët e interesuara.</w:t>
      </w:r>
    </w:p>
    <w:p w:rsidR="005B2B36" w:rsidRDefault="005B2B36" w:rsidP="005B2B3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5B2B36" w:rsidRDefault="005B2B36" w:rsidP="005B2B3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 </w:t>
      </w:r>
    </w:p>
    <w:p w:rsidR="005B2B36" w:rsidRDefault="005B2B36" w:rsidP="005B2B3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 botimi në Fletoren Zyrtare.  </w:t>
      </w:r>
    </w:p>
    <w:p w:rsidR="005B2B36" w:rsidRDefault="005B2B36" w:rsidP="005B2B36">
      <w:pPr>
        <w:pStyle w:val="Paragrafi"/>
        <w:jc w:val="right"/>
        <w:rPr>
          <w:spacing w:val="-4"/>
          <w:sz w:val="14"/>
          <w:lang w:val="sq-AL"/>
        </w:rPr>
      </w:pPr>
    </w:p>
    <w:p w:rsidR="005B2B36" w:rsidRDefault="005B2B36" w:rsidP="005B2B36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5B2B36" w:rsidRDefault="005B2B36" w:rsidP="005B2B36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5B2B36" w:rsidRDefault="005B2B36" w:rsidP="005B2B36">
      <w:pPr>
        <w:ind w:firstLine="0"/>
        <w:rPr>
          <w:lang w:val="sq-AL"/>
        </w:rPr>
        <w:sectPr w:rsidR="005B2B36" w:rsidSect="005B2B36">
          <w:pgSz w:w="11907" w:h="16840"/>
          <w:pgMar w:top="720" w:right="1134" w:bottom="720" w:left="1134" w:header="851" w:footer="851" w:gutter="0"/>
          <w:pgNumType w:start="15439"/>
          <w:cols w:space="454"/>
        </w:sectPr>
      </w:pPr>
    </w:p>
    <w:p w:rsidR="005B2B36" w:rsidRDefault="005B2B36" w:rsidP="005B2B36">
      <w:pPr>
        <w:ind w:firstLine="0"/>
        <w:rPr>
          <w:lang w:val="sq-AL"/>
        </w:rPr>
      </w:pPr>
    </w:p>
    <w:p w:rsidR="005B2B36" w:rsidRDefault="005B2B36" w:rsidP="005B2B36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5B2B36" w:rsidSect="005B2B36">
          <w:type w:val="continuous"/>
          <w:pgSz w:w="11907" w:h="16840"/>
          <w:pgMar w:top="720" w:right="1134" w:bottom="720" w:left="1134" w:header="851" w:footer="851" w:gutter="0"/>
          <w:pgNumType w:start="15439"/>
          <w:cols w:num="2" w:space="454"/>
        </w:sectPr>
      </w:pPr>
    </w:p>
    <w:p w:rsidR="005B2B36" w:rsidRDefault="005B2B36" w:rsidP="005B2B36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6229350" cy="577215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6" t="40" b="3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577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601075"/>
            <wp:effectExtent l="0" t="0" r="9525" b="952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60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572500"/>
            <wp:effectExtent l="0" t="0" r="952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8448675"/>
            <wp:effectExtent l="0" t="0" r="0" b="952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44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800100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210550"/>
            <wp:effectExtent l="0" t="0" r="952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391525"/>
            <wp:effectExtent l="0" t="0" r="9525" b="952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724775"/>
            <wp:effectExtent l="0" t="0" r="0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94385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840105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8315325"/>
            <wp:effectExtent l="0" t="0" r="0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31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191500"/>
            <wp:effectExtent l="0" t="0" r="952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38825" cy="8477250"/>
            <wp:effectExtent l="0" t="0" r="952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847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8524875"/>
            <wp:effectExtent l="0" t="0" r="0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2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817245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524875"/>
            <wp:effectExtent l="0" t="0" r="9525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52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448675"/>
            <wp:effectExtent l="0" t="0" r="9525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44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7962900"/>
            <wp:effectExtent l="0" t="0" r="952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410575"/>
            <wp:effectExtent l="0" t="0" r="9525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362950"/>
            <wp:effectExtent l="0" t="0" r="952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36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429625"/>
            <wp:effectExtent l="0" t="0" r="9525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42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991475"/>
            <wp:effectExtent l="0" t="0" r="0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84582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315325"/>
            <wp:effectExtent l="0" t="0" r="9525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31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839152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1026160</wp:posOffset>
                </wp:positionH>
                <wp:positionV relativeFrom="paragraph">
                  <wp:posOffset>-33655</wp:posOffset>
                </wp:positionV>
                <wp:extent cx="328930" cy="255905"/>
                <wp:effectExtent l="0" t="0" r="13970" b="10795"/>
                <wp:wrapNone/>
                <wp:docPr id="78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930" cy="2559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B2B36" w:rsidRDefault="005B2B36" w:rsidP="005B2B36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ii.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8" o:spid="_x0000_s1026" style="position:absolute;left:0;text-align:left;margin-left:80.8pt;margin-top:-2.65pt;width:25.9pt;height:20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" fillcolor="white [3212]" strokecolor="white [3212]" strokeweight="1pt">
                <v:textbox>
                  <w:txbxContent>
                    <w:p w:rsidR="005B2B36" w:rsidRDefault="005B2B36" w:rsidP="005B2B36">
                      <w:pPr>
                        <w:spacing w:after="0" w:line="240" w:lineRule="auto"/>
                        <w:ind w:firstLine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ii.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6124575" cy="8420100"/>
            <wp:effectExtent l="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562975"/>
            <wp:effectExtent l="0" t="0" r="9525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4524375"/>
            <wp:effectExtent l="0" t="0" r="9525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B36" w:rsidRDefault="005B2B36" w:rsidP="005B2B36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5B2B36" w:rsidRDefault="005B2B36" w:rsidP="005B2B36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5B2B36" w:rsidRDefault="005B2B36" w:rsidP="005B2B36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5B2B36" w:rsidRDefault="005B2B36" w:rsidP="005B2B36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5B2B36" w:rsidRDefault="005B2B36" w:rsidP="005B2B36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5B2B36" w:rsidRDefault="005B2B36" w:rsidP="005B2B36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5B2B36" w:rsidRDefault="005B2B36" w:rsidP="005B2B36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5B2B36" w:rsidRDefault="005B2B36" w:rsidP="005B2B36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5B2B36" w:rsidRDefault="005B2B36" w:rsidP="005B2B36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z w:val="24"/>
          <w:szCs w:val="24"/>
          <w:u w:val="single"/>
          <w:lang w:val="sq-AL"/>
        </w:rPr>
      </w:pPr>
    </w:p>
    <w:p w:rsidR="005B2B36" w:rsidRDefault="005B2B36" w:rsidP="005B2B36">
      <w:pPr>
        <w:pStyle w:val="Heading1"/>
        <w:keepNext w:val="0"/>
        <w:widowControl w:val="0"/>
        <w:tabs>
          <w:tab w:val="clear" w:pos="360"/>
          <w:tab w:val="left" w:pos="720"/>
        </w:tabs>
        <w:spacing w:before="0" w:after="0"/>
        <w:ind w:left="0"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:rsidR="005B2B36" w:rsidRDefault="005B2B36" w:rsidP="005B2B36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</w:p>
    <w:p w:rsidR="005B2B36" w:rsidRDefault="005B2B36" w:rsidP="005B2B36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</w:p>
    <w:p w:rsidR="005B2B36" w:rsidRDefault="005B2B36" w:rsidP="005B2B36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</w:p>
    <w:p w:rsidR="005B2B36" w:rsidRDefault="005B2B36" w:rsidP="005B2B36">
      <w:pPr>
        <w:pStyle w:val="Paragrafi"/>
        <w:rPr>
          <w:rFonts w:eastAsia="Times New Roman"/>
          <w:spacing w:val="-4"/>
          <w:lang w:val="sq-AL" w:eastAsia="en-GB"/>
        </w:rPr>
      </w:pPr>
    </w:p>
    <w:p w:rsidR="005B2B36" w:rsidRDefault="005B2B36" w:rsidP="005B2B36">
      <w:pPr>
        <w:pStyle w:val="Paragrafi"/>
        <w:rPr>
          <w:rFonts w:eastAsia="Times New Roman"/>
          <w:spacing w:val="-4"/>
          <w:lang w:val="sq-AL" w:eastAsia="en-GB"/>
        </w:rPr>
      </w:pPr>
    </w:p>
    <w:p w:rsidR="005B2B36" w:rsidRDefault="005B2B36" w:rsidP="005B2B36">
      <w:pPr>
        <w:pStyle w:val="Paragrafi"/>
        <w:rPr>
          <w:rFonts w:eastAsia="Times New Roman"/>
          <w:spacing w:val="-4"/>
          <w:lang w:val="sq-AL" w:eastAsia="en-GB"/>
        </w:rPr>
      </w:pPr>
    </w:p>
    <w:p w:rsidR="005B2B36" w:rsidRDefault="005B2B36" w:rsidP="005B2B36">
      <w:pPr>
        <w:pStyle w:val="Paragrafi"/>
        <w:rPr>
          <w:rFonts w:eastAsia="Times New Roman"/>
          <w:spacing w:val="-4"/>
          <w:lang w:val="sq-AL" w:eastAsia="en-GB"/>
        </w:rPr>
      </w:pPr>
    </w:p>
    <w:p w:rsidR="005B2B36" w:rsidRDefault="005B2B36" w:rsidP="005B2B36">
      <w:pPr>
        <w:pStyle w:val="Paragrafi"/>
        <w:rPr>
          <w:rFonts w:eastAsia="Times New Roman"/>
          <w:spacing w:val="-4"/>
          <w:lang w:val="sq-AL" w:eastAsia="en-GB"/>
        </w:rPr>
      </w:pPr>
    </w:p>
    <w:p w:rsidR="005B2B36" w:rsidRDefault="005B2B36" w:rsidP="005B2B36">
      <w:pPr>
        <w:pStyle w:val="Paragrafi"/>
        <w:rPr>
          <w:rFonts w:eastAsia="Times New Roman"/>
          <w:spacing w:val="-4"/>
          <w:lang w:val="sq-AL" w:eastAsia="en-GB"/>
        </w:rPr>
      </w:pPr>
    </w:p>
    <w:p w:rsidR="005B2B36" w:rsidRDefault="005B2B36" w:rsidP="005B2B36">
      <w:pPr>
        <w:pStyle w:val="Paragrafi"/>
        <w:rPr>
          <w:rFonts w:eastAsia="Times New Roman"/>
          <w:spacing w:val="-4"/>
          <w:lang w:val="sq-AL" w:eastAsia="en-GB"/>
        </w:rPr>
      </w:pPr>
    </w:p>
    <w:p w:rsidR="005B2B36" w:rsidRDefault="005B2B36" w:rsidP="005B2B36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5657850" cy="2181225"/>
            <wp:effectExtent l="0" t="0" r="0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45" b="3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drawing>
          <wp:inline distT="0" distB="0" distL="0" distR="0">
            <wp:extent cx="5610225" cy="6372225"/>
            <wp:effectExtent l="0" t="0" r="9525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5" t="1215" r="3505" b="1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637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766762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6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7477125"/>
            <wp:effectExtent l="0" t="0" r="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47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7334250"/>
            <wp:effectExtent l="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33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755332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55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7581900"/>
            <wp:effectExtent l="0" t="0" r="952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745807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74580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732472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32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74866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48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733425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33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74866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48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74676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749617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49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754380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750570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50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748665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48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74676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73723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37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74485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4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76676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6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76581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75723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57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72104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21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drawing>
          <wp:inline distT="0" distB="0" distL="0" distR="0">
            <wp:extent cx="6115050" cy="1104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43" b="12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B36" w:rsidRDefault="005B2B36" w:rsidP="005B2B36">
      <w:pPr>
        <w:pStyle w:val="Paragrafi"/>
        <w:rPr>
          <w:rFonts w:eastAsia="Times New Roman"/>
          <w:spacing w:val="-4"/>
          <w:lang w:val="sq-AL" w:eastAsia="en-GB"/>
        </w:rPr>
      </w:pPr>
    </w:p>
    <w:p w:rsidR="005B2B36" w:rsidRDefault="005B2B36" w:rsidP="005B2B36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5B2B36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FB38D2" w:rsidRDefault="00FB38D2"/>
    <w:sectPr w:rsidR="00FB38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B36"/>
    <w:rsid w:val="005B2B36"/>
    <w:rsid w:val="00FB3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B7F36CF5-DCB7-4C0B-BDEE-5C117E247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2B36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,Article Heading"/>
    <w:basedOn w:val="Normal"/>
    <w:next w:val="Normal"/>
    <w:link w:val="Heading1Char"/>
    <w:uiPriority w:val="9"/>
    <w:qFormat/>
    <w:rsid w:val="005B2B36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,Article Heading Char"/>
    <w:basedOn w:val="DefaultParagraphFont"/>
    <w:link w:val="Heading1"/>
    <w:uiPriority w:val="9"/>
    <w:rsid w:val="005B2B36"/>
    <w:rPr>
      <w:rFonts w:ascii="Arial" w:eastAsia="MS Mincho" w:hAnsi="Arial" w:cs="Arial"/>
      <w:kern w:val="32"/>
      <w:sz w:val="32"/>
      <w:szCs w:val="32"/>
    </w:rPr>
  </w:style>
  <w:style w:type="character" w:customStyle="1" w:styleId="ParagrafiChar">
    <w:name w:val="Paragrafi Char"/>
    <w:basedOn w:val="DefaultParagraphFont"/>
    <w:link w:val="Paragrafi"/>
    <w:locked/>
    <w:rsid w:val="005B2B3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B2B3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B2B3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B2B3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B2B3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69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fontTable" Target="fontTable.xml"/><Relationship Id="rId5" Type="http://schemas.openxmlformats.org/officeDocument/2006/relationships/image" Target="media/image2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theme" Target="theme/theme1.xml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54</Pages>
  <Words>827</Words>
  <Characters>4714</Characters>
  <Application>Microsoft Office Word</Application>
  <DocSecurity>0</DocSecurity>
  <Lines>39</Lines>
  <Paragraphs>11</Paragraphs>
  <ScaleCrop>false</ScaleCrop>
  <Company/>
  <LinksUpToDate>false</LinksUpToDate>
  <CharactersWithSpaces>5530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2019-02-01T07:28:00Z</dcterms:created>
  <dcterms:modified xsi:type="dcterms:W3CDTF">2019-02-01T07:29:00Z</dcterms:modified>
</cp:coreProperties>
</file>