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4F32" w:rsidRDefault="002D4F32" w:rsidP="002D4F32">
      <w:pPr>
        <w:pStyle w:val="NeniTitull"/>
        <w:rPr>
          <w:lang w:val="sq-AL"/>
        </w:rPr>
      </w:pPr>
      <w:r>
        <w:rPr>
          <w:lang w:val="sq-AL"/>
        </w:rPr>
        <w:t>VENDIM</w:t>
      </w:r>
    </w:p>
    <w:p w:rsidR="002D4F32" w:rsidRDefault="002D4F32" w:rsidP="002D4F32">
      <w:pPr>
        <w:pStyle w:val="NeniTitull"/>
        <w:rPr>
          <w:lang w:val="sq-AL"/>
        </w:rPr>
      </w:pPr>
      <w:r>
        <w:rPr>
          <w:lang w:val="sq-AL"/>
        </w:rPr>
        <w:t xml:space="preserve">Nr. </w:t>
      </w:r>
      <w:bookmarkStart w:id="0" w:name="_GoBack"/>
      <w:r>
        <w:rPr>
          <w:lang w:val="sq-AL"/>
        </w:rPr>
        <w:t>263, datë 19.12.2018</w:t>
      </w:r>
      <w:bookmarkEnd w:id="0"/>
    </w:p>
    <w:p w:rsidR="002D4F32" w:rsidRDefault="002D4F32" w:rsidP="002D4F32">
      <w:pPr>
        <w:pStyle w:val="NeniTitull"/>
        <w:rPr>
          <w:sz w:val="14"/>
          <w:lang w:val="sq-AL"/>
        </w:rPr>
      </w:pPr>
    </w:p>
    <w:p w:rsidR="002D4F32" w:rsidRDefault="002D4F32" w:rsidP="002D4F32">
      <w:pPr>
        <w:pStyle w:val="NeniTitull"/>
        <w:rPr>
          <w:lang w:val="sq-AL"/>
        </w:rPr>
      </w:pPr>
      <w:r>
        <w:rPr>
          <w:lang w:val="sq-AL"/>
        </w:rPr>
        <w:t>MBI MIRATIMIN E PAGESAVE RREGULLATORE PËR TË LICENCUARIT NË SEKTORIN E ENERGJISË ELEKTRIKE DHE ATË TË GAZIT NATYROR PËR VITIN 2018</w:t>
      </w:r>
    </w:p>
    <w:p w:rsidR="002D4F32" w:rsidRDefault="002D4F32" w:rsidP="002D4F32">
      <w:pPr>
        <w:pStyle w:val="Paragrafi"/>
        <w:rPr>
          <w:sz w:val="14"/>
          <w:highlight w:val="yellow"/>
          <w:lang w:val="sq-AL"/>
        </w:rPr>
      </w:pPr>
    </w:p>
    <w:p w:rsidR="002D4F32" w:rsidRDefault="002D4F32" w:rsidP="002D4F32">
      <w:pPr>
        <w:pStyle w:val="Paragrafi"/>
        <w:rPr>
          <w:lang w:val="sq-AL"/>
        </w:rPr>
      </w:pPr>
      <w:r>
        <w:rPr>
          <w:lang w:val="sq-AL"/>
        </w:rPr>
        <w:t xml:space="preserve">Në mbështetje të nenit 16, nenit 17, pikat 2 dhe 4, të ligjit nr. 43/2015 “Për sektorin e energjisë elektrike”. i ndryshuar, dhe nenit 14, të ligjit nr. 102/2015 “Për sektorin e gazit natyror” dhe nenit 26, të “Rregullave të organizimit, funksionimit dhe procedurave të ERE-s”, miratuar me vendimin e Bordit të ERE-s nr. 96, datë 17.6.2016, Bordi i ERE-s, në mbledhjen e tij të datës 19.12.2018, mbasi shqyrtoi relacionin e drejtorive teknike lidhur me pagesat rregullatore për të licencuarit në sektorin e energjisë elektrike dhe atë të gazit natyror për vitin 2018, </w:t>
      </w:r>
    </w:p>
    <w:p w:rsidR="002D4F32" w:rsidRDefault="002D4F32" w:rsidP="002D4F32">
      <w:pPr>
        <w:pStyle w:val="Paragrafi"/>
        <w:rPr>
          <w:b/>
          <w:lang w:val="sq-AL"/>
        </w:rPr>
      </w:pPr>
    </w:p>
    <w:p w:rsidR="002D4F32" w:rsidRDefault="002D4F32" w:rsidP="002D4F32">
      <w:pPr>
        <w:pStyle w:val="Paragrafi"/>
        <w:rPr>
          <w:lang w:val="sq-AL"/>
        </w:rPr>
      </w:pPr>
      <w:r>
        <w:rPr>
          <w:lang w:val="sq-AL"/>
        </w:rPr>
        <w:t xml:space="preserve">konstatoi se: </w:t>
      </w:r>
    </w:p>
    <w:p w:rsidR="002D4F32" w:rsidRDefault="002D4F32" w:rsidP="002D4F32">
      <w:pPr>
        <w:pStyle w:val="Paragrafi"/>
        <w:rPr>
          <w:lang w:val="sq-AL"/>
        </w:rPr>
      </w:pPr>
      <w:r>
        <w:rPr>
          <w:lang w:val="sq-AL"/>
        </w:rPr>
        <w:t>- ERE përcakton dhe miraton tarifat rregullatore që paguhen prej të licencuarve në sektorin e energjisë elektrike dhe gazit natyror, në përputhje me rregulloren përkatëse, referuar nenit 17, pikat 2 dhe 4, të ligjit nr. 43/2015 “Për sektorin e energjisë elektrike”, i ndryshuar, dhe nenit 14, të ligjit nr. 102/2015 “Për sektorin e gazit natyror”.</w:t>
      </w:r>
    </w:p>
    <w:p w:rsidR="002D4F32" w:rsidRDefault="002D4F32" w:rsidP="002D4F32">
      <w:pPr>
        <w:pStyle w:val="Paragrafi"/>
        <w:rPr>
          <w:lang w:val="sq-AL"/>
        </w:rPr>
      </w:pPr>
      <w:r>
        <w:rPr>
          <w:lang w:val="sq-AL"/>
        </w:rPr>
        <w:t xml:space="preserve">- Në zbatim të këtij detyrimi, Bordi i ERE-s, me vendimin nr. 190, datë 23.11.2017, miratoi “Rregulloren për përcaktimin e pagesave të rregullatore”. </w:t>
      </w:r>
    </w:p>
    <w:p w:rsidR="002D4F32" w:rsidRDefault="002D4F32" w:rsidP="002D4F32">
      <w:pPr>
        <w:pStyle w:val="Paragrafi"/>
        <w:rPr>
          <w:lang w:val="sq-AL"/>
        </w:rPr>
      </w:pPr>
      <w:r>
        <w:rPr>
          <w:lang w:val="sq-AL"/>
        </w:rPr>
        <w:t xml:space="preserve">- Bordi i ERE-s, me vendimin nr. 44, datë 27.2.2018, miratoi buxhetin e Entit Rregullator të Energjisë për vitin 2018, nga ku rezulton se vlera totale që do të mblidhet ndërmjet pagesave rregullatore për vitin 2018, nga të gjithë të licencuarit është në shumën 143, 468 (njëqind e dyzetë e tre mijë e katërqind e gjashtëdhjetë e tetë) mijë lekë. </w:t>
      </w:r>
    </w:p>
    <w:p w:rsidR="002D4F32" w:rsidRDefault="002D4F32" w:rsidP="002D4F32">
      <w:pPr>
        <w:pStyle w:val="Paragrafi"/>
        <w:rPr>
          <w:lang w:val="sq-AL"/>
        </w:rPr>
      </w:pPr>
      <w:r>
        <w:rPr>
          <w:lang w:val="sq-AL"/>
        </w:rPr>
        <w:t>- Duke iu referuar bazës së të dhënave të Drejtorisë së Licencimit dhe Monitorimit, rezultojnë 298 të licencuar nga ERE, të cilët janë subjekt i pagesave rregullatore sipas klasifikimit në vijim:</w:t>
      </w:r>
    </w:p>
    <w:p w:rsidR="002D4F32" w:rsidRDefault="002D4F32" w:rsidP="002D4F32">
      <w:pPr>
        <w:pStyle w:val="Paragrafi"/>
        <w:rPr>
          <w:lang w:val="sq-AL"/>
        </w:rPr>
      </w:pPr>
      <w:r>
        <w:rPr>
          <w:lang w:val="sq-AL"/>
        </w:rPr>
        <w:t>- Licenca prodhimi – 140;</w:t>
      </w:r>
    </w:p>
    <w:p w:rsidR="002D4F32" w:rsidRDefault="002D4F32" w:rsidP="002D4F32">
      <w:pPr>
        <w:pStyle w:val="Paragrafi"/>
        <w:rPr>
          <w:lang w:val="sq-AL"/>
        </w:rPr>
      </w:pPr>
      <w:r>
        <w:rPr>
          <w:lang w:val="sq-AL"/>
        </w:rPr>
        <w:t>- Licenca për ndërtim, instalim dhe prodhim – 8;</w:t>
      </w:r>
    </w:p>
    <w:p w:rsidR="002D4F32" w:rsidRDefault="002D4F32" w:rsidP="002D4F32">
      <w:pPr>
        <w:pStyle w:val="Paragrafi"/>
        <w:rPr>
          <w:lang w:val="sq-AL"/>
        </w:rPr>
      </w:pPr>
      <w:r>
        <w:rPr>
          <w:lang w:val="sq-AL"/>
        </w:rPr>
        <w:t>- Licenca për transmetim të energjisë elektrike/gazit natyror – 2;</w:t>
      </w:r>
    </w:p>
    <w:p w:rsidR="002D4F32" w:rsidRDefault="002D4F32" w:rsidP="002D4F32">
      <w:pPr>
        <w:pStyle w:val="Paragrafi"/>
        <w:rPr>
          <w:lang w:val="sq-AL"/>
        </w:rPr>
      </w:pPr>
      <w:r>
        <w:rPr>
          <w:lang w:val="sq-AL"/>
        </w:rPr>
        <w:t>- Licenca për shpërndarje të energjisë elektrike/gazit natyror – 2;</w:t>
      </w:r>
    </w:p>
    <w:p w:rsidR="002D4F32" w:rsidRDefault="002D4F32" w:rsidP="002D4F32">
      <w:pPr>
        <w:pStyle w:val="Paragrafi"/>
        <w:rPr>
          <w:lang w:val="sq-AL"/>
        </w:rPr>
      </w:pPr>
      <w:r>
        <w:rPr>
          <w:lang w:val="sq-AL"/>
        </w:rPr>
        <w:t>- Licenca për furnizim të energjisë elektrike/gazit natyror – 35;</w:t>
      </w:r>
    </w:p>
    <w:p w:rsidR="002D4F32" w:rsidRDefault="002D4F32" w:rsidP="002D4F32">
      <w:pPr>
        <w:pStyle w:val="Paragrafi"/>
        <w:rPr>
          <w:lang w:val="sq-AL"/>
        </w:rPr>
      </w:pPr>
      <w:r>
        <w:rPr>
          <w:lang w:val="sq-AL"/>
        </w:rPr>
        <w:t>- Licenca për tregtim të energjisë elektrike/ gazit natyror – 111;</w:t>
      </w:r>
    </w:p>
    <w:p w:rsidR="002D4F32" w:rsidRDefault="002D4F32" w:rsidP="002D4F32">
      <w:pPr>
        <w:pStyle w:val="Paragrafi"/>
        <w:rPr>
          <w:lang w:val="sq-AL"/>
        </w:rPr>
      </w:pPr>
      <w:r>
        <w:rPr>
          <w:lang w:val="sq-AL"/>
        </w:rPr>
        <w:t xml:space="preserve">- Informacioni bazë për llogaritjen e pagesave rregullatore për vitin 2018 u përftua në përputhje me dispozitën 5.4 të “Rregullores për përcaktimin dhe miratimin e pagesave rregullatore”. </w:t>
      </w:r>
    </w:p>
    <w:p w:rsidR="002D4F32" w:rsidRDefault="002D4F32" w:rsidP="002D4F32">
      <w:pPr>
        <w:pStyle w:val="Paragrafi"/>
        <w:rPr>
          <w:lang w:val="sq-AL"/>
        </w:rPr>
      </w:pPr>
      <w:r>
        <w:rPr>
          <w:lang w:val="sq-AL"/>
        </w:rPr>
        <w:t xml:space="preserve">- Për të licencuarit, që nuk kanë paraqitur pasqyrat financiare për vitin 2017, në zbatim të dispozitës 6.4 të rregullores së sipërpërmendur, informacioni për llogaritjen e pagesave rregullatore është përftuar nga publikimet zyrtare (QKB) dhe, në mungesë të këtij të fundit, jemi bazuar në të ardhurat e marra në konsideratë për llogaritjen e pagesave të rregullimit të vitit 2017. </w:t>
      </w:r>
    </w:p>
    <w:p w:rsidR="002D4F32" w:rsidRDefault="002D4F32" w:rsidP="002D4F32">
      <w:pPr>
        <w:pStyle w:val="Paragrafi"/>
        <w:rPr>
          <w:lang w:val="sq-AL"/>
        </w:rPr>
      </w:pPr>
      <w:r>
        <w:rPr>
          <w:lang w:val="sq-AL"/>
        </w:rPr>
        <w:t xml:space="preserve">- Shoqëritë që kanë zhvilluar dy ose me shumë veprimtari të licencuara nuk kanë paraqitur ndarje të llogarive sipas veprimtarive, ashtu sikurse kërkohet në nenin 35, pika 1, të ligjit nr. 43/2015 “Për sektorin e energjisë elektrike”, i ndryshuar, dhe nenit 30, të ligjit nr. 102/2015 “Për sektorin e gazit natyror”. </w:t>
      </w:r>
    </w:p>
    <w:p w:rsidR="002D4F32" w:rsidRDefault="002D4F32" w:rsidP="002D4F32">
      <w:pPr>
        <w:pStyle w:val="Paragrafi"/>
        <w:rPr>
          <w:lang w:val="sq-AL"/>
        </w:rPr>
      </w:pPr>
      <w:r>
        <w:rPr>
          <w:lang w:val="sq-AL"/>
        </w:rPr>
        <w:t>- Një pjesë e konsiderueshme e shoqërive të licencuara, që kanë paraqitur pasqyrat financiare në ERE, nuk kanë përmbushur detyrimin ligjor sipas nenit 46, të ligjit nr. 43/2015, për paraqitjen e kopjeve të audituara të tyre brenda datës 30 qershor.</w:t>
      </w:r>
    </w:p>
    <w:p w:rsidR="002D4F32" w:rsidRDefault="002D4F32" w:rsidP="002D4F32">
      <w:pPr>
        <w:pStyle w:val="Paragrafi"/>
        <w:rPr>
          <w:lang w:val="sq-AL"/>
        </w:rPr>
      </w:pPr>
      <w:r>
        <w:rPr>
          <w:lang w:val="sq-AL"/>
        </w:rPr>
        <w:t>- Në vazhdim të detyrave që la mbledhja e Bordit të ERE-s, e datës 30.8.2018, nisur nga problematikat e konstatuara përgjatë relacionit të llogaritjes së pagesave rregullatore për vitin 2018, me nr. 69/3 prot., datë 20.8.2018, nga drejtoritë teknike të ERE-s u përgatit kërkesa e ripërsëritur për informacion me nr. 552 prot., datë 15.8.2018, si dhe shkresa nr. 548, datë 9.8.2018 dërguar “OSHEE” sh.a., ku i drejtohej jo vetëm të licencuarve, të cilët ende nuk i ishin përgjigjur kërkesave të mëparshme për dërgimin e pasqyrave financiare, por dhe atyre të licencuarve që kishin dërguar në ERE pasqyra financiare të pashoqëruara me raportin e audituesit duke iu rikujtuar respektimin e detyrimit që lind nga neni 46, pika 1, të ligjit nr. 43/2015 “Për sektorin e energjisë elektrike”, i ndryshuar, dhe neni 30, pika 1 e ligjit nr. 102/2015 “Për sektorin e gazit natyror”.</w:t>
      </w:r>
    </w:p>
    <w:p w:rsidR="002D4F32" w:rsidRDefault="002D4F32" w:rsidP="002D4F32">
      <w:pPr>
        <w:pStyle w:val="Paragrafi"/>
        <w:rPr>
          <w:lang w:val="sq-AL"/>
        </w:rPr>
      </w:pPr>
      <w:r>
        <w:rPr>
          <w:lang w:val="sq-AL"/>
        </w:rPr>
        <w:t xml:space="preserve">- Gjatë verifikimit të pasqyrave financiare të dërguara nga të licencuarit në përgjigje të shkresës 552, datë 15.8.2018, konstatohet se shumë nga të licencuarit i kanë paraqitur përsëri pasqyrat financiare të pacertifikuara sipas përcaktimeve të nenit 46, pika 1 të ligjit nr. 43/2015 “Për sektorin e energjisë </w:t>
      </w:r>
      <w:r>
        <w:rPr>
          <w:lang w:val="sq-AL"/>
        </w:rPr>
        <w:lastRenderedPageBreak/>
        <w:t xml:space="preserve">elektrike”, i ndryshuar, dhe neni 30, pika 1 e ligjit nr. 102/2015 “Për sektorin e gazit natyror”. </w:t>
      </w:r>
    </w:p>
    <w:p w:rsidR="002D4F32" w:rsidRDefault="002D4F32" w:rsidP="002D4F32">
      <w:pPr>
        <w:pStyle w:val="Paragrafi"/>
        <w:rPr>
          <w:lang w:val="sq-AL"/>
        </w:rPr>
      </w:pPr>
      <w:r>
        <w:rPr>
          <w:lang w:val="sq-AL"/>
        </w:rPr>
        <w:t>Një pjesë e këtyre shoqërive justifikojnë mos paraqitjen e raportit të audituesit me argumentin se nuk janë subjekt i auditimit të pasqyrave financiare pasi nuk plotësojnë kushtet për raportimin financiar të përcaktuara në nenin 41, pika “c”, të ligjit nr. 10091, datë 5.3.2009 “</w:t>
      </w:r>
      <w:r>
        <w:rPr>
          <w:i/>
          <w:lang w:val="sq-AL"/>
        </w:rPr>
        <w:t>Për auditimin ligjor, organizimin e profesionit të audituesit ligjor dhe të kontabilistit të miratuar” (ndryshuar me ligjin nr. 10297, datë 8.7.2010 Për një ndryshim në ligjin nr. 10091, datë 5.3.2009 “Për auditimin ligjor, organizimin e profesionit të ekspertit kontabël të regjistruar dhe kontabilistit të miratuar” dhe me ligjin 47/2016 “Për disa ndryshime dhe shtesa në ligjin nr. 10091, datë 5.3.2009 “Për auditimin ligjor, organizimin e profesionit të ekspertit kontabël të regjistruar dhe kontabilistit të miratuar”, të ndryshuar</w:t>
      </w:r>
      <w:r>
        <w:rPr>
          <w:lang w:val="sq-AL"/>
        </w:rPr>
        <w:t xml:space="preserve">). </w:t>
      </w:r>
    </w:p>
    <w:p w:rsidR="002D4F32" w:rsidRDefault="002D4F32" w:rsidP="002D4F32">
      <w:pPr>
        <w:pStyle w:val="Paragrafi"/>
        <w:rPr>
          <w:lang w:val="sq-AL"/>
        </w:rPr>
      </w:pPr>
      <w:r>
        <w:rPr>
          <w:lang w:val="sq-AL"/>
        </w:rPr>
        <w:t>Kushtet e përgjithshme të licencave respektive, gjithashtu kushtëzojnë paraqitjen e informacionit në përputhje me legjislacionin e sipër cituar për sektorin e energjisë elektrike dhe gazit natyror, legjislacion të cilit këto shoqëri i nënshtrohen gjatë procesit të ushtrimit të veprimtarisë në këta sektor.</w:t>
      </w:r>
    </w:p>
    <w:p w:rsidR="002D4F32" w:rsidRDefault="002D4F32" w:rsidP="002D4F32">
      <w:pPr>
        <w:pStyle w:val="Paragrafi"/>
        <w:rPr>
          <w:lang w:val="sq-AL"/>
        </w:rPr>
      </w:pPr>
      <w:r>
        <w:rPr>
          <w:lang w:val="sq-AL"/>
        </w:rPr>
        <w:t xml:space="preserve">- Për të licencuarit që në vitin 2017 nuk kanë zhvilluar veprimtari apo që në momentin e llogaritjes së pagesës rregullatore nuk e kanë filluar veprimtarinë për të cilin janë licencuar, në zbatim të dispozitave 5.2 dhe 6.3 të “Rregullores për përcaktimin e pagesave të rregullatore”, pagesa rregullatore është përcaktuar në shumën fikse prej 40 mijë lekësh. </w:t>
      </w:r>
    </w:p>
    <w:p w:rsidR="002D4F32" w:rsidRDefault="002D4F32" w:rsidP="002D4F32">
      <w:pPr>
        <w:pStyle w:val="Paragrafi"/>
        <w:rPr>
          <w:lang w:val="sq-AL"/>
        </w:rPr>
      </w:pPr>
      <w:r>
        <w:rPr>
          <w:lang w:val="sq-AL"/>
        </w:rPr>
        <w:t xml:space="preserve">- E njëjta shumë fikse është zbatuar edhe për shoqëritë që kanë më shumë se një licencë dhe të cilat nuk i kanë paraqitur pasqyrat financiare të ndara sipas veprimtarive të licencuara në zbatim të kërkesës për ndarjen e llogarive përcaktuar në nenin 35, të ligjit nr. 43/2015 “Për sektorin e energjisë elektrike”, i ndryshuar. </w:t>
      </w:r>
    </w:p>
    <w:p w:rsidR="002D4F32" w:rsidRDefault="002D4F32" w:rsidP="002D4F32">
      <w:pPr>
        <w:pStyle w:val="Paragrafi"/>
        <w:rPr>
          <w:lang w:val="sq-AL"/>
        </w:rPr>
      </w:pPr>
      <w:r>
        <w:rPr>
          <w:lang w:val="sq-AL"/>
        </w:rPr>
        <w:t>- Vlera totale e përftuar nëpërmjet pagesave fikse rezulton të jetë 6,640 mijë lekë.</w:t>
      </w:r>
    </w:p>
    <w:p w:rsidR="002D4F32" w:rsidRDefault="002D4F32" w:rsidP="002D4F32">
      <w:pPr>
        <w:pStyle w:val="Paragrafi"/>
        <w:rPr>
          <w:lang w:val="sq-AL"/>
        </w:rPr>
      </w:pPr>
      <w:r>
        <w:rPr>
          <w:lang w:val="sq-AL"/>
        </w:rPr>
        <w:t>- Për të licencuarit të cilët kanë ushtruar veprimtarinë e licencuar gjatë vitit 2017 llogaritja e pagesës rregullatore është kryer në zbatim të dispozitave 5.3, 6.1 dhe 6.2 të “Rregullores” të cilat përcaktojnë se pagesa duhet të jetë në përpjesëtim të drejtë më të ardhurat vjetore që vijnë nga veprimtaria e licencuar dhe llogariten në bazë të peshës specifike që zënë të ardhurat e realizuara në vitin paraardhës nga veprimtaria e çdo të licencuari ndaj totalit të të ardhurave të sektorit të energjisë elektrike</w:t>
      </w:r>
    </w:p>
    <w:p w:rsidR="002D4F32" w:rsidRDefault="002D4F32" w:rsidP="002D4F32">
      <w:pPr>
        <w:pStyle w:val="Paragrafi"/>
        <w:rPr>
          <w:lang w:val="sq-AL"/>
        </w:rPr>
      </w:pPr>
      <w:r>
        <w:rPr>
          <w:lang w:val="sq-AL"/>
        </w:rPr>
        <w:t>- Me urdhrin e kryetarit të ERE-s nr. 58, nr. 59, nr. 60, të datës 30.10.2018 u zhvilluan seanca dëgjimore me tre grupe të licencuarish, ku u diskutuan në lidhje me raportimin vjetor të pasqyrave financiare të veprimtarit të vitit 2017, si dhe paqartësia e shënimeve sqaruese lidhur me ndarjen e llogarive sipas veprimtarive, e cila është bërë pengesë për përfundimin e llogaritjeve të pagesave rregullatore, në mënyrë që ato të reflektojnë detyrimin kundrejt të ardhurave reale nga veprimtaritë e licencuara.</w:t>
      </w:r>
    </w:p>
    <w:p w:rsidR="002D4F32" w:rsidRDefault="002D4F32" w:rsidP="002D4F32">
      <w:pPr>
        <w:pStyle w:val="Paragrafi"/>
        <w:rPr>
          <w:lang w:val="sq-AL"/>
        </w:rPr>
      </w:pPr>
      <w:r>
        <w:rPr>
          <w:lang w:val="sq-AL"/>
        </w:rPr>
        <w:t>- Nga të licencuarit për veprimtarinë e prodhimit të energjisë elektrike u pranua që mund të ketë moskuadrime me “OSHEE” sh.a., për arsye të detyrimeve të tarifës koncesionare. Gjithashtu deklaruan se nuk kanë ankimime kundrejt pagesave ndaj viteve të mëparshme dhe se janë të gatshëm të paguajnë një tarife më të madhe që t’i mundësojë ERE-s monitorimin e të dhënave on-line.</w:t>
      </w:r>
    </w:p>
    <w:p w:rsidR="002D4F32" w:rsidRDefault="002D4F32" w:rsidP="002D4F32">
      <w:pPr>
        <w:pStyle w:val="Paragrafi"/>
        <w:rPr>
          <w:lang w:val="sq-AL"/>
        </w:rPr>
      </w:pPr>
      <w:r>
        <w:rPr>
          <w:lang w:val="sq-AL"/>
        </w:rPr>
        <w:t>- Grupi i tregtarëve dhe furnizuesve u shpreh se pagesa rregullatore varion shumë nga viti në vit si pasojë e rritjes së volumit të transaksioneve dhe së kërkojnë një iniciative ligjore që kjo pagesë të jetë fikse si në shumë vende të rajonit.</w:t>
      </w:r>
    </w:p>
    <w:p w:rsidR="002D4F32" w:rsidRDefault="002D4F32" w:rsidP="002D4F32">
      <w:pPr>
        <w:pStyle w:val="Paragrafi"/>
        <w:rPr>
          <w:lang w:val="sq-AL"/>
        </w:rPr>
      </w:pPr>
      <w:r>
        <w:rPr>
          <w:lang w:val="sq-AL"/>
        </w:rPr>
        <w:t xml:space="preserve">- Sa më sipër për të qartësuar më tej transaksionet e kryera nga tregtarët apo furnizuesit për vitin 2017, iu drejtuam OST sh.a., me shkresën 768, datë 7.12.2018 në funksion të llogaritjes të pagesave rregullatore për vitin 2018, veçanërisht për të licencuarit që ushtrojnë të dy veprimtaritë: tregtim dhe furnizim dhe për të cilët llogaritë sipas pasqyrave financiare për vitin 2017 nuk janë të ndara sipas veprimtarive. U kërkua informacion mbi volumet e transaksioneve për kontratat e furnizimit dhe tregtimit si dhe çmimet përkatëse. </w:t>
      </w:r>
    </w:p>
    <w:p w:rsidR="002D4F32" w:rsidRDefault="002D4F32" w:rsidP="002D4F32">
      <w:pPr>
        <w:pStyle w:val="Paragrafi"/>
        <w:rPr>
          <w:lang w:val="sq-AL"/>
        </w:rPr>
      </w:pPr>
      <w:r>
        <w:rPr>
          <w:lang w:val="sq-AL"/>
        </w:rPr>
        <w:t>- Nga korrespondenca me OST sh.a., rezulton se kontratat e transaksioneve janë pa çmime, por pavarësisht kësaj u evidentuan transaksionet sipas veprimtarive të licencuara furnizim/tregtim. Më tej u reflektuan këto evidentime në llogaritjet përkatëse të detyrimeve.</w:t>
      </w:r>
    </w:p>
    <w:p w:rsidR="002D4F32" w:rsidRDefault="002D4F32" w:rsidP="002D4F32">
      <w:pPr>
        <w:pStyle w:val="Paragrafi"/>
        <w:rPr>
          <w:lang w:val="sq-AL"/>
        </w:rPr>
      </w:pPr>
      <w:r>
        <w:rPr>
          <w:lang w:val="sq-AL"/>
        </w:rPr>
        <w:t xml:space="preserve">Për gjithë sa më sipërcituar, Bordi i ERE-s, </w:t>
      </w:r>
    </w:p>
    <w:p w:rsidR="002D4F32" w:rsidRDefault="002D4F32" w:rsidP="002D4F32">
      <w:pPr>
        <w:pStyle w:val="Paragrafi"/>
        <w:rPr>
          <w:sz w:val="14"/>
          <w:lang w:val="sq-AL"/>
        </w:rPr>
      </w:pPr>
    </w:p>
    <w:p w:rsidR="002D4F32" w:rsidRDefault="002D4F32" w:rsidP="002D4F32">
      <w:pPr>
        <w:pStyle w:val="NeniNr"/>
        <w:rPr>
          <w:lang w:val="sq-AL"/>
        </w:rPr>
      </w:pPr>
      <w:r>
        <w:rPr>
          <w:lang w:val="sq-AL"/>
        </w:rPr>
        <w:t>VENDOSI:</w:t>
      </w:r>
    </w:p>
    <w:p w:rsidR="002D4F32" w:rsidRDefault="002D4F32" w:rsidP="002D4F32">
      <w:pPr>
        <w:pStyle w:val="Paragrafi"/>
        <w:rPr>
          <w:sz w:val="14"/>
          <w:lang w:val="sq-AL"/>
        </w:rPr>
      </w:pPr>
    </w:p>
    <w:p w:rsidR="002D4F32" w:rsidRDefault="002D4F32" w:rsidP="002D4F32">
      <w:pPr>
        <w:pStyle w:val="Paragrafi"/>
        <w:rPr>
          <w:lang w:val="sq-AL"/>
        </w:rPr>
      </w:pPr>
      <w:r>
        <w:rPr>
          <w:lang w:val="sq-AL"/>
        </w:rPr>
        <w:t xml:space="preserve">1. Miratimin e pagesave rregullatore për të licencuarit në sektorin e energjisë elektrike dhe atë të gazit natyror, për vitin 2018 sipas tabelës, bashkëlidhur vendimit. </w:t>
      </w:r>
    </w:p>
    <w:p w:rsidR="002D4F32" w:rsidRDefault="002D4F32" w:rsidP="002D4F32">
      <w:pPr>
        <w:pStyle w:val="Paragrafi"/>
        <w:rPr>
          <w:lang w:val="sq-AL"/>
        </w:rPr>
      </w:pPr>
      <w:r>
        <w:rPr>
          <w:lang w:val="sq-AL"/>
        </w:rPr>
        <w:t xml:space="preserve">2. Diferencat që rezultojnë nga pasqyrat financiare të certifikuara për vitin 2017, të </w:t>
      </w:r>
    </w:p>
    <w:p w:rsidR="002D4F32" w:rsidRDefault="002D4F32" w:rsidP="002D4F32">
      <w:pPr>
        <w:pStyle w:val="Paragrafi"/>
        <w:rPr>
          <w:lang w:val="sq-AL"/>
        </w:rPr>
      </w:pPr>
      <w:r>
        <w:rPr>
          <w:lang w:val="sq-AL"/>
        </w:rPr>
        <w:t xml:space="preserve">konsiderohen në llogaritjen e pagesave të rregullimit të periudhës pasardhëse. </w:t>
      </w:r>
    </w:p>
    <w:p w:rsidR="002D4F32" w:rsidRDefault="002D4F32" w:rsidP="002D4F32">
      <w:pPr>
        <w:pStyle w:val="Paragrafi"/>
        <w:rPr>
          <w:lang w:val="sq-AL"/>
        </w:rPr>
      </w:pPr>
      <w:r>
        <w:rPr>
          <w:lang w:val="sq-AL"/>
        </w:rPr>
        <w:t>3.</w:t>
      </w:r>
      <w:r>
        <w:rPr>
          <w:sz w:val="2"/>
          <w:lang w:val="sq-AL"/>
        </w:rPr>
        <w:t xml:space="preserve"> </w:t>
      </w:r>
      <w:r>
        <w:rPr>
          <w:lang w:val="sq-AL"/>
        </w:rPr>
        <w:t>Drejtoria e Burimeve Njerëzore, Administrim Financës dhe Marrëdhënieve me Jashtë të njoftojë të licencuarit.</w:t>
      </w:r>
    </w:p>
    <w:p w:rsidR="002D4F32" w:rsidRDefault="002D4F32" w:rsidP="002D4F32">
      <w:pPr>
        <w:pStyle w:val="Paragrafi"/>
        <w:rPr>
          <w:lang w:val="sq-AL"/>
        </w:rPr>
      </w:pPr>
    </w:p>
    <w:p w:rsidR="002D4F32" w:rsidRDefault="002D4F32" w:rsidP="002D4F32">
      <w:pPr>
        <w:pStyle w:val="Paragrafi"/>
        <w:rPr>
          <w:lang w:val="sq-AL"/>
        </w:rPr>
      </w:pPr>
      <w:r>
        <w:rPr>
          <w:lang w:val="sq-AL"/>
        </w:rPr>
        <w:t xml:space="preserve">Ky vendim hyn në fuqi menjëherë. </w:t>
      </w:r>
    </w:p>
    <w:p w:rsidR="002D4F32" w:rsidRDefault="002D4F32" w:rsidP="002D4F32">
      <w:pPr>
        <w:pStyle w:val="Paragrafi"/>
        <w:rPr>
          <w:lang w:val="sq-AL"/>
        </w:rPr>
      </w:pPr>
      <w:r>
        <w:rPr>
          <w:lang w:val="sq-AL"/>
        </w:rPr>
        <w:t xml:space="preserve">Ky vendim botohet në Fletoren Zyrtare. </w:t>
      </w:r>
    </w:p>
    <w:p w:rsidR="002D4F32" w:rsidRDefault="002D4F32" w:rsidP="002D4F32">
      <w:pPr>
        <w:pStyle w:val="Paragrafi"/>
        <w:rPr>
          <w:lang w:val="sq-AL"/>
        </w:rPr>
      </w:pPr>
      <w:r>
        <w:rPr>
          <w:lang w:val="sq-AL"/>
        </w:rPr>
        <w:t xml:space="preserve">Ky vendim mund të ankimohet në Gjykatën Administrative Tiranë, nga të licencuarit në sektorin e energjisë elektrike brenda 30 ditëve kalendarike nga botimi në Fletoren Zyrtare. </w:t>
      </w:r>
    </w:p>
    <w:p w:rsidR="002D4F32" w:rsidRDefault="002D4F32" w:rsidP="002D4F32">
      <w:pPr>
        <w:pStyle w:val="Paragrafi"/>
        <w:rPr>
          <w:lang w:val="sq-AL"/>
        </w:rPr>
      </w:pPr>
    </w:p>
    <w:p w:rsidR="002D4F32" w:rsidRDefault="002D4F32" w:rsidP="002D4F32">
      <w:pPr>
        <w:pStyle w:val="Paragrafi"/>
        <w:rPr>
          <w:lang w:val="sq-AL"/>
        </w:rPr>
      </w:pPr>
      <w:r>
        <w:rPr>
          <w:lang w:val="sq-AL"/>
        </w:rPr>
        <w:t xml:space="preserve">Ky vendim mund të ankimohet në Gjykatën Administrative Tiranë, nga të licencuarit në sektorin e gazit natyror brenda 45 ditëve kalendarike nga botimi në Fletoren Zyrtare. </w:t>
      </w:r>
    </w:p>
    <w:p w:rsidR="002D4F32" w:rsidRDefault="002D4F32" w:rsidP="002D4F32">
      <w:pPr>
        <w:pStyle w:val="Paragrafi"/>
        <w:rPr>
          <w:rFonts w:eastAsia="Times New Roman"/>
          <w:spacing w:val="-4"/>
          <w:sz w:val="16"/>
          <w:lang w:val="sq-AL" w:eastAsia="en-GB"/>
        </w:rPr>
      </w:pPr>
    </w:p>
    <w:p w:rsidR="002D4F32" w:rsidRDefault="002D4F32" w:rsidP="002D4F32">
      <w:pPr>
        <w:pStyle w:val="Paragrafi"/>
        <w:jc w:val="right"/>
        <w:rPr>
          <w:lang w:val="sq-AL"/>
        </w:rPr>
      </w:pPr>
      <w:r>
        <w:rPr>
          <w:lang w:val="sq-AL"/>
        </w:rPr>
        <w:t>KRYETARI</w:t>
      </w:r>
    </w:p>
    <w:p w:rsidR="002D4F32" w:rsidRDefault="002D4F32" w:rsidP="002D4F32">
      <w:pPr>
        <w:pStyle w:val="Paragrafi"/>
        <w:jc w:val="right"/>
        <w:rPr>
          <w:b/>
          <w:lang w:val="sq-AL"/>
        </w:rPr>
      </w:pPr>
      <w:r>
        <w:rPr>
          <w:b/>
          <w:lang w:val="sq-AL"/>
        </w:rPr>
        <w:t>Petrit Ahmeti</w:t>
      </w:r>
    </w:p>
    <w:p w:rsidR="002D4F32" w:rsidRDefault="002D4F32" w:rsidP="002D4F32">
      <w:pPr>
        <w:spacing w:after="0" w:line="240" w:lineRule="auto"/>
        <w:ind w:firstLine="0"/>
        <w:jc w:val="left"/>
        <w:rPr>
          <w:rFonts w:ascii="Garamond" w:eastAsia="Times New Roman" w:hAnsi="Garamond" w:cs="CG Times"/>
          <w:spacing w:val="-4"/>
          <w:sz w:val="24"/>
          <w:lang w:val="sq-AL" w:eastAsia="en-GB"/>
        </w:rPr>
        <w:sectPr w:rsidR="002D4F32" w:rsidSect="002D4F32">
          <w:pgSz w:w="11907" w:h="16840"/>
          <w:pgMar w:top="720" w:right="1134" w:bottom="720" w:left="1134" w:header="851" w:footer="851" w:gutter="0"/>
          <w:cols w:space="454"/>
        </w:sectPr>
      </w:pPr>
    </w:p>
    <w:p w:rsidR="002D4F32" w:rsidRDefault="002D4F32" w:rsidP="002D4F32">
      <w:pPr>
        <w:pStyle w:val="Paragrafi"/>
        <w:ind w:firstLine="0"/>
        <w:jc w:val="center"/>
        <w:rPr>
          <w:rFonts w:eastAsia="Times New Roman"/>
          <w:spacing w:val="-4"/>
          <w:lang w:val="sq-AL" w:eastAsia="en-GB"/>
        </w:rPr>
      </w:pPr>
      <w:r>
        <w:rPr>
          <w:noProof/>
        </w:rPr>
        <w:lastRenderedPageBreak/>
        <w:drawing>
          <wp:inline distT="0" distB="0" distL="0" distR="0">
            <wp:extent cx="5753100" cy="7258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53100" cy="7258050"/>
                    </a:xfrm>
                    <a:prstGeom prst="rect">
                      <a:avLst/>
                    </a:prstGeom>
                    <a:noFill/>
                    <a:ln>
                      <a:noFill/>
                    </a:ln>
                  </pic:spPr>
                </pic:pic>
              </a:graphicData>
            </a:graphic>
          </wp:inline>
        </w:drawing>
      </w:r>
    </w:p>
    <w:p w:rsidR="002D4F32" w:rsidRDefault="002D4F32" w:rsidP="002D4F32">
      <w:pPr>
        <w:pStyle w:val="Paragrafi"/>
        <w:rPr>
          <w:rFonts w:eastAsia="Times New Roman"/>
          <w:spacing w:val="-4"/>
          <w:lang w:val="sq-AL" w:eastAsia="en-GB"/>
        </w:rPr>
      </w:pPr>
    </w:p>
    <w:p w:rsidR="002D4F32" w:rsidRDefault="002D4F32" w:rsidP="002D4F32">
      <w:pPr>
        <w:pStyle w:val="Paragrafi"/>
        <w:ind w:firstLine="0"/>
        <w:jc w:val="center"/>
        <w:rPr>
          <w:rFonts w:eastAsia="Times New Roman"/>
          <w:spacing w:val="-4"/>
          <w:lang w:val="sq-AL" w:eastAsia="en-GB"/>
        </w:rPr>
      </w:pPr>
      <w:r>
        <w:rPr>
          <w:noProof/>
        </w:rPr>
        <w:lastRenderedPageBreak/>
        <w:drawing>
          <wp:inline distT="0" distB="0" distL="0" distR="0">
            <wp:extent cx="5734050" cy="84677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4050" cy="8467725"/>
                    </a:xfrm>
                    <a:prstGeom prst="rect">
                      <a:avLst/>
                    </a:prstGeom>
                    <a:noFill/>
                    <a:ln>
                      <a:noFill/>
                    </a:ln>
                  </pic:spPr>
                </pic:pic>
              </a:graphicData>
            </a:graphic>
          </wp:inline>
        </w:drawing>
      </w:r>
    </w:p>
    <w:p w:rsidR="002D4F32" w:rsidRDefault="002D4F32" w:rsidP="002D4F32">
      <w:pPr>
        <w:pStyle w:val="Paragrafi"/>
        <w:rPr>
          <w:rFonts w:eastAsia="Times New Roman"/>
          <w:spacing w:val="-4"/>
          <w:lang w:val="sq-AL" w:eastAsia="en-GB"/>
        </w:rPr>
      </w:pPr>
    </w:p>
    <w:p w:rsidR="002D4F32" w:rsidRDefault="002D4F32" w:rsidP="002D4F32">
      <w:pPr>
        <w:pStyle w:val="Paragrafi"/>
        <w:rPr>
          <w:rFonts w:eastAsia="Times New Roman"/>
          <w:spacing w:val="-4"/>
          <w:lang w:val="sq-AL" w:eastAsia="en-GB"/>
        </w:rPr>
      </w:pPr>
      <w:r>
        <w:rPr>
          <w:noProof/>
        </w:rPr>
        <w:lastRenderedPageBreak/>
        <w:drawing>
          <wp:inline distT="0" distB="0" distL="0" distR="0">
            <wp:extent cx="5753100" cy="84867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3100" cy="8486775"/>
                    </a:xfrm>
                    <a:prstGeom prst="rect">
                      <a:avLst/>
                    </a:prstGeom>
                    <a:noFill/>
                    <a:ln>
                      <a:noFill/>
                    </a:ln>
                  </pic:spPr>
                </pic:pic>
              </a:graphicData>
            </a:graphic>
          </wp:inline>
        </w:drawing>
      </w:r>
    </w:p>
    <w:p w:rsidR="002D4F32" w:rsidRDefault="002D4F32" w:rsidP="002D4F32">
      <w:pPr>
        <w:pStyle w:val="Paragrafi"/>
        <w:rPr>
          <w:rFonts w:eastAsia="Times New Roman"/>
          <w:spacing w:val="-4"/>
          <w:lang w:val="sq-AL" w:eastAsia="en-GB"/>
        </w:rPr>
      </w:pPr>
      <w:r>
        <w:rPr>
          <w:noProof/>
        </w:rPr>
        <w:lastRenderedPageBreak/>
        <w:drawing>
          <wp:inline distT="0" distB="0" distL="0" distR="0">
            <wp:extent cx="5838825" cy="83820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38825" cy="8382000"/>
                    </a:xfrm>
                    <a:prstGeom prst="rect">
                      <a:avLst/>
                    </a:prstGeom>
                    <a:noFill/>
                    <a:ln>
                      <a:noFill/>
                    </a:ln>
                  </pic:spPr>
                </pic:pic>
              </a:graphicData>
            </a:graphic>
          </wp:inline>
        </w:drawing>
      </w:r>
    </w:p>
    <w:p w:rsidR="002D4F32" w:rsidRDefault="002D4F32" w:rsidP="002D4F32">
      <w:pPr>
        <w:pStyle w:val="Paragrafi"/>
        <w:rPr>
          <w:rFonts w:eastAsia="Times New Roman"/>
          <w:spacing w:val="-4"/>
          <w:lang w:val="sq-AL" w:eastAsia="en-GB"/>
        </w:rPr>
      </w:pPr>
    </w:p>
    <w:p w:rsidR="002D4F32" w:rsidRDefault="002D4F32" w:rsidP="002D4F32">
      <w:pPr>
        <w:pStyle w:val="Paragrafi"/>
        <w:rPr>
          <w:rFonts w:eastAsia="Times New Roman"/>
          <w:spacing w:val="-4"/>
          <w:lang w:val="sq-AL" w:eastAsia="en-GB"/>
        </w:rPr>
      </w:pPr>
      <w:r>
        <w:rPr>
          <w:noProof/>
        </w:rPr>
        <w:lastRenderedPageBreak/>
        <w:drawing>
          <wp:inline distT="0" distB="0" distL="0" distR="0">
            <wp:extent cx="5829300" cy="8524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29300" cy="8524875"/>
                    </a:xfrm>
                    <a:prstGeom prst="rect">
                      <a:avLst/>
                    </a:prstGeom>
                    <a:noFill/>
                    <a:ln>
                      <a:noFill/>
                    </a:ln>
                  </pic:spPr>
                </pic:pic>
              </a:graphicData>
            </a:graphic>
          </wp:inline>
        </w:drawing>
      </w:r>
    </w:p>
    <w:p w:rsidR="002D4F32" w:rsidRDefault="002D4F32" w:rsidP="002D4F32">
      <w:pPr>
        <w:pStyle w:val="Paragrafi"/>
        <w:rPr>
          <w:rFonts w:eastAsia="Times New Roman"/>
          <w:spacing w:val="-4"/>
          <w:lang w:val="sq-AL" w:eastAsia="en-GB"/>
        </w:rPr>
      </w:pPr>
      <w:r>
        <w:rPr>
          <w:noProof/>
        </w:rPr>
        <w:lastRenderedPageBreak/>
        <w:drawing>
          <wp:inline distT="0" distB="0" distL="0" distR="0">
            <wp:extent cx="5676900" cy="7067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6900" cy="7067550"/>
                    </a:xfrm>
                    <a:prstGeom prst="rect">
                      <a:avLst/>
                    </a:prstGeom>
                    <a:noFill/>
                    <a:ln>
                      <a:noFill/>
                    </a:ln>
                  </pic:spPr>
                </pic:pic>
              </a:graphicData>
            </a:graphic>
          </wp:inline>
        </w:drawing>
      </w:r>
    </w:p>
    <w:p w:rsidR="00293B7D" w:rsidRDefault="00293B7D"/>
    <w:sectPr w:rsidR="00293B7D" w:rsidSect="002D4F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F32"/>
    <w:rsid w:val="00293B7D"/>
    <w:rsid w:val="002D4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4129CB-7885-4F51-8389-F580D39E8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F3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D4F32"/>
    <w:rPr>
      <w:rFonts w:ascii="Garamond" w:eastAsia="MS Mincho" w:hAnsi="Garamond" w:cs="CG Times"/>
      <w:sz w:val="24"/>
    </w:rPr>
  </w:style>
  <w:style w:type="paragraph" w:customStyle="1" w:styleId="Paragrafi">
    <w:name w:val="Paragrafi"/>
    <w:link w:val="ParagrafiChar"/>
    <w:rsid w:val="002D4F3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D4F32"/>
    <w:rPr>
      <w:rFonts w:ascii="Garamond" w:eastAsia="MS Mincho" w:hAnsi="Garamond" w:cs="CG Times"/>
      <w:sz w:val="24"/>
      <w:lang w:val="en-GB"/>
    </w:rPr>
  </w:style>
  <w:style w:type="paragraph" w:customStyle="1" w:styleId="NeniNr">
    <w:name w:val="Neni_Nr"/>
    <w:next w:val="Normal"/>
    <w:link w:val="NeniNrChar"/>
    <w:rsid w:val="002D4F3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D4F32"/>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77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1474</Words>
  <Characters>8407</Characters>
  <Application>Microsoft Office Word</Application>
  <DocSecurity>0</DocSecurity>
  <Lines>70</Lines>
  <Paragraphs>19</Paragraphs>
  <ScaleCrop>false</ScaleCrop>
  <Company/>
  <LinksUpToDate>false</LinksUpToDate>
  <CharactersWithSpaces>9862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2019-02-04T13:17:00Z</dcterms:created>
  <dcterms:modified xsi:type="dcterms:W3CDTF">2019-02-04T13:17:00Z</dcterms:modified>
</cp:coreProperties>
</file>