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C82" w:rsidRDefault="00DB5C82" w:rsidP="00DB5C82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DB5C82" w:rsidRDefault="00DB5C82" w:rsidP="00DB5C82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3, datë 17.1.2019</w:t>
      </w:r>
    </w:p>
    <w:bookmarkEnd w:id="0"/>
    <w:p w:rsidR="00DB5C82" w:rsidRDefault="00DB5C82" w:rsidP="00DB5C82">
      <w:pPr>
        <w:pStyle w:val="NeniTitull"/>
        <w:rPr>
          <w:sz w:val="14"/>
          <w:lang w:val="sq-AL"/>
        </w:rPr>
      </w:pPr>
    </w:p>
    <w:p w:rsidR="00DB5C82" w:rsidRDefault="00DB5C82" w:rsidP="00DB5C82">
      <w:pPr>
        <w:pStyle w:val="NeniTitull"/>
        <w:rPr>
          <w:lang w:val="sq-AL"/>
        </w:rPr>
      </w:pPr>
      <w:r>
        <w:rPr>
          <w:lang w:val="sq-AL"/>
        </w:rPr>
        <w:t>MBI REFUZIMIN E KËRKESËS SË SHOQËRISË MTC ENERGY SHPK, PËR VENDOSJE HIPOTEKE DHE BARRË MBI ASETET E SHOQËRISË “M.T.C. ENERGY” SHPK, PËR EFEKT TË RISTRUKTURIMIT TË KREDISË NË FAVOR TË RAFFEISEN BANK SHA</w:t>
      </w:r>
    </w:p>
    <w:p w:rsidR="00DB5C82" w:rsidRDefault="00DB5C82" w:rsidP="00DB5C82">
      <w:pPr>
        <w:pStyle w:val="Paragrafi"/>
        <w:rPr>
          <w:sz w:val="14"/>
          <w:lang w:val="sq-AL"/>
        </w:rPr>
      </w:pPr>
    </w:p>
    <w:p w:rsidR="00DB5C82" w:rsidRDefault="00DB5C82" w:rsidP="00DB5C82">
      <w:pPr>
        <w:pStyle w:val="Paragrafi"/>
        <w:rPr>
          <w:lang w:val="sq-AL"/>
        </w:rPr>
      </w:pPr>
      <w:r>
        <w:rPr>
          <w:lang w:val="sq-AL"/>
        </w:rPr>
        <w:t xml:space="preserve">Në mbështetje të neneve 16; nenit 44, pika 1, të ligjit nr. 43/2015, “Për sektorin e energjisë elektrike” i ndryshuar; pikës 1.3 të “Licencës për prodhimin e energjisë elektrike”, si dhe nenit 11 të “Rregullore të procedurave të transferimit të aseteve nga të licencuarit”, miratuar me vendimin e Bordit të ERE-s, nr. 119, datë 21.7.2016, si dhe nenit 15 të “Rregullave për organizimin funksionimin dhe procedurat e ERE-s”, miratuar me vendimin nr. 96, datë 17.6.2016; Bordi i ERE-s, në mbledhjen e tij të datës 17.1.2019, mbasi shqyrtoi relacionin e përgatitur nga Drejtoria e Licencimit dhe Monitorimit të Tregut në lidhje me transferimin e aseteve të shoqërisë “M.T.C. Energy” sh.p.k., për lënie peng në favor të Raffeisen Bank, për efekt të ristrukturimit të kredisë, </w:t>
      </w:r>
    </w:p>
    <w:p w:rsidR="00DB5C82" w:rsidRDefault="00DB5C82" w:rsidP="00DB5C82">
      <w:pPr>
        <w:pStyle w:val="Paragrafi"/>
        <w:rPr>
          <w:lang w:val="sq-AL"/>
        </w:rPr>
      </w:pPr>
      <w:r>
        <w:rPr>
          <w:lang w:val="sq-AL"/>
        </w:rPr>
        <w:t xml:space="preserve">konstatoi se: </w:t>
      </w:r>
    </w:p>
    <w:p w:rsidR="00DB5C82" w:rsidRDefault="00DB5C82" w:rsidP="00DB5C8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Me shkresën e protokolluar në ERE në datën 26.12.2018 shoqëria “M.T.C Energy” sh.p.k., ka depozituar në ERE, kërkesën për vendosje hipoteke dhe barrë mbi asetet e shoqërisë “M.T.C. ENERGY” sh.p.k., për efekt të ristrukturimit të kredisë në favor të Raffeisen Bank sh.a. dhe me shkresën e protokolluar në ERE me nr. 29 prot., datë 10.1.2019, ka përcjellë në ERE dokumentacion plotësues për aplikimin e tij. Po ashtu edhe Raiffeisen Bank sh.a. me shkresën e protokolluar në ERE me nr. 29/1 prot., datë 10.1.2019, ka përcjellë deklaratën nr. 614, datë 8.1.2019 dhe atë nr. 615, datë 8.1.2019, në funksion të këtij aplikimi.</w:t>
      </w:r>
    </w:p>
    <w:p w:rsidR="00DB5C82" w:rsidRDefault="00DB5C82" w:rsidP="00DB5C82">
      <w:pPr>
        <w:pStyle w:val="Paragrafi"/>
        <w:rPr>
          <w:lang w:val="sq-AL"/>
        </w:rPr>
      </w:pPr>
      <w:r>
        <w:rPr>
          <w:spacing w:val="-4"/>
          <w:lang w:val="sq-AL"/>
        </w:rPr>
        <w:t>- Kontrata e kredisë bankare nr. 4887 rep, nr. 2475 kol, datë 7.11.2016, që ndryshon kontratën nr. 4085 rep., nr. 1778 kol, datë 28.9.2012, e paraqitur nga subjekti në ERE, nuk parashikon barrësim apo lënie hipotekë të aseteve të të licencuarit, por vetëm ndryshimin e monedhës së përdorimit të linjës së kredisë dhe normës së interesit dhe dispozita të tjera që nuk shpreh</w:t>
      </w:r>
      <w:r>
        <w:rPr>
          <w:lang w:val="sq-AL"/>
        </w:rPr>
        <w:t xml:space="preserve"> për asetet e të licencuarit.</w:t>
      </w:r>
    </w:p>
    <w:p w:rsidR="00DB5C82" w:rsidRDefault="00DB5C82" w:rsidP="00DB5C82">
      <w:pPr>
        <w:pStyle w:val="Paragrafi"/>
        <w:rPr>
          <w:lang w:val="sq-AL"/>
        </w:rPr>
      </w:pPr>
      <w:r>
        <w:rPr>
          <w:lang w:val="sq-AL"/>
        </w:rPr>
        <w:t>- ERE në zbatim të nenit 44 të ligjit nr. 43/2015, “Për sektorin e energjisë elektrike”, i ndryshuar, dhe “Rregullores së procedurave të transferimit të aseteve fikse nga të licencuarit”, miratuar me vendimin nr. 119, datë 21.7.2016, të Bordit të ERE-s, shprehet vetëm për transferim të licencës ose të aseteve nga të licencuarit dhe jo për ristrukturim kredie (kolateral financiar). Si e tillë nuk është në kompetencën e ERE shqyrtimi i kërkesës së shoqërisë “M.T.C. Energy” sh.p.k.</w:t>
      </w:r>
    </w:p>
    <w:p w:rsidR="00DB5C82" w:rsidRDefault="00DB5C82" w:rsidP="00DB5C82">
      <w:pPr>
        <w:pStyle w:val="Paragrafi"/>
        <w:rPr>
          <w:lang w:val="sq-AL"/>
        </w:rPr>
      </w:pPr>
      <w:r>
        <w:rPr>
          <w:lang w:val="sq-AL"/>
        </w:rPr>
        <w:t>Për gjithë sa më sipër, Bordi i ERE-s</w:t>
      </w:r>
    </w:p>
    <w:p w:rsidR="00DB5C82" w:rsidRDefault="00DB5C82" w:rsidP="00DB5C82">
      <w:pPr>
        <w:pStyle w:val="Paragrafi"/>
        <w:rPr>
          <w:sz w:val="14"/>
          <w:lang w:val="sq-AL"/>
        </w:rPr>
      </w:pPr>
    </w:p>
    <w:p w:rsidR="00DB5C82" w:rsidRDefault="00DB5C82" w:rsidP="00DB5C82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DB5C82" w:rsidRDefault="00DB5C82" w:rsidP="00DB5C82">
      <w:pPr>
        <w:pStyle w:val="Paragrafi"/>
        <w:rPr>
          <w:sz w:val="14"/>
          <w:lang w:val="sq-AL"/>
        </w:rPr>
      </w:pPr>
    </w:p>
    <w:p w:rsidR="00DB5C82" w:rsidRDefault="00DB5C82" w:rsidP="00DB5C82">
      <w:pPr>
        <w:pStyle w:val="Paragrafi"/>
        <w:rPr>
          <w:lang w:val="sq-AL"/>
        </w:rPr>
      </w:pPr>
      <w:r>
        <w:rPr>
          <w:lang w:val="sq-AL"/>
        </w:rPr>
        <w:t>1. Të refuzojë kërkesën e shoqërisë “M.T.C. Energy” sh.p.k., për vendosje hipoteke dhe barrë mbi asetet e shoqërisë “M.T.C ENERGY” sh.p.k., për efekt të ristrukturimit të kredisë në favor të Raffeisen Bank sh.a.</w:t>
      </w:r>
    </w:p>
    <w:p w:rsidR="00DB5C82" w:rsidRDefault="00DB5C82" w:rsidP="00DB5C82">
      <w:pPr>
        <w:pStyle w:val="Paragrafi"/>
        <w:rPr>
          <w:lang w:val="sq-AL"/>
        </w:rPr>
      </w:pPr>
      <w:r>
        <w:rPr>
          <w:lang w:val="sq-AL"/>
        </w:rPr>
        <w:t>2. Drejtoria e Licencimit dhe Monitorimit të Tregut do të njoftojë aplikuesin për vendimin e Bordit të ERE-s. </w:t>
      </w:r>
    </w:p>
    <w:p w:rsidR="00DB5C82" w:rsidRDefault="00DB5C82" w:rsidP="00DB5C82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DB5C82" w:rsidRDefault="00DB5C82" w:rsidP="00DB5C82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DB5C82" w:rsidRDefault="00DB5C82" w:rsidP="00DB5C82">
      <w:pPr>
        <w:pStyle w:val="Paragrafi"/>
        <w:rPr>
          <w:lang w:val="sq-AL"/>
        </w:rPr>
      </w:pPr>
      <w:r>
        <w:rPr>
          <w:lang w:val="sq-AL"/>
        </w:rPr>
        <w:t>Ky vendim mund të ankimohet në Gjykatën Administrative Tiranë, brenda 30 ditëve kalendarike nga botimi në Fletoren Zyrtare.</w:t>
      </w:r>
    </w:p>
    <w:p w:rsidR="00DB5C82" w:rsidRDefault="00DB5C82" w:rsidP="00DB5C82">
      <w:pPr>
        <w:pStyle w:val="Paragrafi"/>
        <w:rPr>
          <w:sz w:val="14"/>
          <w:lang w:val="sq-AL"/>
        </w:rPr>
      </w:pPr>
    </w:p>
    <w:p w:rsidR="00DB5C82" w:rsidRDefault="00DB5C82" w:rsidP="00DB5C82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DB5C82" w:rsidRDefault="00DB5C82" w:rsidP="00DB5C82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9E08FB" w:rsidRDefault="009E08FB"/>
    <w:sectPr w:rsidR="009E08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C82"/>
    <w:rsid w:val="009E08FB"/>
    <w:rsid w:val="00DB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A951C6-FC96-4F11-87E8-F8603B291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B5C8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DB5C8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B5C8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B5C8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DB5C8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DB5C8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2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466</Words>
  <Characters>2660</Characters>
  <Application>Microsoft Office Word</Application>
  <DocSecurity>0</DocSecurity>
  <Lines>22</Lines>
  <Paragraphs>6</Paragraphs>
  <ScaleCrop>false</ScaleCrop>
  <Company/>
  <LinksUpToDate>false</LinksUpToDate>
  <CharactersWithSpaces>3120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2019-02-04T12:44:00Z</dcterms:created>
  <dcterms:modified xsi:type="dcterms:W3CDTF">2019-02-04T12:44:00Z</dcterms:modified>
</cp:coreProperties>
</file>