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ACCE4" w14:textId="77777777" w:rsidR="009661D4" w:rsidRPr="009661D4" w:rsidRDefault="009661D4" w:rsidP="009661D4">
      <w:pPr>
        <w:spacing w:after="0" w:line="240" w:lineRule="auto"/>
        <w:jc w:val="center"/>
        <w:rPr>
          <w:rFonts w:ascii="Garamond" w:hAnsi="Garamond"/>
          <w:b/>
          <w:sz w:val="24"/>
          <w:szCs w:val="24"/>
        </w:rPr>
      </w:pPr>
      <w:r w:rsidRPr="009661D4">
        <w:rPr>
          <w:rFonts w:ascii="Garamond" w:hAnsi="Garamond"/>
          <w:b/>
          <w:sz w:val="24"/>
          <w:szCs w:val="24"/>
        </w:rPr>
        <w:t>VENDIM</w:t>
      </w:r>
    </w:p>
    <w:p w14:paraId="03B312A9" w14:textId="61F70D9C" w:rsidR="009661D4" w:rsidRPr="009661D4" w:rsidRDefault="005F3651" w:rsidP="009661D4">
      <w:pPr>
        <w:spacing w:after="0" w:line="240" w:lineRule="auto"/>
        <w:jc w:val="center"/>
        <w:rPr>
          <w:rFonts w:ascii="Garamond" w:hAnsi="Garamond"/>
          <w:b/>
          <w:sz w:val="24"/>
          <w:szCs w:val="24"/>
        </w:rPr>
      </w:pPr>
      <w:r>
        <w:rPr>
          <w:rFonts w:ascii="Garamond" w:hAnsi="Garamond"/>
          <w:b/>
          <w:sz w:val="24"/>
          <w:szCs w:val="24"/>
        </w:rPr>
        <w:t>Nr. 162</w:t>
      </w:r>
      <w:r w:rsidR="009661D4" w:rsidRPr="009661D4">
        <w:rPr>
          <w:rFonts w:ascii="Garamond" w:hAnsi="Garamond"/>
          <w:b/>
          <w:sz w:val="24"/>
          <w:szCs w:val="24"/>
        </w:rPr>
        <w:t xml:space="preserve">, </w:t>
      </w:r>
      <w:r>
        <w:rPr>
          <w:rFonts w:ascii="Garamond" w:hAnsi="Garamond"/>
          <w:b/>
          <w:sz w:val="24"/>
          <w:szCs w:val="24"/>
        </w:rPr>
        <w:t>datë</w:t>
      </w:r>
      <w:r w:rsidR="009661D4" w:rsidRPr="009661D4">
        <w:rPr>
          <w:rFonts w:ascii="Garamond" w:hAnsi="Garamond"/>
          <w:b/>
          <w:sz w:val="24"/>
          <w:szCs w:val="24"/>
        </w:rPr>
        <w:t xml:space="preserve"> 29.10.2019</w:t>
      </w:r>
    </w:p>
    <w:p w14:paraId="2593F071" w14:textId="77777777" w:rsidR="009661D4" w:rsidRPr="009661D4" w:rsidRDefault="009661D4" w:rsidP="009661D4">
      <w:pPr>
        <w:spacing w:after="0" w:line="240" w:lineRule="auto"/>
        <w:jc w:val="center"/>
        <w:rPr>
          <w:rFonts w:ascii="Garamond" w:hAnsi="Garamond"/>
          <w:b/>
          <w:sz w:val="24"/>
          <w:szCs w:val="24"/>
        </w:rPr>
      </w:pPr>
    </w:p>
    <w:p w14:paraId="25BD1895" w14:textId="54C5510D" w:rsidR="009661D4" w:rsidRPr="009661D4" w:rsidRDefault="009661D4" w:rsidP="009661D4">
      <w:pPr>
        <w:spacing w:after="0" w:line="240" w:lineRule="auto"/>
        <w:jc w:val="center"/>
        <w:rPr>
          <w:rFonts w:ascii="Garamond" w:hAnsi="Garamond"/>
          <w:b/>
          <w:sz w:val="24"/>
          <w:szCs w:val="24"/>
        </w:rPr>
      </w:pPr>
      <w:r w:rsidRPr="009661D4">
        <w:rPr>
          <w:rFonts w:ascii="Garamond" w:hAnsi="Garamond"/>
          <w:b/>
          <w:sz w:val="24"/>
          <w:szCs w:val="24"/>
        </w:rPr>
        <w:t>MBI KËRKESË</w:t>
      </w:r>
      <w:r w:rsidR="005F3651">
        <w:rPr>
          <w:rFonts w:ascii="Garamond" w:hAnsi="Garamond"/>
          <w:b/>
          <w:sz w:val="24"/>
          <w:szCs w:val="24"/>
        </w:rPr>
        <w:t>N E SHOQËRISË HEC “LASHKIZA” SHPK</w:t>
      </w:r>
      <w:r w:rsidRPr="009661D4">
        <w:rPr>
          <w:rFonts w:ascii="Garamond" w:hAnsi="Garamond"/>
          <w:b/>
          <w:sz w:val="24"/>
          <w:szCs w:val="24"/>
        </w:rPr>
        <w:t xml:space="preserve"> PËR LËNIEN NË HIPOTEKË DHE BARRË TË ASETEVE NË FAVOR TË BANKËS “INTE</w:t>
      </w:r>
      <w:r w:rsidR="005F3651">
        <w:rPr>
          <w:rFonts w:ascii="Garamond" w:hAnsi="Garamond"/>
          <w:b/>
          <w:sz w:val="24"/>
          <w:szCs w:val="24"/>
        </w:rPr>
        <w:t>SA SANPAOLO BANK ALBANIA” SH</w:t>
      </w:r>
      <w:r>
        <w:rPr>
          <w:rFonts w:ascii="Garamond" w:hAnsi="Garamond"/>
          <w:b/>
          <w:sz w:val="24"/>
          <w:szCs w:val="24"/>
        </w:rPr>
        <w:t>A</w:t>
      </w:r>
    </w:p>
    <w:p w14:paraId="6264E105" w14:textId="77777777" w:rsidR="009661D4" w:rsidRPr="009661D4" w:rsidRDefault="009661D4" w:rsidP="009661D4">
      <w:pPr>
        <w:spacing w:after="0" w:line="240" w:lineRule="auto"/>
        <w:ind w:firstLine="284"/>
        <w:jc w:val="both"/>
        <w:rPr>
          <w:rFonts w:ascii="Garamond" w:hAnsi="Garamond"/>
          <w:sz w:val="24"/>
          <w:szCs w:val="24"/>
        </w:rPr>
      </w:pPr>
    </w:p>
    <w:p w14:paraId="5319754D" w14:textId="5D407C35" w:rsidR="009661D4" w:rsidRPr="009661D4" w:rsidRDefault="009661D4" w:rsidP="009661D4">
      <w:pPr>
        <w:spacing w:after="0" w:line="240" w:lineRule="auto"/>
        <w:ind w:firstLine="284"/>
        <w:jc w:val="both"/>
        <w:rPr>
          <w:rFonts w:ascii="Garamond" w:hAnsi="Garamond"/>
          <w:sz w:val="24"/>
          <w:szCs w:val="24"/>
        </w:rPr>
      </w:pPr>
      <w:r w:rsidRPr="009661D4">
        <w:rPr>
          <w:rFonts w:ascii="Garamond" w:hAnsi="Garamond"/>
          <w:sz w:val="24"/>
          <w:szCs w:val="24"/>
        </w:rPr>
        <w:t>Në mbështetje të ne</w:t>
      </w:r>
      <w:r w:rsidR="005F3651">
        <w:rPr>
          <w:rFonts w:ascii="Garamond" w:hAnsi="Garamond"/>
          <w:sz w:val="24"/>
          <w:szCs w:val="24"/>
        </w:rPr>
        <w:t>nit 16; nenit 44, pika “1”, të l</w:t>
      </w:r>
      <w:r w:rsidRPr="009661D4">
        <w:rPr>
          <w:rFonts w:ascii="Garamond" w:hAnsi="Garamond"/>
          <w:sz w:val="24"/>
          <w:szCs w:val="24"/>
        </w:rPr>
        <w:t xml:space="preserve">igjit nr. 43/2015 “Për </w:t>
      </w:r>
      <w:r w:rsidR="005F3651" w:rsidRPr="009661D4">
        <w:rPr>
          <w:rFonts w:ascii="Garamond" w:hAnsi="Garamond"/>
          <w:sz w:val="24"/>
          <w:szCs w:val="24"/>
        </w:rPr>
        <w:t>sektorin e energjisë elektrike</w:t>
      </w:r>
      <w:r w:rsidRPr="009661D4">
        <w:rPr>
          <w:rFonts w:ascii="Garamond" w:hAnsi="Garamond"/>
          <w:sz w:val="24"/>
          <w:szCs w:val="24"/>
        </w:rPr>
        <w:t>”</w:t>
      </w:r>
      <w:r w:rsidR="005F3651">
        <w:rPr>
          <w:rFonts w:ascii="Garamond" w:hAnsi="Garamond"/>
          <w:sz w:val="24"/>
          <w:szCs w:val="24"/>
        </w:rPr>
        <w:t>,</w:t>
      </w:r>
      <w:r w:rsidRPr="009661D4">
        <w:rPr>
          <w:rFonts w:ascii="Garamond" w:hAnsi="Garamond"/>
          <w:sz w:val="24"/>
          <w:szCs w:val="24"/>
        </w:rPr>
        <w:t xml:space="preserve"> si dhe në zbatim të nenit 6; nenit 7 dhe nenit 8</w:t>
      </w:r>
      <w:r w:rsidR="005F3651">
        <w:rPr>
          <w:rFonts w:ascii="Garamond" w:hAnsi="Garamond"/>
          <w:sz w:val="24"/>
          <w:szCs w:val="24"/>
        </w:rPr>
        <w:t>,</w:t>
      </w:r>
      <w:r w:rsidRPr="009661D4">
        <w:rPr>
          <w:rFonts w:ascii="Garamond" w:hAnsi="Garamond"/>
          <w:sz w:val="24"/>
          <w:szCs w:val="24"/>
        </w:rPr>
        <w:t xml:space="preserve"> të “Rregullores për procedurat e transferimit të aseteve nga të licencuarit” të miratuar me vendimin e bordit të ERE-s, nr.</w:t>
      </w:r>
      <w:r w:rsidR="005F3651">
        <w:rPr>
          <w:rFonts w:ascii="Garamond" w:hAnsi="Garamond"/>
          <w:sz w:val="24"/>
          <w:szCs w:val="24"/>
        </w:rPr>
        <w:t xml:space="preserve"> 119, datë 21.</w:t>
      </w:r>
      <w:r w:rsidRPr="009661D4">
        <w:rPr>
          <w:rFonts w:ascii="Garamond" w:hAnsi="Garamond"/>
          <w:sz w:val="24"/>
          <w:szCs w:val="24"/>
        </w:rPr>
        <w:t xml:space="preserve">7.2016; pikës 1.3 të “Kushteve të </w:t>
      </w:r>
      <w:r w:rsidR="005F3651">
        <w:rPr>
          <w:rFonts w:ascii="Garamond" w:hAnsi="Garamond"/>
          <w:sz w:val="24"/>
          <w:szCs w:val="24"/>
        </w:rPr>
        <w:t>l</w:t>
      </w:r>
      <w:r w:rsidRPr="009661D4">
        <w:rPr>
          <w:rFonts w:ascii="Garamond" w:hAnsi="Garamond"/>
          <w:sz w:val="24"/>
          <w:szCs w:val="24"/>
        </w:rPr>
        <w:t>icencës” të miratuar me vendimin e b</w:t>
      </w:r>
      <w:r w:rsidR="005F3651">
        <w:rPr>
          <w:rFonts w:ascii="Garamond" w:hAnsi="Garamond"/>
          <w:sz w:val="24"/>
          <w:szCs w:val="24"/>
        </w:rPr>
        <w:t>ordit të ERE-s nr. 99, datë 17.</w:t>
      </w:r>
      <w:r w:rsidRPr="009661D4">
        <w:rPr>
          <w:rFonts w:ascii="Garamond" w:hAnsi="Garamond"/>
          <w:sz w:val="24"/>
          <w:szCs w:val="24"/>
        </w:rPr>
        <w:t>6.2016, gjithashtu dhe nenit 19</w:t>
      </w:r>
      <w:r w:rsidR="005F3651">
        <w:rPr>
          <w:rFonts w:ascii="Garamond" w:hAnsi="Garamond"/>
          <w:sz w:val="24"/>
          <w:szCs w:val="24"/>
        </w:rPr>
        <w:t>,</w:t>
      </w:r>
      <w:r w:rsidRPr="009661D4">
        <w:rPr>
          <w:rFonts w:ascii="Garamond" w:hAnsi="Garamond"/>
          <w:sz w:val="24"/>
          <w:szCs w:val="24"/>
        </w:rPr>
        <w:t xml:space="preserve"> pika 1</w:t>
      </w:r>
      <w:r w:rsidR="005F3651">
        <w:rPr>
          <w:rFonts w:ascii="Garamond" w:hAnsi="Garamond"/>
          <w:sz w:val="24"/>
          <w:szCs w:val="24"/>
        </w:rPr>
        <w:t>,</w:t>
      </w:r>
      <w:r w:rsidRPr="009661D4">
        <w:rPr>
          <w:rFonts w:ascii="Garamond" w:hAnsi="Garamond"/>
          <w:sz w:val="24"/>
          <w:szCs w:val="24"/>
        </w:rPr>
        <w:t xml:space="preserve"> </w:t>
      </w:r>
      <w:r w:rsidR="005F3651" w:rsidRPr="009661D4">
        <w:rPr>
          <w:rFonts w:ascii="Garamond" w:hAnsi="Garamond"/>
          <w:sz w:val="24"/>
          <w:szCs w:val="24"/>
        </w:rPr>
        <w:t>germa</w:t>
      </w:r>
      <w:r w:rsidR="005F3651">
        <w:rPr>
          <w:rFonts w:ascii="Garamond" w:hAnsi="Garamond"/>
          <w:sz w:val="24"/>
          <w:szCs w:val="24"/>
        </w:rPr>
        <w:t xml:space="preserve"> “a” </w:t>
      </w:r>
      <w:r w:rsidRPr="009661D4">
        <w:rPr>
          <w:rFonts w:ascii="Garamond" w:hAnsi="Garamond"/>
          <w:sz w:val="24"/>
          <w:szCs w:val="24"/>
        </w:rPr>
        <w:t>dhe pika 3</w:t>
      </w:r>
      <w:r w:rsidR="005F3651">
        <w:rPr>
          <w:rFonts w:ascii="Garamond" w:hAnsi="Garamond"/>
          <w:sz w:val="24"/>
          <w:szCs w:val="24"/>
        </w:rPr>
        <w:t>,</w:t>
      </w:r>
      <w:r w:rsidRPr="009661D4">
        <w:rPr>
          <w:rFonts w:ascii="Garamond" w:hAnsi="Garamond"/>
          <w:sz w:val="24"/>
          <w:szCs w:val="24"/>
        </w:rPr>
        <w:t xml:space="preserve"> të “Rregullores për organizimin, funksionimin dhe procedurat e ERE-s”, miratu</w:t>
      </w:r>
      <w:r w:rsidR="005F3651">
        <w:rPr>
          <w:rFonts w:ascii="Garamond" w:hAnsi="Garamond"/>
          <w:sz w:val="24"/>
          <w:szCs w:val="24"/>
        </w:rPr>
        <w:t>ar me vendimin nr. 96, datë 17.</w:t>
      </w:r>
      <w:r w:rsidRPr="009661D4">
        <w:rPr>
          <w:rFonts w:ascii="Garamond" w:hAnsi="Garamond"/>
          <w:sz w:val="24"/>
          <w:szCs w:val="24"/>
        </w:rPr>
        <w:t xml:space="preserve">6.2016; </w:t>
      </w:r>
      <w:r w:rsidR="005F3651">
        <w:rPr>
          <w:rFonts w:ascii="Garamond" w:hAnsi="Garamond"/>
          <w:sz w:val="24"/>
          <w:szCs w:val="24"/>
        </w:rPr>
        <w:t>b</w:t>
      </w:r>
      <w:r w:rsidRPr="009661D4">
        <w:rPr>
          <w:rFonts w:ascii="Garamond" w:hAnsi="Garamond"/>
          <w:sz w:val="24"/>
          <w:szCs w:val="24"/>
        </w:rPr>
        <w:t>ordi i Enti</w:t>
      </w:r>
      <w:r w:rsidR="005F3651">
        <w:rPr>
          <w:rFonts w:ascii="Garamond" w:hAnsi="Garamond"/>
          <w:sz w:val="24"/>
          <w:szCs w:val="24"/>
        </w:rPr>
        <w:t>t Rregullator të Energjisë (ER</w:t>
      </w:r>
      <w:r w:rsidRPr="009661D4">
        <w:rPr>
          <w:rFonts w:ascii="Garamond" w:hAnsi="Garamond"/>
          <w:sz w:val="24"/>
          <w:szCs w:val="24"/>
        </w:rPr>
        <w:t xml:space="preserve">E), në mbledhjen e tij të datës 29.10.2019, mbasi shqyrtoi relacionin nr. 98/3 </w:t>
      </w:r>
      <w:r w:rsidR="005F3651">
        <w:rPr>
          <w:rFonts w:ascii="Garamond" w:hAnsi="Garamond"/>
          <w:sz w:val="24"/>
          <w:szCs w:val="24"/>
        </w:rPr>
        <w:t>p</w:t>
      </w:r>
      <w:r w:rsidRPr="009661D4">
        <w:rPr>
          <w:rFonts w:ascii="Garamond" w:hAnsi="Garamond"/>
          <w:sz w:val="24"/>
          <w:szCs w:val="24"/>
        </w:rPr>
        <w:t xml:space="preserve">rot, datë 23.10.2019, të përgatitur nga Drejtoria e Licencimit, Autorizimeve dhe </w:t>
      </w:r>
      <w:r w:rsidR="008E524D" w:rsidRPr="009661D4">
        <w:rPr>
          <w:rFonts w:ascii="Garamond" w:hAnsi="Garamond"/>
          <w:sz w:val="24"/>
          <w:szCs w:val="24"/>
        </w:rPr>
        <w:t>Mbikëqyrjes</w:t>
      </w:r>
      <w:r w:rsidRPr="009661D4">
        <w:rPr>
          <w:rFonts w:ascii="Garamond" w:hAnsi="Garamond"/>
          <w:sz w:val="24"/>
          <w:szCs w:val="24"/>
        </w:rPr>
        <w:t>, në lidhje me kërkesën e shoqërisë “HEC Lashkiza” sh.p.k., për lënien në hipotekë dhe barrë të aseteve në favor të bankës “Inte</w:t>
      </w:r>
      <w:r w:rsidR="005F3651">
        <w:rPr>
          <w:rFonts w:ascii="Garamond" w:hAnsi="Garamond"/>
          <w:sz w:val="24"/>
          <w:szCs w:val="24"/>
        </w:rPr>
        <w:t>sa Sanpaolo Bank Albania” sh.a.</w:t>
      </w:r>
      <w:r w:rsidRPr="009661D4">
        <w:rPr>
          <w:rFonts w:ascii="Garamond" w:hAnsi="Garamond"/>
          <w:sz w:val="24"/>
          <w:szCs w:val="24"/>
        </w:rPr>
        <w:t xml:space="preserve">, </w:t>
      </w:r>
    </w:p>
    <w:p w14:paraId="678ACC0F" w14:textId="03C28A00" w:rsidR="009661D4" w:rsidRPr="009661D4" w:rsidRDefault="005F3651" w:rsidP="009661D4">
      <w:pPr>
        <w:spacing w:after="0" w:line="240" w:lineRule="auto"/>
        <w:ind w:firstLine="284"/>
        <w:jc w:val="both"/>
        <w:rPr>
          <w:rFonts w:ascii="Garamond" w:hAnsi="Garamond"/>
          <w:sz w:val="24"/>
          <w:szCs w:val="24"/>
        </w:rPr>
      </w:pPr>
      <w:r>
        <w:rPr>
          <w:rFonts w:ascii="Garamond" w:hAnsi="Garamond"/>
          <w:sz w:val="24"/>
          <w:szCs w:val="24"/>
        </w:rPr>
        <w:t>k</w:t>
      </w:r>
      <w:r w:rsidR="009661D4" w:rsidRPr="009661D4">
        <w:rPr>
          <w:rFonts w:ascii="Garamond" w:hAnsi="Garamond"/>
          <w:sz w:val="24"/>
          <w:szCs w:val="24"/>
        </w:rPr>
        <w:t xml:space="preserve">onstatoi se: </w:t>
      </w:r>
    </w:p>
    <w:p w14:paraId="29D9BBC6" w14:textId="46001B68"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 xml:space="preserve">Me shkresën e protokolluar në ERE me nr. 591 </w:t>
      </w:r>
      <w:r w:rsidR="005F3651">
        <w:rPr>
          <w:rFonts w:ascii="Garamond" w:hAnsi="Garamond"/>
          <w:sz w:val="24"/>
          <w:szCs w:val="24"/>
        </w:rPr>
        <w:t>p</w:t>
      </w:r>
      <w:r w:rsidRPr="009661D4">
        <w:rPr>
          <w:rFonts w:ascii="Garamond" w:hAnsi="Garamond"/>
          <w:sz w:val="24"/>
          <w:szCs w:val="24"/>
        </w:rPr>
        <w:t>rot, datë 25</w:t>
      </w:r>
      <w:r w:rsidR="005F3651">
        <w:rPr>
          <w:rFonts w:ascii="Garamond" w:hAnsi="Garamond"/>
          <w:sz w:val="24"/>
          <w:szCs w:val="24"/>
        </w:rPr>
        <w:t>.</w:t>
      </w:r>
      <w:r w:rsidRPr="009661D4">
        <w:rPr>
          <w:rFonts w:ascii="Garamond" w:hAnsi="Garamond"/>
          <w:sz w:val="24"/>
          <w:szCs w:val="24"/>
        </w:rPr>
        <w:t>9.2019, shoqëria “HEC LASHKIZA” sh.p.k., ka kërkuar lënien në hipotekë dhe barrë të aseteve që disponon shoqëria HEC LASHKIZA sh.p.k., në favor të bankës “Intesa Sanpaolo Bank Albania” sh.a., për efekt të marrjes së një kredie për financimin e ndërtimit të projektit të shoqërisë HEC LASHKIZA sh.p.k.</w:t>
      </w:r>
    </w:p>
    <w:p w14:paraId="21057346" w14:textId="22242BFD"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Kjo shoqëri, është krijuar si detyrim ligjor i nenit 8, pika 1</w:t>
      </w:r>
      <w:r w:rsidR="005F3651">
        <w:rPr>
          <w:rFonts w:ascii="Garamond" w:hAnsi="Garamond"/>
          <w:sz w:val="24"/>
          <w:szCs w:val="24"/>
        </w:rPr>
        <w:t>,</w:t>
      </w:r>
      <w:r w:rsidRPr="009661D4">
        <w:rPr>
          <w:rFonts w:ascii="Garamond" w:hAnsi="Garamond"/>
          <w:sz w:val="24"/>
          <w:szCs w:val="24"/>
        </w:rPr>
        <w:t xml:space="preserve"> të Kontratës </w:t>
      </w:r>
      <w:r w:rsidR="008E524D">
        <w:rPr>
          <w:rFonts w:ascii="Garamond" w:hAnsi="Garamond"/>
          <w:sz w:val="24"/>
          <w:szCs w:val="24"/>
        </w:rPr>
        <w:t>k</w:t>
      </w:r>
      <w:r w:rsidRPr="009661D4">
        <w:rPr>
          <w:rFonts w:ascii="Garamond" w:hAnsi="Garamond"/>
          <w:sz w:val="24"/>
          <w:szCs w:val="24"/>
        </w:rPr>
        <w:t xml:space="preserve">oncesionare, </w:t>
      </w:r>
      <w:r w:rsidR="005F3651">
        <w:rPr>
          <w:rFonts w:ascii="Garamond" w:hAnsi="Garamond"/>
          <w:sz w:val="24"/>
          <w:szCs w:val="24"/>
        </w:rPr>
        <w:t>n</w:t>
      </w:r>
      <w:r w:rsidRPr="009661D4">
        <w:rPr>
          <w:rFonts w:ascii="Garamond" w:hAnsi="Garamond"/>
          <w:sz w:val="24"/>
          <w:szCs w:val="24"/>
        </w:rPr>
        <w:t xml:space="preserve">r. 8300 </w:t>
      </w:r>
      <w:r w:rsidR="008E524D">
        <w:rPr>
          <w:rFonts w:ascii="Garamond" w:hAnsi="Garamond"/>
          <w:sz w:val="24"/>
          <w:szCs w:val="24"/>
        </w:rPr>
        <w:t>rep</w:t>
      </w:r>
      <w:r w:rsidRPr="009661D4">
        <w:rPr>
          <w:rFonts w:ascii="Garamond" w:hAnsi="Garamond"/>
          <w:sz w:val="24"/>
          <w:szCs w:val="24"/>
        </w:rPr>
        <w:t xml:space="preserve">, </w:t>
      </w:r>
      <w:r w:rsidR="005F3651">
        <w:rPr>
          <w:rFonts w:ascii="Garamond" w:hAnsi="Garamond"/>
          <w:sz w:val="24"/>
          <w:szCs w:val="24"/>
        </w:rPr>
        <w:t>n</w:t>
      </w:r>
      <w:r w:rsidRPr="009661D4">
        <w:rPr>
          <w:rFonts w:ascii="Garamond" w:hAnsi="Garamond"/>
          <w:sz w:val="24"/>
          <w:szCs w:val="24"/>
        </w:rPr>
        <w:t xml:space="preserve">r. 2954 </w:t>
      </w:r>
      <w:r w:rsidR="005F3651">
        <w:rPr>
          <w:rFonts w:ascii="Garamond" w:hAnsi="Garamond"/>
          <w:sz w:val="24"/>
          <w:szCs w:val="24"/>
        </w:rPr>
        <w:t>kol, datë 27.</w:t>
      </w:r>
      <w:r w:rsidRPr="009661D4">
        <w:rPr>
          <w:rFonts w:ascii="Garamond" w:hAnsi="Garamond"/>
          <w:sz w:val="24"/>
          <w:szCs w:val="24"/>
        </w:rPr>
        <w:t xml:space="preserve">6.2012, “Për ndërtimin me </w:t>
      </w:r>
      <w:r w:rsidR="005F3651" w:rsidRPr="009661D4">
        <w:rPr>
          <w:rFonts w:ascii="Garamond" w:hAnsi="Garamond"/>
          <w:sz w:val="24"/>
          <w:szCs w:val="24"/>
        </w:rPr>
        <w:t>k</w:t>
      </w:r>
      <w:r w:rsidRPr="009661D4">
        <w:rPr>
          <w:rFonts w:ascii="Garamond" w:hAnsi="Garamond"/>
          <w:sz w:val="24"/>
          <w:szCs w:val="24"/>
        </w:rPr>
        <w:t xml:space="preserve">oncesion të formës BOT, të HEC-eve: “Lashkiza 1”, “Lashkiza 2” dhe “Lashkiza 3”, të lidhur ndërmjet Bashkimit të Përkohshëm të shoqërive “Spartaku” sh.p.k., dhe “ERPA INVEST” sh.p.k me cilësinë e </w:t>
      </w:r>
      <w:r w:rsidR="005F3651">
        <w:rPr>
          <w:rFonts w:ascii="Garamond" w:hAnsi="Garamond"/>
          <w:sz w:val="24"/>
          <w:szCs w:val="24"/>
        </w:rPr>
        <w:t>k</w:t>
      </w:r>
      <w:r w:rsidRPr="009661D4">
        <w:rPr>
          <w:rFonts w:ascii="Garamond" w:hAnsi="Garamond"/>
          <w:sz w:val="24"/>
          <w:szCs w:val="24"/>
        </w:rPr>
        <w:t xml:space="preserve">oncesionarit dhe Ministrisë së Ekonomisë, Tregtisë dhe </w:t>
      </w:r>
      <w:r w:rsidR="005F3651" w:rsidRPr="009661D4">
        <w:rPr>
          <w:rFonts w:ascii="Garamond" w:hAnsi="Garamond"/>
          <w:sz w:val="24"/>
          <w:szCs w:val="24"/>
        </w:rPr>
        <w:t>Energjetikes</w:t>
      </w:r>
      <w:r w:rsidRPr="009661D4">
        <w:rPr>
          <w:rFonts w:ascii="Garamond" w:hAnsi="Garamond"/>
          <w:sz w:val="24"/>
          <w:szCs w:val="24"/>
        </w:rPr>
        <w:t xml:space="preserve"> me cilësinë e Autoritetit Kontraktues, në zbatim të VKM-së </w:t>
      </w:r>
      <w:r w:rsidR="005F3651">
        <w:rPr>
          <w:rFonts w:ascii="Garamond" w:hAnsi="Garamond"/>
          <w:sz w:val="24"/>
          <w:szCs w:val="24"/>
        </w:rPr>
        <w:t>nr. 537, datë 27.</w:t>
      </w:r>
      <w:r w:rsidRPr="009661D4">
        <w:rPr>
          <w:rFonts w:ascii="Garamond" w:hAnsi="Garamond"/>
          <w:sz w:val="24"/>
          <w:szCs w:val="24"/>
        </w:rPr>
        <w:t xml:space="preserve">7.2011 “Për përcaktimin e autoritetit kontraktues për ndërtimin me koncesion të HEC-eve </w:t>
      </w:r>
      <w:r w:rsidR="005F3651">
        <w:rPr>
          <w:rFonts w:ascii="Garamond" w:hAnsi="Garamond"/>
          <w:sz w:val="24"/>
          <w:szCs w:val="24"/>
        </w:rPr>
        <w:t>‘</w:t>
      </w:r>
      <w:r w:rsidRPr="009661D4">
        <w:rPr>
          <w:rFonts w:ascii="Garamond" w:hAnsi="Garamond"/>
          <w:sz w:val="24"/>
          <w:szCs w:val="24"/>
        </w:rPr>
        <w:t>Lashkiza 1</w:t>
      </w:r>
      <w:r w:rsidR="005F3651">
        <w:rPr>
          <w:rFonts w:ascii="Garamond" w:hAnsi="Garamond"/>
          <w:sz w:val="24"/>
          <w:szCs w:val="24"/>
        </w:rPr>
        <w:t>’</w:t>
      </w:r>
      <w:r w:rsidRPr="009661D4">
        <w:rPr>
          <w:rFonts w:ascii="Garamond" w:hAnsi="Garamond"/>
          <w:sz w:val="24"/>
          <w:szCs w:val="24"/>
        </w:rPr>
        <w:t xml:space="preserve">, </w:t>
      </w:r>
      <w:r w:rsidR="005F3651">
        <w:rPr>
          <w:rFonts w:ascii="Garamond" w:hAnsi="Garamond"/>
          <w:sz w:val="24"/>
          <w:szCs w:val="24"/>
        </w:rPr>
        <w:t>‘</w:t>
      </w:r>
      <w:r w:rsidRPr="009661D4">
        <w:rPr>
          <w:rFonts w:ascii="Garamond" w:hAnsi="Garamond"/>
          <w:sz w:val="24"/>
          <w:szCs w:val="24"/>
        </w:rPr>
        <w:t>Lashkiza 2</w:t>
      </w:r>
      <w:r w:rsidR="005F3651">
        <w:rPr>
          <w:rFonts w:ascii="Garamond" w:hAnsi="Garamond"/>
          <w:sz w:val="24"/>
          <w:szCs w:val="24"/>
        </w:rPr>
        <w:t>’</w:t>
      </w:r>
      <w:r w:rsidRPr="009661D4">
        <w:rPr>
          <w:rFonts w:ascii="Garamond" w:hAnsi="Garamond"/>
          <w:sz w:val="24"/>
          <w:szCs w:val="24"/>
        </w:rPr>
        <w:t xml:space="preserve"> dhe </w:t>
      </w:r>
      <w:r w:rsidR="005F3651">
        <w:rPr>
          <w:rFonts w:ascii="Garamond" w:hAnsi="Garamond"/>
          <w:sz w:val="24"/>
          <w:szCs w:val="24"/>
        </w:rPr>
        <w:t>‘</w:t>
      </w:r>
      <w:r w:rsidRPr="009661D4">
        <w:rPr>
          <w:rFonts w:ascii="Garamond" w:hAnsi="Garamond"/>
          <w:sz w:val="24"/>
          <w:szCs w:val="24"/>
        </w:rPr>
        <w:t>Lashkiza 3</w:t>
      </w:r>
      <w:r w:rsidR="005F3651">
        <w:rPr>
          <w:rFonts w:ascii="Garamond" w:hAnsi="Garamond"/>
          <w:sz w:val="24"/>
          <w:szCs w:val="24"/>
        </w:rPr>
        <w:t>’</w:t>
      </w:r>
      <w:r w:rsidRPr="009661D4">
        <w:rPr>
          <w:rFonts w:ascii="Garamond" w:hAnsi="Garamond"/>
          <w:sz w:val="24"/>
          <w:szCs w:val="24"/>
        </w:rPr>
        <w:t>.</w:t>
      </w:r>
    </w:p>
    <w:p w14:paraId="6923FDD3" w14:textId="0CFA362C"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Shoqëria “HEC LASHKIZA”</w:t>
      </w:r>
      <w:r w:rsidR="005F3651">
        <w:rPr>
          <w:rFonts w:ascii="Garamond" w:hAnsi="Garamond"/>
          <w:sz w:val="24"/>
          <w:szCs w:val="24"/>
        </w:rPr>
        <w:t xml:space="preserve"> </w:t>
      </w:r>
      <w:r w:rsidRPr="009661D4">
        <w:rPr>
          <w:rFonts w:ascii="Garamond" w:hAnsi="Garamond"/>
          <w:sz w:val="24"/>
          <w:szCs w:val="24"/>
        </w:rPr>
        <w:t xml:space="preserve">sh.p.k., është mbajtëse e licencës së veprimtarisë së prodhimit të energjisë elektrike, me nr. 337, </w:t>
      </w:r>
      <w:r w:rsidR="005F3651">
        <w:rPr>
          <w:rFonts w:ascii="Garamond" w:hAnsi="Garamond"/>
          <w:sz w:val="24"/>
          <w:szCs w:val="24"/>
        </w:rPr>
        <w:t>s</w:t>
      </w:r>
      <w:r w:rsidRPr="009661D4">
        <w:rPr>
          <w:rFonts w:ascii="Garamond" w:hAnsi="Garamond"/>
          <w:sz w:val="24"/>
          <w:szCs w:val="24"/>
        </w:rPr>
        <w:t xml:space="preserve">eria PV16K, miratuar me vendimin e </w:t>
      </w:r>
      <w:r w:rsidR="005F3651">
        <w:rPr>
          <w:rFonts w:ascii="Garamond" w:hAnsi="Garamond"/>
          <w:sz w:val="24"/>
          <w:szCs w:val="24"/>
        </w:rPr>
        <w:t>b</w:t>
      </w:r>
      <w:r w:rsidRPr="009661D4">
        <w:rPr>
          <w:rFonts w:ascii="Garamond" w:hAnsi="Garamond"/>
          <w:sz w:val="24"/>
          <w:szCs w:val="24"/>
        </w:rPr>
        <w:t xml:space="preserve">ordit të </w:t>
      </w:r>
      <w:r w:rsidR="005F3651" w:rsidRPr="009661D4">
        <w:rPr>
          <w:rFonts w:ascii="Garamond" w:hAnsi="Garamond"/>
          <w:sz w:val="24"/>
          <w:szCs w:val="24"/>
        </w:rPr>
        <w:t>Komisionar</w:t>
      </w:r>
      <w:r w:rsidR="005F3651">
        <w:rPr>
          <w:rFonts w:ascii="Garamond" w:hAnsi="Garamond"/>
          <w:sz w:val="24"/>
          <w:szCs w:val="24"/>
        </w:rPr>
        <w:t>ë</w:t>
      </w:r>
      <w:r w:rsidR="005F3651" w:rsidRPr="009661D4">
        <w:rPr>
          <w:rFonts w:ascii="Garamond" w:hAnsi="Garamond"/>
          <w:sz w:val="24"/>
          <w:szCs w:val="24"/>
        </w:rPr>
        <w:t>ve</w:t>
      </w:r>
      <w:r w:rsidR="005F3651">
        <w:rPr>
          <w:rFonts w:ascii="Garamond" w:hAnsi="Garamond"/>
          <w:sz w:val="24"/>
          <w:szCs w:val="24"/>
        </w:rPr>
        <w:t xml:space="preserve"> të ERE-s nr. 41, datë 12.4.2016, për një periudhë 30-</w:t>
      </w:r>
      <w:r w:rsidRPr="009661D4">
        <w:rPr>
          <w:rFonts w:ascii="Garamond" w:hAnsi="Garamond"/>
          <w:sz w:val="24"/>
          <w:szCs w:val="24"/>
        </w:rPr>
        <w:t xml:space="preserve">vjeçare dhe e licencës së veprimtarisë së tregtimit të energjisë elektrike, me nr. 338, </w:t>
      </w:r>
      <w:r w:rsidR="005F3651">
        <w:rPr>
          <w:rFonts w:ascii="Garamond" w:hAnsi="Garamond"/>
          <w:sz w:val="24"/>
          <w:szCs w:val="24"/>
        </w:rPr>
        <w:t>s</w:t>
      </w:r>
      <w:r w:rsidRPr="009661D4">
        <w:rPr>
          <w:rFonts w:ascii="Garamond" w:hAnsi="Garamond"/>
          <w:sz w:val="24"/>
          <w:szCs w:val="24"/>
        </w:rPr>
        <w:t xml:space="preserve">eria T15, miratuar me vendimin e </w:t>
      </w:r>
      <w:r w:rsidR="005F3651">
        <w:rPr>
          <w:rFonts w:ascii="Garamond" w:hAnsi="Garamond"/>
          <w:sz w:val="24"/>
          <w:szCs w:val="24"/>
        </w:rPr>
        <w:t>b</w:t>
      </w:r>
      <w:r w:rsidRPr="009661D4">
        <w:rPr>
          <w:rFonts w:ascii="Garamond" w:hAnsi="Garamond"/>
          <w:sz w:val="24"/>
          <w:szCs w:val="24"/>
        </w:rPr>
        <w:t xml:space="preserve">ordit të </w:t>
      </w:r>
      <w:r w:rsidR="005F3651" w:rsidRPr="009661D4">
        <w:rPr>
          <w:rFonts w:ascii="Garamond" w:hAnsi="Garamond"/>
          <w:sz w:val="24"/>
          <w:szCs w:val="24"/>
        </w:rPr>
        <w:t>Komisionarëve</w:t>
      </w:r>
      <w:r w:rsidR="005F3651">
        <w:rPr>
          <w:rFonts w:ascii="Garamond" w:hAnsi="Garamond"/>
          <w:sz w:val="24"/>
          <w:szCs w:val="24"/>
        </w:rPr>
        <w:t xml:space="preserve"> të ERE-s nr. 42, datë 12.</w:t>
      </w:r>
      <w:r w:rsidRPr="009661D4">
        <w:rPr>
          <w:rFonts w:ascii="Garamond" w:hAnsi="Garamond"/>
          <w:sz w:val="24"/>
          <w:szCs w:val="24"/>
        </w:rPr>
        <w:t>4.2016.</w:t>
      </w:r>
    </w:p>
    <w:p w14:paraId="24CD66BD" w14:textId="62AD271C" w:rsidR="009661D4" w:rsidRPr="009661D4" w:rsidRDefault="009661D4" w:rsidP="009661D4">
      <w:pPr>
        <w:spacing w:after="0" w:line="240" w:lineRule="auto"/>
        <w:ind w:firstLine="284"/>
        <w:jc w:val="both"/>
        <w:rPr>
          <w:rFonts w:ascii="Garamond" w:hAnsi="Garamond"/>
          <w:sz w:val="24"/>
          <w:szCs w:val="24"/>
        </w:rPr>
      </w:pPr>
      <w:r w:rsidRPr="009661D4">
        <w:rPr>
          <w:rFonts w:ascii="Garamond" w:hAnsi="Garamond"/>
          <w:sz w:val="24"/>
          <w:szCs w:val="24"/>
        </w:rPr>
        <w:t xml:space="preserve">Aplikimi plotëson pjesërisht kërkesat e </w:t>
      </w:r>
      <w:r w:rsidR="005F3651" w:rsidRPr="009661D4">
        <w:rPr>
          <w:rFonts w:ascii="Garamond" w:hAnsi="Garamond"/>
          <w:sz w:val="24"/>
          <w:szCs w:val="24"/>
        </w:rPr>
        <w:t>parashikuara</w:t>
      </w:r>
      <w:r w:rsidRPr="009661D4">
        <w:rPr>
          <w:rFonts w:ascii="Garamond" w:hAnsi="Garamond"/>
          <w:sz w:val="24"/>
          <w:szCs w:val="24"/>
        </w:rPr>
        <w:t xml:space="preserve"> nga ERE në </w:t>
      </w:r>
      <w:r w:rsidR="005F3651">
        <w:rPr>
          <w:rFonts w:ascii="Garamond" w:hAnsi="Garamond"/>
          <w:sz w:val="24"/>
          <w:szCs w:val="24"/>
        </w:rPr>
        <w:t>“</w:t>
      </w:r>
      <w:r w:rsidRPr="009661D4">
        <w:rPr>
          <w:rFonts w:ascii="Garamond" w:hAnsi="Garamond"/>
          <w:sz w:val="24"/>
          <w:szCs w:val="24"/>
        </w:rPr>
        <w:t xml:space="preserve">Rregulloren për </w:t>
      </w:r>
      <w:r w:rsidR="005F3651">
        <w:rPr>
          <w:rFonts w:ascii="Garamond" w:hAnsi="Garamond"/>
          <w:sz w:val="24"/>
          <w:szCs w:val="24"/>
        </w:rPr>
        <w:t>p</w:t>
      </w:r>
      <w:r w:rsidRPr="009661D4">
        <w:rPr>
          <w:rFonts w:ascii="Garamond" w:hAnsi="Garamond"/>
          <w:sz w:val="24"/>
          <w:szCs w:val="24"/>
        </w:rPr>
        <w:t>rocedurat e Transferimit të Aseteve nga të Licencuarit</w:t>
      </w:r>
      <w:r w:rsidR="005F3651">
        <w:rPr>
          <w:rFonts w:ascii="Garamond" w:hAnsi="Garamond"/>
          <w:sz w:val="24"/>
          <w:szCs w:val="24"/>
        </w:rPr>
        <w:t>”</w:t>
      </w:r>
      <w:r w:rsidRPr="009661D4">
        <w:rPr>
          <w:rFonts w:ascii="Garamond" w:hAnsi="Garamond"/>
          <w:sz w:val="24"/>
          <w:szCs w:val="24"/>
        </w:rPr>
        <w:t xml:space="preserve"> si më poshtë:</w:t>
      </w:r>
    </w:p>
    <w:p w14:paraId="76EB2764" w14:textId="41FEA660"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Neni 7</w:t>
      </w:r>
      <w:r w:rsidR="005F3651">
        <w:rPr>
          <w:rFonts w:ascii="Garamond" w:hAnsi="Garamond"/>
          <w:sz w:val="24"/>
          <w:szCs w:val="24"/>
        </w:rPr>
        <w:t>,</w:t>
      </w:r>
      <w:r w:rsidRPr="009661D4">
        <w:rPr>
          <w:rFonts w:ascii="Garamond" w:hAnsi="Garamond"/>
          <w:sz w:val="24"/>
          <w:szCs w:val="24"/>
        </w:rPr>
        <w:t xml:space="preserve"> pika 1</w:t>
      </w:r>
      <w:r w:rsidR="005F3651">
        <w:rPr>
          <w:rFonts w:ascii="Garamond" w:hAnsi="Garamond"/>
          <w:sz w:val="24"/>
          <w:szCs w:val="24"/>
        </w:rPr>
        <w:t>,</w:t>
      </w:r>
      <w:r w:rsidRPr="009661D4">
        <w:rPr>
          <w:rFonts w:ascii="Garamond" w:hAnsi="Garamond"/>
          <w:sz w:val="24"/>
          <w:szCs w:val="24"/>
        </w:rPr>
        <w:t xml:space="preserve"> </w:t>
      </w:r>
      <w:r w:rsidR="005F3651" w:rsidRPr="009661D4">
        <w:rPr>
          <w:rFonts w:ascii="Garamond" w:hAnsi="Garamond"/>
          <w:sz w:val="24"/>
          <w:szCs w:val="24"/>
        </w:rPr>
        <w:t>germat</w:t>
      </w:r>
      <w:r w:rsidRPr="009661D4">
        <w:rPr>
          <w:rFonts w:ascii="Garamond" w:hAnsi="Garamond"/>
          <w:sz w:val="24"/>
          <w:szCs w:val="24"/>
        </w:rPr>
        <w:t>: “a”, “b”, “d”, “h”, janë plotësuar në mënyrë korrekte.</w:t>
      </w:r>
    </w:p>
    <w:p w14:paraId="36531327" w14:textId="6B40EBD0"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Neni 7</w:t>
      </w:r>
      <w:r w:rsidR="005F3651">
        <w:rPr>
          <w:rFonts w:ascii="Garamond" w:hAnsi="Garamond"/>
          <w:sz w:val="24"/>
          <w:szCs w:val="24"/>
        </w:rPr>
        <w:t>,</w:t>
      </w:r>
      <w:r w:rsidRPr="009661D4">
        <w:rPr>
          <w:rFonts w:ascii="Garamond" w:hAnsi="Garamond"/>
          <w:sz w:val="24"/>
          <w:szCs w:val="24"/>
        </w:rPr>
        <w:t xml:space="preserve"> pika 1</w:t>
      </w:r>
      <w:r w:rsidR="005F3651">
        <w:rPr>
          <w:rFonts w:ascii="Garamond" w:hAnsi="Garamond"/>
          <w:sz w:val="24"/>
          <w:szCs w:val="24"/>
        </w:rPr>
        <w:t>,</w:t>
      </w:r>
      <w:r w:rsidRPr="009661D4">
        <w:rPr>
          <w:rFonts w:ascii="Garamond" w:hAnsi="Garamond"/>
          <w:sz w:val="24"/>
          <w:szCs w:val="24"/>
        </w:rPr>
        <w:t xml:space="preserve"> </w:t>
      </w:r>
      <w:r w:rsidR="005F3651" w:rsidRPr="009661D4">
        <w:rPr>
          <w:rFonts w:ascii="Garamond" w:hAnsi="Garamond"/>
          <w:sz w:val="24"/>
          <w:szCs w:val="24"/>
        </w:rPr>
        <w:t>germa</w:t>
      </w:r>
      <w:r w:rsidR="005F3651">
        <w:rPr>
          <w:rFonts w:ascii="Garamond" w:hAnsi="Garamond"/>
          <w:sz w:val="24"/>
          <w:szCs w:val="24"/>
        </w:rPr>
        <w:t xml:space="preserve"> “c”</w:t>
      </w:r>
      <w:r w:rsidRPr="009661D4">
        <w:rPr>
          <w:rFonts w:ascii="Garamond" w:hAnsi="Garamond"/>
          <w:sz w:val="24"/>
          <w:szCs w:val="24"/>
        </w:rPr>
        <w:t xml:space="preserve"> (gjendjen financiare të kompanisë në kohën që paraqet kërkesën dhe efektin e pritshëm pas miratimit të transferimit të aseteve). Plotësuar pjesërisht. </w:t>
      </w:r>
    </w:p>
    <w:p w14:paraId="2C128155" w14:textId="417175CF"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Neni 7</w:t>
      </w:r>
      <w:r w:rsidR="005F3651">
        <w:rPr>
          <w:rFonts w:ascii="Garamond" w:hAnsi="Garamond"/>
          <w:sz w:val="24"/>
          <w:szCs w:val="24"/>
        </w:rPr>
        <w:t>,</w:t>
      </w:r>
      <w:r w:rsidRPr="009661D4">
        <w:rPr>
          <w:rFonts w:ascii="Garamond" w:hAnsi="Garamond"/>
          <w:sz w:val="24"/>
          <w:szCs w:val="24"/>
        </w:rPr>
        <w:t xml:space="preserve"> pika 1</w:t>
      </w:r>
      <w:r w:rsidR="005F3651">
        <w:rPr>
          <w:rFonts w:ascii="Garamond" w:hAnsi="Garamond"/>
          <w:sz w:val="24"/>
          <w:szCs w:val="24"/>
        </w:rPr>
        <w:t>,</w:t>
      </w:r>
      <w:r w:rsidRPr="009661D4">
        <w:rPr>
          <w:rFonts w:ascii="Garamond" w:hAnsi="Garamond"/>
          <w:sz w:val="24"/>
          <w:szCs w:val="24"/>
        </w:rPr>
        <w:t xml:space="preserve"> </w:t>
      </w:r>
      <w:r w:rsidR="005F3651" w:rsidRPr="009661D4">
        <w:rPr>
          <w:rFonts w:ascii="Garamond" w:hAnsi="Garamond"/>
          <w:sz w:val="24"/>
          <w:szCs w:val="24"/>
        </w:rPr>
        <w:t>germa</w:t>
      </w:r>
      <w:r w:rsidR="005F3651">
        <w:rPr>
          <w:rFonts w:ascii="Garamond" w:hAnsi="Garamond"/>
          <w:sz w:val="24"/>
          <w:szCs w:val="24"/>
        </w:rPr>
        <w:t xml:space="preserve"> “e”</w:t>
      </w:r>
      <w:r w:rsidRPr="009661D4">
        <w:rPr>
          <w:rFonts w:ascii="Garamond" w:hAnsi="Garamond"/>
          <w:sz w:val="24"/>
          <w:szCs w:val="24"/>
        </w:rPr>
        <w:t xml:space="preserve"> (arsyet e kërkesës për kryerjen e transferimit). Plotësuar pjesërisht. </w:t>
      </w:r>
    </w:p>
    <w:p w14:paraId="5CF85C44" w14:textId="34A38B24"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Nga të dhënat që disponon ERE</w:t>
      </w:r>
      <w:r w:rsidR="005F3651">
        <w:rPr>
          <w:rFonts w:ascii="Garamond" w:hAnsi="Garamond"/>
          <w:sz w:val="24"/>
          <w:szCs w:val="24"/>
        </w:rPr>
        <w:t>-ja</w:t>
      </w:r>
      <w:r w:rsidRPr="009661D4">
        <w:rPr>
          <w:rFonts w:ascii="Garamond" w:hAnsi="Garamond"/>
          <w:sz w:val="24"/>
          <w:szCs w:val="24"/>
        </w:rPr>
        <w:t xml:space="preserve"> nga raportimi i OSHEE sh.a dhe OST sh.a, rezulton se HEC-et: “Lashkiza 1” dhe “Lashkiza 2”, janë në operim, dhe janë të lidhur në nivelin e tensionit 110 kV. Për vitin 2019 respektivisht kanë prodhuar energji për të gjithë muajt. Sa më sipër për HEC-in “Lashkiza 3”, nuk rezulton që shoqëria të jetë e licencuar, dhe nuk ka të dhëna lidhur me ndërtimin e tij. </w:t>
      </w:r>
    </w:p>
    <w:p w14:paraId="3EF873FF" w14:textId="7D514CDF"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Neni 7</w:t>
      </w:r>
      <w:r w:rsidR="005F3651">
        <w:rPr>
          <w:rFonts w:ascii="Garamond" w:hAnsi="Garamond"/>
          <w:sz w:val="24"/>
          <w:szCs w:val="24"/>
        </w:rPr>
        <w:t>,</w:t>
      </w:r>
      <w:r w:rsidRPr="009661D4">
        <w:rPr>
          <w:rFonts w:ascii="Garamond" w:hAnsi="Garamond"/>
          <w:sz w:val="24"/>
          <w:szCs w:val="24"/>
        </w:rPr>
        <w:t xml:space="preserve"> pika 1</w:t>
      </w:r>
      <w:r w:rsidR="005F3651">
        <w:rPr>
          <w:rFonts w:ascii="Garamond" w:hAnsi="Garamond"/>
          <w:sz w:val="24"/>
          <w:szCs w:val="24"/>
        </w:rPr>
        <w:t>,</w:t>
      </w:r>
      <w:r w:rsidRPr="009661D4">
        <w:rPr>
          <w:rFonts w:ascii="Garamond" w:hAnsi="Garamond"/>
          <w:sz w:val="24"/>
          <w:szCs w:val="24"/>
        </w:rPr>
        <w:t xml:space="preserve"> </w:t>
      </w:r>
      <w:r w:rsidR="005F3651" w:rsidRPr="009661D4">
        <w:rPr>
          <w:rFonts w:ascii="Garamond" w:hAnsi="Garamond"/>
          <w:sz w:val="24"/>
          <w:szCs w:val="24"/>
        </w:rPr>
        <w:t>germa</w:t>
      </w:r>
      <w:r w:rsidR="005F3651">
        <w:rPr>
          <w:rFonts w:ascii="Garamond" w:hAnsi="Garamond"/>
          <w:sz w:val="24"/>
          <w:szCs w:val="24"/>
        </w:rPr>
        <w:t xml:space="preserve"> “f”</w:t>
      </w:r>
      <w:r w:rsidRPr="009661D4">
        <w:rPr>
          <w:rFonts w:ascii="Garamond" w:hAnsi="Garamond"/>
          <w:sz w:val="24"/>
          <w:szCs w:val="24"/>
        </w:rPr>
        <w:t xml:space="preserve"> (efektet e pritshme të transferimit në aktivitetin e të </w:t>
      </w:r>
      <w:r w:rsidR="005F3651" w:rsidRPr="009661D4">
        <w:rPr>
          <w:rFonts w:ascii="Garamond" w:hAnsi="Garamond"/>
          <w:sz w:val="24"/>
          <w:szCs w:val="24"/>
        </w:rPr>
        <w:t>licencuarit</w:t>
      </w:r>
      <w:r w:rsidRPr="009661D4">
        <w:rPr>
          <w:rFonts w:ascii="Garamond" w:hAnsi="Garamond"/>
          <w:sz w:val="24"/>
          <w:szCs w:val="24"/>
        </w:rPr>
        <w:t>). Pa plotësuar.</w:t>
      </w:r>
    </w:p>
    <w:p w14:paraId="5C86C890" w14:textId="29F49FD9"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Pr="009661D4">
        <w:rPr>
          <w:rFonts w:ascii="Garamond" w:hAnsi="Garamond"/>
          <w:sz w:val="24"/>
          <w:szCs w:val="24"/>
        </w:rPr>
        <w:t>Neni 7</w:t>
      </w:r>
      <w:r w:rsidR="005F3651">
        <w:rPr>
          <w:rFonts w:ascii="Garamond" w:hAnsi="Garamond"/>
          <w:sz w:val="24"/>
          <w:szCs w:val="24"/>
        </w:rPr>
        <w:t>,</w:t>
      </w:r>
      <w:r w:rsidRPr="009661D4">
        <w:rPr>
          <w:rFonts w:ascii="Garamond" w:hAnsi="Garamond"/>
          <w:sz w:val="24"/>
          <w:szCs w:val="24"/>
        </w:rPr>
        <w:t xml:space="preserve"> pika 1</w:t>
      </w:r>
      <w:r w:rsidR="005F3651">
        <w:rPr>
          <w:rFonts w:ascii="Garamond" w:hAnsi="Garamond"/>
          <w:sz w:val="24"/>
          <w:szCs w:val="24"/>
        </w:rPr>
        <w:t>,</w:t>
      </w:r>
      <w:r w:rsidRPr="009661D4">
        <w:rPr>
          <w:rFonts w:ascii="Garamond" w:hAnsi="Garamond"/>
          <w:sz w:val="24"/>
          <w:szCs w:val="24"/>
        </w:rPr>
        <w:t xml:space="preserve"> </w:t>
      </w:r>
      <w:r w:rsidR="005F3651" w:rsidRPr="009661D4">
        <w:rPr>
          <w:rFonts w:ascii="Garamond" w:hAnsi="Garamond"/>
          <w:sz w:val="24"/>
          <w:szCs w:val="24"/>
        </w:rPr>
        <w:t>germa</w:t>
      </w:r>
      <w:r w:rsidR="005F3651">
        <w:rPr>
          <w:rFonts w:ascii="Garamond" w:hAnsi="Garamond"/>
          <w:sz w:val="24"/>
          <w:szCs w:val="24"/>
        </w:rPr>
        <w:t xml:space="preserve"> “g”</w:t>
      </w:r>
      <w:r w:rsidRPr="009661D4">
        <w:rPr>
          <w:rFonts w:ascii="Garamond" w:hAnsi="Garamond"/>
          <w:sz w:val="24"/>
          <w:szCs w:val="24"/>
        </w:rPr>
        <w:t xml:space="preserve"> (efekti në furnizimin e rregullt e të qëndrueshëm të klientëve të të licencuarit dhe në tarifat e aktivitetit të licencuar). Pa plotësuar.</w:t>
      </w:r>
    </w:p>
    <w:p w14:paraId="39C92EBB" w14:textId="54C1A509"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Neni 7</w:t>
      </w:r>
      <w:r w:rsidR="005F3651">
        <w:rPr>
          <w:rFonts w:ascii="Garamond" w:hAnsi="Garamond"/>
          <w:sz w:val="24"/>
          <w:szCs w:val="24"/>
        </w:rPr>
        <w:t>,</w:t>
      </w:r>
      <w:r w:rsidRPr="009661D4">
        <w:rPr>
          <w:rFonts w:ascii="Garamond" w:hAnsi="Garamond"/>
          <w:sz w:val="24"/>
          <w:szCs w:val="24"/>
        </w:rPr>
        <w:t xml:space="preserve"> pika 1</w:t>
      </w:r>
      <w:r w:rsidR="005F3651">
        <w:rPr>
          <w:rFonts w:ascii="Garamond" w:hAnsi="Garamond"/>
          <w:sz w:val="24"/>
          <w:szCs w:val="24"/>
        </w:rPr>
        <w:t>,</w:t>
      </w:r>
      <w:r w:rsidRPr="009661D4">
        <w:rPr>
          <w:rFonts w:ascii="Garamond" w:hAnsi="Garamond"/>
          <w:sz w:val="24"/>
          <w:szCs w:val="24"/>
        </w:rPr>
        <w:t xml:space="preserve"> </w:t>
      </w:r>
      <w:r w:rsidR="005F3651" w:rsidRPr="009661D4">
        <w:rPr>
          <w:rFonts w:ascii="Garamond" w:hAnsi="Garamond"/>
          <w:sz w:val="24"/>
          <w:szCs w:val="24"/>
        </w:rPr>
        <w:t>germa</w:t>
      </w:r>
      <w:r w:rsidR="005F3651">
        <w:rPr>
          <w:rFonts w:ascii="Garamond" w:hAnsi="Garamond"/>
          <w:sz w:val="24"/>
          <w:szCs w:val="24"/>
        </w:rPr>
        <w:t xml:space="preserve"> “i” </w:t>
      </w:r>
      <w:r w:rsidRPr="009661D4">
        <w:rPr>
          <w:rFonts w:ascii="Garamond" w:hAnsi="Garamond"/>
          <w:sz w:val="24"/>
          <w:szCs w:val="24"/>
        </w:rPr>
        <w:t>(Deklaratë me shkrim e personit (</w:t>
      </w:r>
      <w:r w:rsidR="005F3651">
        <w:rPr>
          <w:rFonts w:ascii="Garamond" w:hAnsi="Garamond"/>
          <w:sz w:val="24"/>
          <w:szCs w:val="24"/>
        </w:rPr>
        <w:t>s</w:t>
      </w:r>
      <w:r w:rsidRPr="009661D4">
        <w:rPr>
          <w:rFonts w:ascii="Garamond" w:hAnsi="Garamond"/>
          <w:sz w:val="24"/>
          <w:szCs w:val="24"/>
        </w:rPr>
        <w:t xml:space="preserve">ubjektit) tek i cili është propozuar të bëhet transferimi, ku të shprehë gatishmërinë e tij për të garantuar vetë apo me palë të tjera veprimtarinë e licencuar pas kryerjes së transferimit). Pa plotësuar. </w:t>
      </w:r>
    </w:p>
    <w:p w14:paraId="76127D6B" w14:textId="7C7E1E31"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 xml:space="preserve">Neni 7, pika 1, </w:t>
      </w:r>
      <w:r w:rsidR="005F3651" w:rsidRPr="009661D4">
        <w:rPr>
          <w:rFonts w:ascii="Garamond" w:hAnsi="Garamond"/>
          <w:sz w:val="24"/>
          <w:szCs w:val="24"/>
        </w:rPr>
        <w:t>germa</w:t>
      </w:r>
      <w:r w:rsidR="005F3651">
        <w:rPr>
          <w:rFonts w:ascii="Garamond" w:hAnsi="Garamond"/>
          <w:sz w:val="24"/>
          <w:szCs w:val="24"/>
        </w:rPr>
        <w:t xml:space="preserve"> “j”</w:t>
      </w:r>
      <w:r w:rsidRPr="009661D4">
        <w:rPr>
          <w:rFonts w:ascii="Garamond" w:hAnsi="Garamond"/>
          <w:sz w:val="24"/>
          <w:szCs w:val="24"/>
        </w:rPr>
        <w:t xml:space="preserve"> (Nëse ka pa</w:t>
      </w:r>
      <w:r w:rsidR="005F3651">
        <w:rPr>
          <w:rFonts w:ascii="Garamond" w:hAnsi="Garamond"/>
          <w:sz w:val="24"/>
          <w:szCs w:val="24"/>
        </w:rPr>
        <w:t>s</w:t>
      </w:r>
      <w:r w:rsidRPr="009661D4">
        <w:rPr>
          <w:rFonts w:ascii="Garamond" w:hAnsi="Garamond"/>
          <w:sz w:val="24"/>
          <w:szCs w:val="24"/>
        </w:rPr>
        <w:t xml:space="preserve">ur, listën e transferimeve të kryera më herët nga i njëjti subjekt). Pa plotësuar. </w:t>
      </w:r>
    </w:p>
    <w:p w14:paraId="3E6268A2" w14:textId="7E7D36FF"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 </w:t>
      </w:r>
      <w:r w:rsidRPr="009661D4">
        <w:rPr>
          <w:rFonts w:ascii="Garamond" w:hAnsi="Garamond"/>
          <w:sz w:val="24"/>
          <w:szCs w:val="24"/>
        </w:rPr>
        <w:t>Neni 7</w:t>
      </w:r>
      <w:r w:rsidR="005F3651">
        <w:rPr>
          <w:rFonts w:ascii="Garamond" w:hAnsi="Garamond"/>
          <w:sz w:val="24"/>
          <w:szCs w:val="24"/>
        </w:rPr>
        <w:t>, pika 3</w:t>
      </w:r>
      <w:r w:rsidR="008E524D">
        <w:rPr>
          <w:rFonts w:ascii="Garamond" w:hAnsi="Garamond"/>
          <w:sz w:val="24"/>
          <w:szCs w:val="24"/>
        </w:rPr>
        <w:t xml:space="preserve"> (Subjektet konces</w:t>
      </w:r>
      <w:r w:rsidRPr="009661D4">
        <w:rPr>
          <w:rFonts w:ascii="Garamond" w:hAnsi="Garamond"/>
          <w:sz w:val="24"/>
          <w:szCs w:val="24"/>
        </w:rPr>
        <w:t xml:space="preserve">ionare të licencuar, të cilët aplikojnë për miratimin e transferimit të aseteve në ERE, duhet të shprehin në formë të shkruar në marrëveshjen e transferimit të aseteve, detyrimet me të cilat ngarkohen për shkak të </w:t>
      </w:r>
      <w:r w:rsidR="005F3651" w:rsidRPr="009661D4">
        <w:rPr>
          <w:rFonts w:ascii="Garamond" w:hAnsi="Garamond"/>
          <w:sz w:val="24"/>
          <w:szCs w:val="24"/>
        </w:rPr>
        <w:t>marrëveshjes</w:t>
      </w:r>
      <w:r w:rsidRPr="009661D4">
        <w:rPr>
          <w:rFonts w:ascii="Garamond" w:hAnsi="Garamond"/>
          <w:sz w:val="24"/>
          <w:szCs w:val="24"/>
        </w:rPr>
        <w:t xml:space="preserve"> së </w:t>
      </w:r>
      <w:r w:rsidR="005F3651" w:rsidRPr="009661D4">
        <w:rPr>
          <w:rFonts w:ascii="Garamond" w:hAnsi="Garamond"/>
          <w:sz w:val="24"/>
          <w:szCs w:val="24"/>
        </w:rPr>
        <w:t>koncesionit</w:t>
      </w:r>
      <w:r w:rsidR="005F3651">
        <w:rPr>
          <w:rFonts w:ascii="Garamond" w:hAnsi="Garamond"/>
          <w:sz w:val="24"/>
          <w:szCs w:val="24"/>
        </w:rPr>
        <w:t xml:space="preserve"> e pjesët që transferojnë te</w:t>
      </w:r>
      <w:r w:rsidRPr="009661D4">
        <w:rPr>
          <w:rFonts w:ascii="Garamond" w:hAnsi="Garamond"/>
          <w:sz w:val="24"/>
          <w:szCs w:val="24"/>
        </w:rPr>
        <w:t xml:space="preserve"> përfituesi. Kjo përfshin edhe informimin e Organit Shtetëror të Autorizuar (MEI) në lidhje me qëllimin e transferimit të aseteve). Plotësuar pjesërisht. </w:t>
      </w:r>
    </w:p>
    <w:p w14:paraId="33DFE671" w14:textId="4F6038FC" w:rsidR="009661D4" w:rsidRPr="009661D4" w:rsidRDefault="009661D4" w:rsidP="009661D4">
      <w:pPr>
        <w:spacing w:after="0" w:line="240" w:lineRule="auto"/>
        <w:ind w:firstLine="284"/>
        <w:jc w:val="both"/>
        <w:rPr>
          <w:rFonts w:ascii="Garamond" w:hAnsi="Garamond"/>
          <w:sz w:val="24"/>
          <w:szCs w:val="24"/>
        </w:rPr>
      </w:pPr>
      <w:r w:rsidRPr="009661D4">
        <w:rPr>
          <w:rFonts w:ascii="Garamond" w:hAnsi="Garamond"/>
          <w:sz w:val="24"/>
          <w:szCs w:val="24"/>
        </w:rPr>
        <w:t>Për gjithë sa</w:t>
      </w:r>
      <w:r w:rsidR="005F3651">
        <w:rPr>
          <w:rFonts w:ascii="Garamond" w:hAnsi="Garamond"/>
          <w:sz w:val="24"/>
          <w:szCs w:val="24"/>
        </w:rPr>
        <w:t xml:space="preserve"> më sipër cituar bordi i ERE-s</w:t>
      </w:r>
    </w:p>
    <w:p w14:paraId="1B1871AA" w14:textId="77777777" w:rsidR="009661D4" w:rsidRDefault="009661D4" w:rsidP="009661D4">
      <w:pPr>
        <w:spacing w:after="0" w:line="240" w:lineRule="auto"/>
        <w:ind w:firstLine="284"/>
        <w:jc w:val="both"/>
        <w:rPr>
          <w:rFonts w:ascii="Garamond" w:hAnsi="Garamond"/>
          <w:sz w:val="24"/>
          <w:szCs w:val="24"/>
        </w:rPr>
      </w:pPr>
    </w:p>
    <w:p w14:paraId="2F983E51" w14:textId="45C0E4A1" w:rsidR="009661D4" w:rsidRPr="009661D4" w:rsidRDefault="009661D4" w:rsidP="009661D4">
      <w:pPr>
        <w:spacing w:after="0" w:line="240" w:lineRule="auto"/>
        <w:jc w:val="center"/>
        <w:rPr>
          <w:rFonts w:ascii="Garamond" w:hAnsi="Garamond"/>
          <w:sz w:val="24"/>
          <w:szCs w:val="24"/>
        </w:rPr>
      </w:pPr>
      <w:r w:rsidRPr="009661D4">
        <w:rPr>
          <w:rFonts w:ascii="Garamond" w:hAnsi="Garamond"/>
          <w:sz w:val="24"/>
          <w:szCs w:val="24"/>
        </w:rPr>
        <w:t>VENDOSI:</w:t>
      </w:r>
    </w:p>
    <w:p w14:paraId="7E9B64EA" w14:textId="77777777" w:rsidR="009661D4" w:rsidRPr="009661D4" w:rsidRDefault="009661D4" w:rsidP="009661D4">
      <w:pPr>
        <w:spacing w:after="0" w:line="240" w:lineRule="auto"/>
        <w:ind w:firstLine="284"/>
        <w:jc w:val="both"/>
        <w:rPr>
          <w:rFonts w:ascii="Garamond" w:hAnsi="Garamond"/>
          <w:sz w:val="24"/>
          <w:szCs w:val="24"/>
        </w:rPr>
      </w:pPr>
    </w:p>
    <w:p w14:paraId="2A7B6DC1" w14:textId="226DDA8D"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1. </w:t>
      </w:r>
      <w:r w:rsidRPr="009661D4">
        <w:rPr>
          <w:rFonts w:ascii="Garamond" w:hAnsi="Garamond"/>
          <w:sz w:val="24"/>
          <w:szCs w:val="24"/>
        </w:rPr>
        <w:t>Të mos fillojë procedurën për shqyrtimin e kërkesës së shoqërisë “HEC LASHKIZA” sh.p.k., për lënie në hipotekë dhe barrë të aseteve të shoqërisë, në favor të bankës “Intesa Sanpaolo Bank Albania” sh.a..</w:t>
      </w:r>
    </w:p>
    <w:p w14:paraId="5C2E4B9F" w14:textId="1228A70B" w:rsidR="009661D4" w:rsidRPr="009661D4" w:rsidRDefault="009661D4" w:rsidP="009661D4">
      <w:pPr>
        <w:spacing w:after="0" w:line="240" w:lineRule="auto"/>
        <w:ind w:firstLine="284"/>
        <w:jc w:val="both"/>
        <w:rPr>
          <w:rFonts w:ascii="Garamond" w:hAnsi="Garamond"/>
          <w:sz w:val="24"/>
          <w:szCs w:val="24"/>
        </w:rPr>
      </w:pPr>
      <w:r>
        <w:rPr>
          <w:rFonts w:ascii="Garamond" w:hAnsi="Garamond"/>
          <w:sz w:val="24"/>
          <w:szCs w:val="24"/>
        </w:rPr>
        <w:t xml:space="preserve">2. </w:t>
      </w:r>
      <w:r w:rsidRPr="009661D4">
        <w:rPr>
          <w:rFonts w:ascii="Garamond" w:hAnsi="Garamond"/>
          <w:sz w:val="24"/>
          <w:szCs w:val="24"/>
        </w:rPr>
        <w:t xml:space="preserve">Drejtoria e Licencimit, Autorizimeve dhe </w:t>
      </w:r>
      <w:r w:rsidR="005F3651" w:rsidRPr="009661D4">
        <w:rPr>
          <w:rFonts w:ascii="Garamond" w:hAnsi="Garamond"/>
          <w:sz w:val="24"/>
          <w:szCs w:val="24"/>
        </w:rPr>
        <w:t>Mbikëqyrjes</w:t>
      </w:r>
      <w:r w:rsidRPr="009661D4">
        <w:rPr>
          <w:rFonts w:ascii="Garamond" w:hAnsi="Garamond"/>
          <w:sz w:val="24"/>
          <w:szCs w:val="24"/>
        </w:rPr>
        <w:t>, të njoftojë aplikuesin për vendimin e bordit të ERE-s.</w:t>
      </w:r>
    </w:p>
    <w:p w14:paraId="3D76E221" w14:textId="77777777" w:rsidR="009661D4" w:rsidRPr="009661D4" w:rsidRDefault="009661D4" w:rsidP="009661D4">
      <w:pPr>
        <w:spacing w:after="0" w:line="240" w:lineRule="auto"/>
        <w:ind w:firstLine="284"/>
        <w:jc w:val="both"/>
        <w:rPr>
          <w:rFonts w:ascii="Garamond" w:hAnsi="Garamond"/>
          <w:sz w:val="24"/>
          <w:szCs w:val="24"/>
        </w:rPr>
      </w:pPr>
      <w:r w:rsidRPr="009661D4">
        <w:rPr>
          <w:rFonts w:ascii="Garamond" w:hAnsi="Garamond"/>
          <w:sz w:val="24"/>
          <w:szCs w:val="24"/>
        </w:rPr>
        <w:t>Ky vendim hyn në fuqi menjëherë.</w:t>
      </w:r>
    </w:p>
    <w:p w14:paraId="2B2C24D6" w14:textId="3762CA08" w:rsidR="009661D4" w:rsidRPr="009661D4" w:rsidRDefault="009661D4" w:rsidP="009661D4">
      <w:pPr>
        <w:spacing w:after="0" w:line="240" w:lineRule="auto"/>
        <w:ind w:firstLine="284"/>
        <w:jc w:val="both"/>
        <w:rPr>
          <w:rFonts w:ascii="Garamond" w:hAnsi="Garamond"/>
          <w:sz w:val="24"/>
          <w:szCs w:val="24"/>
        </w:rPr>
      </w:pPr>
      <w:r w:rsidRPr="009661D4">
        <w:rPr>
          <w:rFonts w:ascii="Garamond" w:hAnsi="Garamond"/>
          <w:sz w:val="24"/>
          <w:szCs w:val="24"/>
        </w:rPr>
        <w:t>Për këtë vendim mund të kërkohet rishikim brenda 7 ditëve kalendarike</w:t>
      </w:r>
      <w:r w:rsidR="005F3651">
        <w:rPr>
          <w:rFonts w:ascii="Garamond" w:hAnsi="Garamond"/>
          <w:sz w:val="24"/>
          <w:szCs w:val="24"/>
        </w:rPr>
        <w:t>,</w:t>
      </w:r>
      <w:r w:rsidRPr="009661D4">
        <w:rPr>
          <w:rFonts w:ascii="Garamond" w:hAnsi="Garamond"/>
          <w:sz w:val="24"/>
          <w:szCs w:val="24"/>
        </w:rPr>
        <w:t xml:space="preserve"> si dhe mund të bëhet ankim në Gjykatën Administrative Tiranë, </w:t>
      </w:r>
      <w:r w:rsidR="005F3651" w:rsidRPr="009661D4">
        <w:rPr>
          <w:rFonts w:ascii="Garamond" w:hAnsi="Garamond"/>
          <w:sz w:val="24"/>
          <w:szCs w:val="24"/>
        </w:rPr>
        <w:t>brenda</w:t>
      </w:r>
      <w:r w:rsidRPr="009661D4">
        <w:rPr>
          <w:rFonts w:ascii="Garamond" w:hAnsi="Garamond"/>
          <w:sz w:val="24"/>
          <w:szCs w:val="24"/>
        </w:rPr>
        <w:t xml:space="preserve"> 30 ditëve kalendarike nga dita e publikimit në Fletoren Zyrtare.</w:t>
      </w:r>
    </w:p>
    <w:p w14:paraId="578DDE50" w14:textId="77777777" w:rsidR="009661D4" w:rsidRDefault="009661D4" w:rsidP="009661D4">
      <w:pPr>
        <w:spacing w:after="0" w:line="240" w:lineRule="auto"/>
        <w:ind w:firstLine="284"/>
        <w:jc w:val="both"/>
        <w:rPr>
          <w:rFonts w:ascii="Garamond" w:hAnsi="Garamond"/>
          <w:sz w:val="24"/>
          <w:szCs w:val="24"/>
        </w:rPr>
      </w:pPr>
      <w:r w:rsidRPr="009661D4">
        <w:rPr>
          <w:rFonts w:ascii="Garamond" w:hAnsi="Garamond"/>
          <w:sz w:val="24"/>
          <w:szCs w:val="24"/>
        </w:rPr>
        <w:t>Ky vendim botohet në Fletoren Zyrtare.</w:t>
      </w:r>
    </w:p>
    <w:p w14:paraId="2665D1EB" w14:textId="77777777" w:rsidR="00012332" w:rsidRPr="009661D4" w:rsidRDefault="00012332" w:rsidP="009661D4">
      <w:pPr>
        <w:spacing w:after="0" w:line="240" w:lineRule="auto"/>
        <w:ind w:firstLine="284"/>
        <w:jc w:val="both"/>
        <w:rPr>
          <w:rFonts w:ascii="Garamond" w:hAnsi="Garamond"/>
          <w:sz w:val="24"/>
          <w:szCs w:val="24"/>
        </w:rPr>
      </w:pPr>
      <w:bookmarkStart w:id="0" w:name="_GoBack"/>
      <w:bookmarkEnd w:id="0"/>
    </w:p>
    <w:p w14:paraId="78968238" w14:textId="27C0B17D" w:rsidR="009661D4" w:rsidRPr="009661D4" w:rsidRDefault="00012332" w:rsidP="00012332">
      <w:pPr>
        <w:spacing w:after="0" w:line="240" w:lineRule="auto"/>
        <w:ind w:firstLine="284"/>
        <w:jc w:val="right"/>
        <w:rPr>
          <w:rFonts w:ascii="Garamond" w:hAnsi="Garamond"/>
          <w:sz w:val="24"/>
          <w:szCs w:val="24"/>
        </w:rPr>
      </w:pPr>
      <w:r>
        <w:rPr>
          <w:rFonts w:ascii="Garamond" w:hAnsi="Garamond"/>
          <w:sz w:val="24"/>
          <w:szCs w:val="24"/>
        </w:rPr>
        <w:tab/>
        <w:t>NË MUNGESË DHE ME AUTORIZIM</w:t>
      </w:r>
    </w:p>
    <w:p w14:paraId="63ED6E72" w14:textId="76915C84" w:rsidR="005F3651" w:rsidRPr="005F3651" w:rsidRDefault="005F3651" w:rsidP="009661D4">
      <w:pPr>
        <w:spacing w:after="0" w:line="240" w:lineRule="auto"/>
        <w:ind w:firstLine="284"/>
        <w:jc w:val="right"/>
        <w:rPr>
          <w:rFonts w:ascii="Garamond" w:hAnsi="Garamond"/>
          <w:sz w:val="24"/>
          <w:szCs w:val="24"/>
        </w:rPr>
      </w:pPr>
      <w:r w:rsidRPr="005F3651">
        <w:rPr>
          <w:rFonts w:ascii="Garamond" w:hAnsi="Garamond"/>
          <w:sz w:val="24"/>
          <w:szCs w:val="24"/>
        </w:rPr>
        <w:t xml:space="preserve">ANËTARE BORDI </w:t>
      </w:r>
    </w:p>
    <w:p w14:paraId="5968ED02" w14:textId="26B2E794" w:rsidR="009661D4" w:rsidRPr="009661D4" w:rsidRDefault="009661D4" w:rsidP="009661D4">
      <w:pPr>
        <w:spacing w:after="0" w:line="240" w:lineRule="auto"/>
        <w:ind w:firstLine="284"/>
        <w:jc w:val="right"/>
        <w:rPr>
          <w:rFonts w:ascii="Garamond" w:hAnsi="Garamond"/>
          <w:b/>
          <w:sz w:val="24"/>
          <w:szCs w:val="24"/>
        </w:rPr>
      </w:pPr>
      <w:r w:rsidRPr="009661D4">
        <w:rPr>
          <w:rFonts w:ascii="Garamond" w:hAnsi="Garamond"/>
          <w:b/>
          <w:sz w:val="24"/>
          <w:szCs w:val="24"/>
        </w:rPr>
        <w:t>Erjola Sadushi</w:t>
      </w:r>
    </w:p>
    <w:p w14:paraId="2FF8750D" w14:textId="77777777" w:rsidR="007E6E11" w:rsidRPr="009661D4" w:rsidRDefault="007E6E11" w:rsidP="009661D4">
      <w:pPr>
        <w:spacing w:after="0" w:line="240" w:lineRule="auto"/>
        <w:ind w:firstLine="284"/>
        <w:jc w:val="both"/>
        <w:rPr>
          <w:rFonts w:ascii="Garamond" w:hAnsi="Garamond"/>
          <w:b/>
          <w:sz w:val="24"/>
          <w:szCs w:val="24"/>
        </w:rPr>
      </w:pPr>
    </w:p>
    <w:p w14:paraId="69AF3EB9" w14:textId="77777777" w:rsidR="007E6E11" w:rsidRPr="009661D4" w:rsidRDefault="007E6E11" w:rsidP="009661D4">
      <w:pPr>
        <w:spacing w:after="0" w:line="240" w:lineRule="auto"/>
        <w:ind w:firstLine="284"/>
        <w:jc w:val="both"/>
        <w:rPr>
          <w:rFonts w:ascii="Garamond" w:hAnsi="Garamond"/>
          <w:sz w:val="24"/>
          <w:szCs w:val="24"/>
        </w:rPr>
      </w:pPr>
    </w:p>
    <w:p w14:paraId="03063898" w14:textId="77777777" w:rsidR="007E6E11" w:rsidRPr="009661D4" w:rsidRDefault="007E6E11" w:rsidP="009661D4">
      <w:pPr>
        <w:spacing w:after="0" w:line="240" w:lineRule="auto"/>
        <w:ind w:firstLine="284"/>
        <w:jc w:val="both"/>
        <w:rPr>
          <w:rFonts w:ascii="Garamond" w:hAnsi="Garamond"/>
          <w:sz w:val="24"/>
          <w:szCs w:val="24"/>
        </w:rPr>
      </w:pPr>
    </w:p>
    <w:sectPr w:rsidR="007E6E11" w:rsidRPr="00966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83A49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5B77F1"/>
    <w:multiLevelType w:val="singleLevel"/>
    <w:tmpl w:val="96D630BC"/>
    <w:lvl w:ilvl="0">
      <w:start w:val="1"/>
      <w:numFmt w:val="bullet"/>
      <w:lvlText w:val="*"/>
      <w:lvlJc w:val="left"/>
    </w:lvl>
  </w:abstractNum>
  <w:num w:numId="1">
    <w:abstractNumId w:val="1"/>
    <w:lvlOverride w:ilvl="0">
      <w:lvl w:ilvl="0">
        <w:start w:val="1"/>
        <w:numFmt w:val="bullet"/>
        <w:lvlText w:val=""/>
        <w:lvlJc w:val="left"/>
        <w:rPr>
          <w:rFonts w:ascii="Symbol" w:hAnsi="Symbol" w:hint="default"/>
        </w:rPr>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E62"/>
    <w:rsid w:val="00012332"/>
    <w:rsid w:val="00145A8E"/>
    <w:rsid w:val="00210378"/>
    <w:rsid w:val="00345945"/>
    <w:rsid w:val="0042798C"/>
    <w:rsid w:val="005F3651"/>
    <w:rsid w:val="007D7741"/>
    <w:rsid w:val="007E6E11"/>
    <w:rsid w:val="008E524D"/>
    <w:rsid w:val="008F4D57"/>
    <w:rsid w:val="009661D4"/>
    <w:rsid w:val="00993B6E"/>
    <w:rsid w:val="009F68C1"/>
    <w:rsid w:val="00A82744"/>
    <w:rsid w:val="00B13C41"/>
    <w:rsid w:val="00B70653"/>
    <w:rsid w:val="00C65FF1"/>
    <w:rsid w:val="00D6052A"/>
    <w:rsid w:val="00DC4D99"/>
    <w:rsid w:val="00E20BC6"/>
    <w:rsid w:val="00E330A8"/>
    <w:rsid w:val="00ED7FCE"/>
    <w:rsid w:val="00F53E62"/>
    <w:rsid w:val="00F5639E"/>
    <w:rsid w:val="00FD00B7"/>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55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9661D4"/>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661D4"/>
    <w:rPr>
      <w:rFonts w:ascii="Arial" w:eastAsia="Times New Roman" w:hAnsi="Arial" w:cs="Arial"/>
      <w:b/>
      <w:bCs/>
      <w:i/>
      <w:iCs/>
      <w:sz w:val="28"/>
      <w:szCs w:val="28"/>
    </w:rPr>
  </w:style>
  <w:style w:type="paragraph" w:styleId="ListParagraph">
    <w:name w:val="List Paragraph"/>
    <w:basedOn w:val="Normal"/>
    <w:uiPriority w:val="34"/>
    <w:qFormat/>
    <w:rsid w:val="009661D4"/>
    <w:pPr>
      <w:ind w:left="720"/>
      <w:contextualSpacing/>
    </w:pPr>
    <w:rPr>
      <w:rFonts w:ascii="Calibri" w:eastAsia="Calibri" w:hAnsi="Calibri" w:cs="SimSu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9661D4"/>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661D4"/>
    <w:rPr>
      <w:rFonts w:ascii="Arial" w:eastAsia="Times New Roman" w:hAnsi="Arial" w:cs="Arial"/>
      <w:b/>
      <w:bCs/>
      <w:i/>
      <w:iCs/>
      <w:sz w:val="28"/>
      <w:szCs w:val="28"/>
    </w:rPr>
  </w:style>
  <w:style w:type="paragraph" w:styleId="ListParagraph">
    <w:name w:val="List Paragraph"/>
    <w:basedOn w:val="Normal"/>
    <w:uiPriority w:val="34"/>
    <w:qFormat/>
    <w:rsid w:val="009661D4"/>
    <w:pPr>
      <w:ind w:left="720"/>
      <w:contextualSpacing/>
    </w:pPr>
    <w:rPr>
      <w:rFonts w:ascii="Calibri" w:eastAsia="Calibri" w:hAnsi="Calibri" w:cs="SimSu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404BE4BBAEC45429407820A31A77B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162</Nr_x002e__x0020_akti>
    <Data_x0020_e_x0020_Krijimit xmlns="0e656187-b300-4fb0-8bf4-3a50f872073c">2019-11-11T13:43:48Z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2019-11-06T23:00:00Z</Date_x0020_protokolli>
    <Titulli xmlns="0e656187-b300-4fb0-8bf4-3a50f872073c">Mbi kërkesën e shoqërisë hec "Lashkiza" sh.p.k., për lënie në hipotekë dhe barrë të aseteve në favor të bankës "Intesa SanPaolo Bank Albania " sh.a..</Titulli>
    <Modifikuesi xmlns="0e656187-b300-4fb0-8bf4-3a50f872073c">valjeta.kaftalli</Modifikuesi>
    <Nr_x002e__x0020_prot_x0020_QBZ xmlns="0e656187-b300-4fb0-8bf4-3a50f872073c">1530/8</Nr_x002e__x0020_prot_x0020_QBZ>
    <Data_x0020_e_x0020_Modifikimit xmlns="0e656187-b300-4fb0-8bf4-3a50f872073c">2019-11-12T11:03:01Z</Data_x0020_e_x0020_Modifikimit>
    <Dekretuar xmlns="0e656187-b300-4fb0-8bf4-3a50f872073c">false</Dekretuar>
    <Data xmlns="0e656187-b300-4fb0-8bf4-3a50f872073c">2019-10-28T23:00:00Z</Data>
    <Nr_x002e__x0020_protokolli_x0020_i_x0020_aktit xmlns="0e656187-b300-4fb0-8bf4-3a50f872073c">35/51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404BE4BBAEC45429407820A31A77B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D96FC-B368-4D33-A671-AA55B714D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BF9A027-F65D-4281-A30D-22D071CD77F2}">
  <ds:schemaRefs>
    <ds:schemaRef ds:uri="http://schemas.openxmlformats.org/package/2006/metadata/core-properties"/>
    <ds:schemaRef ds:uri="http://purl.org/dc/elements/1.1/"/>
    <ds:schemaRef ds:uri="http://purl.org/dc/dcmitype/"/>
    <ds:schemaRef ds:uri="http://schemas.microsoft.com/office/2006/metadata/properties"/>
    <ds:schemaRef ds:uri="http://schemas.microsoft.com/office/2006/documentManagement/types"/>
    <ds:schemaRef ds:uri="http://www.w3.org/XML/1998/namespace"/>
    <ds:schemaRef ds:uri="0e656187-b300-4fb0-8bf4-3a50f872073c"/>
    <ds:schemaRef ds:uri="http://purl.org/dc/terms/"/>
  </ds:schemaRefs>
</ds:datastoreItem>
</file>

<file path=customXml/itemProps3.xml><?xml version="1.0" encoding="utf-8"?>
<ds:datastoreItem xmlns:ds="http://schemas.openxmlformats.org/officeDocument/2006/customXml" ds:itemID="{CEBEBF59-860E-4C36-810A-19907A631D1A}">
  <ds:schemaRefs>
    <ds:schemaRef ds:uri="http://schemas.microsoft.com/sharepoint/v3/contenttype/forms"/>
  </ds:schemaRefs>
</ds:datastoreItem>
</file>

<file path=customXml/itemProps4.xml><?xml version="1.0" encoding="utf-8"?>
<ds:datastoreItem xmlns:ds="http://schemas.openxmlformats.org/officeDocument/2006/customXml" ds:itemID="{2B8CA14C-9BAA-4822-AF1C-6887B0B6C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5FE13B5-6FB6-46AC-B39A-9BDA029D9B01}">
  <ds:schemaRefs>
    <ds:schemaRef ds:uri="http://schemas.microsoft.com/sharepoint/v3/contenttype/forms"/>
  </ds:schemaRefs>
</ds:datastoreItem>
</file>

<file path=customXml/itemProps6.xml><?xml version="1.0" encoding="utf-8"?>
<ds:datastoreItem xmlns:ds="http://schemas.openxmlformats.org/officeDocument/2006/customXml" ds:itemID="{C34133DE-7480-4167-AB93-7F167484C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Mbi kërkesën e shoqërisë hec "Lashkiza" sh.p.k., për lënie në hipotekë dhe barrë të aseteve në favor të bankës "Intesa SanPaolo Bank" sh.a..</vt:lpstr>
    </vt:vector>
  </TitlesOfParts>
  <Company/>
  <LinksUpToDate>false</LinksUpToDate>
  <CharactersWithSpaces>5294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hec "Lashkiza" sh.p.k., për lënie në hipotekë dhe barrë të aseteve në favor të bankës "Intesa SanPaolo Bank" sh.a..</dc:title>
  <dc:creator>Entela Suli</dc:creator>
  <cp:lastModifiedBy>Gladiola.Cicako</cp:lastModifiedBy>
  <cp:revision>10</cp:revision>
  <dcterms:created xsi:type="dcterms:W3CDTF">2019-11-11T13:34:00Z</dcterms:created>
  <dcterms:modified xsi:type="dcterms:W3CDTF">2019-11-13T12:58:00Z</dcterms:modified>
</cp:coreProperties>
</file>