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78DAA" w14:textId="77777777" w:rsidR="00D12944" w:rsidRPr="006C0EED" w:rsidRDefault="00D12944" w:rsidP="00D1294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0EED">
        <w:rPr>
          <w:rFonts w:ascii="Garamond" w:hAnsi="Garamond"/>
          <w:b/>
          <w:sz w:val="24"/>
          <w:szCs w:val="24"/>
          <w:lang w:val="sq-AL"/>
        </w:rPr>
        <w:t>VENDIM</w:t>
      </w:r>
    </w:p>
    <w:p w14:paraId="4092A4F3" w14:textId="4E008EC1" w:rsidR="00D12944" w:rsidRPr="006C0EED" w:rsidRDefault="00D12944" w:rsidP="00D1294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0EED">
        <w:rPr>
          <w:rFonts w:ascii="Garamond" w:hAnsi="Garamond"/>
          <w:b/>
          <w:sz w:val="24"/>
          <w:szCs w:val="24"/>
          <w:lang w:val="sq-AL"/>
        </w:rPr>
        <w:t xml:space="preserve">Nr. 218, </w:t>
      </w:r>
      <w:r w:rsidR="006C0EED" w:rsidRPr="006C0EED">
        <w:rPr>
          <w:rFonts w:ascii="Garamond" w:hAnsi="Garamond"/>
          <w:b/>
          <w:sz w:val="24"/>
          <w:szCs w:val="24"/>
          <w:lang w:val="sq-AL"/>
        </w:rPr>
        <w:t>d</w:t>
      </w:r>
      <w:r w:rsidRPr="006C0EED">
        <w:rPr>
          <w:rFonts w:ascii="Garamond" w:hAnsi="Garamond"/>
          <w:b/>
          <w:sz w:val="24"/>
          <w:szCs w:val="24"/>
          <w:lang w:val="sq-AL"/>
        </w:rPr>
        <w:t>atë 15.12.2020</w:t>
      </w:r>
    </w:p>
    <w:p w14:paraId="54CED139" w14:textId="77777777" w:rsidR="00D12944" w:rsidRPr="006C0EED" w:rsidRDefault="00D12944" w:rsidP="00D1294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5C1187" w14:textId="7B4BE8B7" w:rsidR="00D12944" w:rsidRPr="006C0EED" w:rsidRDefault="00D12944" w:rsidP="00D1294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0EED">
        <w:rPr>
          <w:rFonts w:ascii="Garamond" w:hAnsi="Garamond"/>
          <w:b/>
          <w:sz w:val="24"/>
          <w:szCs w:val="24"/>
          <w:lang w:val="sq-AL"/>
        </w:rPr>
        <w:t>MBI FILLIMIN E PROCEDURËS PËR MIRATIMIN E STANDARDEVE TË TRAJTIMIT TË ANKESAVE TË KLIENTËVE TË ENERGJISË ELEKTRIKE DHE GAZIT NATYROR NGA TË LICENCUARIT NË AKTIVITETIN E FURNIZIMIT</w:t>
      </w:r>
    </w:p>
    <w:p w14:paraId="17196B3F" w14:textId="77777777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340576" w14:textId="3D6E4861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 xml:space="preserve">Në mbështetje të neneve 20, </w:t>
      </w:r>
      <w:r w:rsidR="006C0EED" w:rsidRPr="006C0EED">
        <w:rPr>
          <w:rFonts w:ascii="Garamond" w:hAnsi="Garamond"/>
          <w:sz w:val="24"/>
          <w:szCs w:val="24"/>
          <w:lang w:val="sq-AL"/>
        </w:rPr>
        <w:t>germa</w:t>
      </w:r>
      <w:r w:rsidRPr="006C0EED">
        <w:rPr>
          <w:rFonts w:ascii="Garamond" w:hAnsi="Garamond"/>
          <w:sz w:val="24"/>
          <w:szCs w:val="24"/>
          <w:lang w:val="sq-AL"/>
        </w:rPr>
        <w:t xml:space="preserve"> “ë”; 81, pika 3, </w:t>
      </w:r>
      <w:r w:rsidR="006C0EED" w:rsidRPr="006C0EED">
        <w:rPr>
          <w:rFonts w:ascii="Garamond" w:hAnsi="Garamond"/>
          <w:sz w:val="24"/>
          <w:szCs w:val="24"/>
          <w:lang w:val="sq-AL"/>
        </w:rPr>
        <w:t>germa</w:t>
      </w:r>
      <w:r w:rsidRPr="006C0EED">
        <w:rPr>
          <w:rFonts w:ascii="Garamond" w:hAnsi="Garamond"/>
          <w:sz w:val="24"/>
          <w:szCs w:val="24"/>
          <w:lang w:val="sq-AL"/>
        </w:rPr>
        <w:t xml:space="preserve"> “ç”; 94, pika 2, </w:t>
      </w:r>
      <w:r w:rsidR="006C0EED" w:rsidRPr="006C0EED">
        <w:rPr>
          <w:rFonts w:ascii="Garamond" w:hAnsi="Garamond"/>
          <w:sz w:val="24"/>
          <w:szCs w:val="24"/>
          <w:lang w:val="sq-AL"/>
        </w:rPr>
        <w:t>germa</w:t>
      </w:r>
      <w:r w:rsidRPr="006C0EED">
        <w:rPr>
          <w:rFonts w:ascii="Garamond" w:hAnsi="Garamond"/>
          <w:sz w:val="24"/>
          <w:szCs w:val="24"/>
          <w:lang w:val="sq-AL"/>
        </w:rPr>
        <w:t xml:space="preserve"> “b” dhe “ë”</w:t>
      </w:r>
      <w:r w:rsidR="006C0EED">
        <w:rPr>
          <w:rFonts w:ascii="Garamond" w:hAnsi="Garamond"/>
          <w:sz w:val="24"/>
          <w:szCs w:val="24"/>
          <w:lang w:val="sq-AL"/>
        </w:rPr>
        <w:t>,</w:t>
      </w:r>
      <w:r w:rsidRPr="006C0EED">
        <w:rPr>
          <w:rFonts w:ascii="Garamond" w:hAnsi="Garamond"/>
          <w:sz w:val="24"/>
          <w:szCs w:val="24"/>
          <w:lang w:val="sq-AL"/>
        </w:rPr>
        <w:t xml:space="preserve"> të </w:t>
      </w:r>
      <w:r w:rsidR="006C0EED">
        <w:rPr>
          <w:rFonts w:ascii="Garamond" w:hAnsi="Garamond"/>
          <w:sz w:val="24"/>
          <w:szCs w:val="24"/>
          <w:lang w:val="sq-AL"/>
        </w:rPr>
        <w:t>l</w:t>
      </w:r>
      <w:r w:rsidRPr="006C0EED">
        <w:rPr>
          <w:rFonts w:ascii="Garamond" w:hAnsi="Garamond"/>
          <w:sz w:val="24"/>
          <w:szCs w:val="24"/>
          <w:lang w:val="sq-AL"/>
        </w:rPr>
        <w:t>igjit nr. 43/2015</w:t>
      </w:r>
      <w:r w:rsidR="006C0EED">
        <w:rPr>
          <w:rFonts w:ascii="Garamond" w:hAnsi="Garamond"/>
          <w:sz w:val="24"/>
          <w:szCs w:val="24"/>
          <w:lang w:val="sq-AL"/>
        </w:rPr>
        <w:t>,</w:t>
      </w:r>
      <w:r w:rsidRPr="006C0EE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6C0EED">
        <w:rPr>
          <w:rFonts w:ascii="Garamond" w:hAnsi="Garamond"/>
          <w:sz w:val="24"/>
          <w:szCs w:val="24"/>
          <w:lang w:val="sq-AL"/>
        </w:rPr>
        <w:t>të</w:t>
      </w:r>
      <w:r w:rsidRPr="006C0EED">
        <w:rPr>
          <w:rFonts w:ascii="Garamond" w:hAnsi="Garamond"/>
          <w:sz w:val="24"/>
          <w:szCs w:val="24"/>
          <w:lang w:val="sq-AL"/>
        </w:rPr>
        <w:t xml:space="preserve"> ndryshuar</w:t>
      </w:r>
      <w:r w:rsidR="006C0EED">
        <w:rPr>
          <w:rFonts w:ascii="Garamond" w:hAnsi="Garamond"/>
          <w:sz w:val="24"/>
          <w:szCs w:val="24"/>
          <w:lang w:val="sq-AL"/>
        </w:rPr>
        <w:t>;</w:t>
      </w:r>
      <w:r w:rsidRPr="006C0EED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Hlk58241316"/>
      <w:r w:rsidR="006C0EED">
        <w:rPr>
          <w:rFonts w:ascii="Garamond" w:hAnsi="Garamond"/>
          <w:sz w:val="24"/>
          <w:szCs w:val="24"/>
          <w:lang w:val="sq-AL"/>
        </w:rPr>
        <w:t xml:space="preserve">të </w:t>
      </w:r>
      <w:r w:rsidRPr="006C0EED">
        <w:rPr>
          <w:rFonts w:ascii="Garamond" w:hAnsi="Garamond"/>
          <w:sz w:val="24"/>
          <w:szCs w:val="24"/>
          <w:lang w:val="sq-AL"/>
        </w:rPr>
        <w:t xml:space="preserve">neneve 16, pika 16 dhe 20; 17, pika 1, </w:t>
      </w:r>
      <w:r w:rsidR="006C0EED" w:rsidRPr="006C0EED">
        <w:rPr>
          <w:rFonts w:ascii="Garamond" w:hAnsi="Garamond"/>
          <w:sz w:val="24"/>
          <w:szCs w:val="24"/>
          <w:lang w:val="sq-AL"/>
        </w:rPr>
        <w:t>germa</w:t>
      </w:r>
      <w:r w:rsidRPr="006C0EED">
        <w:rPr>
          <w:rFonts w:ascii="Garamond" w:hAnsi="Garamond"/>
          <w:sz w:val="24"/>
          <w:szCs w:val="24"/>
          <w:lang w:val="sq-AL"/>
        </w:rPr>
        <w:t xml:space="preserve"> “ë”; 96, pika 11; 98, pika 1 dhe 2</w:t>
      </w:r>
      <w:r w:rsidR="006C0EED">
        <w:rPr>
          <w:rFonts w:ascii="Garamond" w:hAnsi="Garamond"/>
          <w:sz w:val="24"/>
          <w:szCs w:val="24"/>
          <w:lang w:val="sq-AL"/>
        </w:rPr>
        <w:t>,</w:t>
      </w:r>
      <w:r w:rsidRPr="006C0EED">
        <w:rPr>
          <w:rFonts w:ascii="Garamond" w:hAnsi="Garamond"/>
          <w:sz w:val="24"/>
          <w:szCs w:val="24"/>
          <w:lang w:val="sq-AL"/>
        </w:rPr>
        <w:t xml:space="preserve"> të </w:t>
      </w:r>
      <w:r w:rsidR="006C0EED">
        <w:rPr>
          <w:rFonts w:ascii="Garamond" w:hAnsi="Garamond"/>
          <w:sz w:val="24"/>
          <w:szCs w:val="24"/>
          <w:lang w:val="sq-AL"/>
        </w:rPr>
        <w:t>l</w:t>
      </w:r>
      <w:r w:rsidRPr="006C0EED">
        <w:rPr>
          <w:rFonts w:ascii="Garamond" w:hAnsi="Garamond"/>
          <w:sz w:val="24"/>
          <w:szCs w:val="24"/>
          <w:lang w:val="sq-AL"/>
        </w:rPr>
        <w:t>igjit nr.</w:t>
      </w:r>
      <w:r w:rsidR="006C0EED">
        <w:rPr>
          <w:rFonts w:ascii="Garamond" w:hAnsi="Garamond"/>
          <w:sz w:val="24"/>
          <w:szCs w:val="24"/>
          <w:lang w:val="sq-AL"/>
        </w:rPr>
        <w:t xml:space="preserve"> </w:t>
      </w:r>
      <w:r w:rsidRPr="006C0EED">
        <w:rPr>
          <w:rFonts w:ascii="Garamond" w:hAnsi="Garamond"/>
          <w:sz w:val="24"/>
          <w:szCs w:val="24"/>
          <w:lang w:val="sq-AL"/>
        </w:rPr>
        <w:t>102/2015</w:t>
      </w:r>
      <w:r w:rsidR="006C0EED">
        <w:rPr>
          <w:rFonts w:ascii="Garamond" w:hAnsi="Garamond"/>
          <w:sz w:val="24"/>
          <w:szCs w:val="24"/>
          <w:lang w:val="sq-AL"/>
        </w:rPr>
        <w:t>,</w:t>
      </w:r>
      <w:r w:rsidRPr="006C0EED">
        <w:rPr>
          <w:rFonts w:ascii="Garamond" w:hAnsi="Garamond"/>
          <w:sz w:val="24"/>
          <w:szCs w:val="24"/>
          <w:lang w:val="sq-AL"/>
        </w:rPr>
        <w:t xml:space="preserve"> “Për sektorin e gazit natyror”, të ndryshuar</w:t>
      </w:r>
      <w:r w:rsidR="006C0EED">
        <w:rPr>
          <w:rFonts w:ascii="Garamond" w:hAnsi="Garamond"/>
          <w:sz w:val="24"/>
          <w:szCs w:val="24"/>
          <w:lang w:val="sq-AL"/>
        </w:rPr>
        <w:t>;</w:t>
      </w:r>
      <w:r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="006C0EED">
        <w:rPr>
          <w:rFonts w:ascii="Garamond" w:hAnsi="Garamond"/>
          <w:sz w:val="24"/>
          <w:szCs w:val="24"/>
          <w:lang w:val="sq-AL"/>
        </w:rPr>
        <w:t>të</w:t>
      </w:r>
      <w:r w:rsidR="006C0EED"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Pr="006C0EED">
        <w:rPr>
          <w:rFonts w:ascii="Garamond" w:hAnsi="Garamond"/>
          <w:sz w:val="24"/>
          <w:szCs w:val="24"/>
          <w:lang w:val="sq-AL"/>
        </w:rPr>
        <w:t>neneve 52/2 dhe 56</w:t>
      </w:r>
      <w:r w:rsidR="006C0EED">
        <w:rPr>
          <w:rFonts w:ascii="Garamond" w:hAnsi="Garamond"/>
          <w:sz w:val="24"/>
          <w:szCs w:val="24"/>
          <w:lang w:val="sq-AL"/>
        </w:rPr>
        <w:t>,</w:t>
      </w:r>
      <w:r w:rsidRPr="006C0EED">
        <w:rPr>
          <w:rFonts w:ascii="Garamond" w:hAnsi="Garamond"/>
          <w:sz w:val="24"/>
          <w:szCs w:val="24"/>
          <w:lang w:val="sq-AL"/>
        </w:rPr>
        <w:t xml:space="preserve"> të </w:t>
      </w:r>
      <w:r w:rsidR="006C0EED">
        <w:rPr>
          <w:rFonts w:ascii="Garamond" w:hAnsi="Garamond"/>
          <w:sz w:val="24"/>
          <w:szCs w:val="24"/>
          <w:lang w:val="sq-AL"/>
        </w:rPr>
        <w:t>l</w:t>
      </w:r>
      <w:r w:rsidRPr="006C0EED">
        <w:rPr>
          <w:rFonts w:ascii="Garamond" w:hAnsi="Garamond"/>
          <w:sz w:val="24"/>
          <w:szCs w:val="24"/>
          <w:lang w:val="sq-AL"/>
        </w:rPr>
        <w:t>igjit nr. 9902, datë 17.4.2008</w:t>
      </w:r>
      <w:r w:rsidR="006C0EED">
        <w:rPr>
          <w:rFonts w:ascii="Garamond" w:hAnsi="Garamond"/>
          <w:sz w:val="24"/>
          <w:szCs w:val="24"/>
          <w:lang w:val="sq-AL"/>
        </w:rPr>
        <w:t>,</w:t>
      </w:r>
      <w:r w:rsidRPr="006C0EED">
        <w:rPr>
          <w:rFonts w:ascii="Garamond" w:hAnsi="Garamond"/>
          <w:sz w:val="24"/>
          <w:szCs w:val="24"/>
          <w:lang w:val="sq-AL"/>
        </w:rPr>
        <w:t xml:space="preserve"> “Për mbrojtjen e konsumatorëve”, </w:t>
      </w:r>
      <w:r w:rsidR="006C0EED">
        <w:rPr>
          <w:rFonts w:ascii="Garamond" w:hAnsi="Garamond"/>
          <w:sz w:val="24"/>
          <w:szCs w:val="24"/>
          <w:lang w:val="sq-AL"/>
        </w:rPr>
        <w:t>të</w:t>
      </w:r>
      <w:r w:rsidRPr="006C0EED">
        <w:rPr>
          <w:rFonts w:ascii="Garamond" w:hAnsi="Garamond"/>
          <w:sz w:val="24"/>
          <w:szCs w:val="24"/>
          <w:lang w:val="sq-AL"/>
        </w:rPr>
        <w:t xml:space="preserve"> ndryshuar</w:t>
      </w:r>
      <w:bookmarkEnd w:id="0"/>
      <w:r w:rsidR="006C0EED">
        <w:rPr>
          <w:rFonts w:ascii="Garamond" w:hAnsi="Garamond"/>
          <w:sz w:val="24"/>
          <w:szCs w:val="24"/>
          <w:lang w:val="sq-AL"/>
        </w:rPr>
        <w:t>;</w:t>
      </w:r>
      <w:r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="006C0EED">
        <w:rPr>
          <w:rFonts w:ascii="Garamond" w:hAnsi="Garamond"/>
          <w:sz w:val="24"/>
          <w:szCs w:val="24"/>
          <w:lang w:val="sq-AL"/>
        </w:rPr>
        <w:t>të</w:t>
      </w:r>
      <w:r w:rsidR="006C0EED"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Pr="006C0EED">
        <w:rPr>
          <w:rFonts w:ascii="Garamond" w:hAnsi="Garamond"/>
          <w:sz w:val="24"/>
          <w:szCs w:val="24"/>
          <w:lang w:val="sq-AL"/>
        </w:rPr>
        <w:t>nenit 28</w:t>
      </w:r>
      <w:r w:rsidR="006C0EED">
        <w:rPr>
          <w:rFonts w:ascii="Garamond" w:hAnsi="Garamond"/>
          <w:sz w:val="24"/>
          <w:szCs w:val="24"/>
          <w:lang w:val="sq-AL"/>
        </w:rPr>
        <w:t>,</w:t>
      </w:r>
      <w:r w:rsidRPr="006C0EED">
        <w:rPr>
          <w:rFonts w:ascii="Garamond" w:hAnsi="Garamond"/>
          <w:sz w:val="24"/>
          <w:szCs w:val="24"/>
          <w:lang w:val="sq-AL"/>
        </w:rPr>
        <w:t xml:space="preserve"> të </w:t>
      </w:r>
      <w:r w:rsidR="006C0EED">
        <w:rPr>
          <w:rFonts w:ascii="Garamond" w:hAnsi="Garamond"/>
          <w:sz w:val="24"/>
          <w:szCs w:val="24"/>
          <w:lang w:val="sq-AL"/>
        </w:rPr>
        <w:t>ligjit nr. 9887, datë 10.</w:t>
      </w:r>
      <w:r w:rsidRPr="006C0EED">
        <w:rPr>
          <w:rFonts w:ascii="Garamond" w:hAnsi="Garamond"/>
          <w:sz w:val="24"/>
          <w:szCs w:val="24"/>
          <w:lang w:val="sq-AL"/>
        </w:rPr>
        <w:t xml:space="preserve">3.2008, “Për mbrojtjen e të dhënave personale”, </w:t>
      </w:r>
      <w:r w:rsidR="006C0EED">
        <w:rPr>
          <w:rFonts w:ascii="Garamond" w:hAnsi="Garamond"/>
          <w:sz w:val="24"/>
          <w:szCs w:val="24"/>
          <w:lang w:val="sq-AL"/>
        </w:rPr>
        <w:t>të</w:t>
      </w:r>
      <w:r w:rsidRPr="006C0EED">
        <w:rPr>
          <w:rFonts w:ascii="Garamond" w:hAnsi="Garamond"/>
          <w:sz w:val="24"/>
          <w:szCs w:val="24"/>
          <w:lang w:val="sq-AL"/>
        </w:rPr>
        <w:t xml:space="preserve"> ndryshuar</w:t>
      </w:r>
      <w:bookmarkStart w:id="1" w:name="_Hlk58237731"/>
      <w:r w:rsidR="006C0EED">
        <w:rPr>
          <w:rFonts w:ascii="Garamond" w:hAnsi="Garamond"/>
          <w:sz w:val="24"/>
          <w:szCs w:val="24"/>
          <w:lang w:val="sq-AL"/>
        </w:rPr>
        <w:t>;</w:t>
      </w:r>
      <w:r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="006C0EED">
        <w:rPr>
          <w:rFonts w:ascii="Garamond" w:hAnsi="Garamond"/>
          <w:sz w:val="24"/>
          <w:szCs w:val="24"/>
          <w:lang w:val="sq-AL"/>
        </w:rPr>
        <w:t>të</w:t>
      </w:r>
      <w:r w:rsidR="006C0EED"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="006C0EED">
        <w:rPr>
          <w:rFonts w:ascii="Garamond" w:hAnsi="Garamond"/>
          <w:sz w:val="24"/>
          <w:szCs w:val="24"/>
          <w:lang w:val="sq-AL"/>
        </w:rPr>
        <w:t>“</w:t>
      </w:r>
      <w:r w:rsidRPr="006C0EED">
        <w:rPr>
          <w:rFonts w:ascii="Garamond" w:hAnsi="Garamond"/>
          <w:sz w:val="24"/>
          <w:szCs w:val="24"/>
          <w:lang w:val="sq-AL"/>
        </w:rPr>
        <w:t xml:space="preserve">Rregullores mbi </w:t>
      </w:r>
      <w:r w:rsidR="006C0EED" w:rsidRPr="006C0EED">
        <w:rPr>
          <w:rFonts w:ascii="Garamond" w:hAnsi="Garamond"/>
          <w:sz w:val="24"/>
          <w:szCs w:val="24"/>
          <w:lang w:val="sq-AL"/>
        </w:rPr>
        <w:t>kushtet e përgjithshme të shërbimit të furnizimit me energji elektrike për klientët fundo</w:t>
      </w:r>
      <w:r w:rsidRPr="006C0EED">
        <w:rPr>
          <w:rFonts w:ascii="Garamond" w:hAnsi="Garamond"/>
          <w:sz w:val="24"/>
          <w:szCs w:val="24"/>
          <w:lang w:val="sq-AL"/>
        </w:rPr>
        <w:t>r</w:t>
      </w:r>
      <w:r w:rsidR="006C0EED">
        <w:rPr>
          <w:rFonts w:ascii="Garamond" w:hAnsi="Garamond"/>
          <w:sz w:val="24"/>
          <w:szCs w:val="24"/>
          <w:lang w:val="sq-AL"/>
        </w:rPr>
        <w:t>”</w:t>
      </w:r>
      <w:r w:rsidRPr="006C0EED">
        <w:rPr>
          <w:rFonts w:ascii="Garamond" w:hAnsi="Garamond"/>
          <w:sz w:val="24"/>
          <w:szCs w:val="24"/>
          <w:lang w:val="sq-AL"/>
        </w:rPr>
        <w:t xml:space="preserve">, </w:t>
      </w:r>
      <w:r w:rsidR="006C0EED">
        <w:rPr>
          <w:rFonts w:ascii="Garamond" w:hAnsi="Garamond"/>
          <w:sz w:val="24"/>
          <w:szCs w:val="24"/>
          <w:lang w:val="sq-AL"/>
        </w:rPr>
        <w:t>të</w:t>
      </w:r>
      <w:r w:rsidR="006C0EED"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Pr="006C0EED">
        <w:rPr>
          <w:rFonts w:ascii="Garamond" w:hAnsi="Garamond"/>
          <w:sz w:val="24"/>
          <w:szCs w:val="24"/>
          <w:lang w:val="sq-AL"/>
        </w:rPr>
        <w:t xml:space="preserve">miratuar me </w:t>
      </w:r>
      <w:r w:rsidR="006C0EED">
        <w:rPr>
          <w:rFonts w:ascii="Garamond" w:hAnsi="Garamond"/>
          <w:sz w:val="24"/>
          <w:szCs w:val="24"/>
          <w:lang w:val="sq-AL"/>
        </w:rPr>
        <w:t>v</w:t>
      </w:r>
      <w:r w:rsidRPr="006C0EED">
        <w:rPr>
          <w:rFonts w:ascii="Garamond" w:hAnsi="Garamond"/>
          <w:sz w:val="24"/>
          <w:szCs w:val="24"/>
          <w:lang w:val="sq-AL"/>
        </w:rPr>
        <w:t xml:space="preserve">endimin e </w:t>
      </w:r>
      <w:r w:rsidR="006C0EED">
        <w:rPr>
          <w:rFonts w:ascii="Garamond" w:hAnsi="Garamond"/>
          <w:sz w:val="24"/>
          <w:szCs w:val="24"/>
          <w:lang w:val="sq-AL"/>
        </w:rPr>
        <w:t>B</w:t>
      </w:r>
      <w:r w:rsidRPr="006C0EED">
        <w:rPr>
          <w:rFonts w:ascii="Garamond" w:hAnsi="Garamond"/>
          <w:sz w:val="24"/>
          <w:szCs w:val="24"/>
          <w:lang w:val="sq-AL"/>
        </w:rPr>
        <w:t>ordit të ERE</w:t>
      </w:r>
      <w:r w:rsidR="006C0EED">
        <w:rPr>
          <w:rFonts w:ascii="Garamond" w:hAnsi="Garamond"/>
          <w:sz w:val="24"/>
          <w:szCs w:val="24"/>
          <w:lang w:val="sq-AL"/>
        </w:rPr>
        <w:t>-s</w:t>
      </w:r>
      <w:r w:rsidRPr="006C0EED">
        <w:rPr>
          <w:rFonts w:ascii="Garamond" w:hAnsi="Garamond"/>
          <w:sz w:val="24"/>
          <w:szCs w:val="24"/>
          <w:lang w:val="sq-AL"/>
        </w:rPr>
        <w:t xml:space="preserve"> nr. 203, datë 18.12.2017</w:t>
      </w:r>
      <w:bookmarkEnd w:id="1"/>
      <w:r w:rsidR="006C0EED">
        <w:rPr>
          <w:rFonts w:ascii="Garamond" w:hAnsi="Garamond"/>
          <w:sz w:val="24"/>
          <w:szCs w:val="24"/>
          <w:lang w:val="sq-AL"/>
        </w:rPr>
        <w:t>;</w:t>
      </w:r>
      <w:r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="006C0EED">
        <w:rPr>
          <w:rFonts w:ascii="Garamond" w:hAnsi="Garamond"/>
          <w:sz w:val="24"/>
          <w:szCs w:val="24"/>
          <w:lang w:val="sq-AL"/>
        </w:rPr>
        <w:t>“</w:t>
      </w:r>
      <w:r w:rsidRPr="006C0EED">
        <w:rPr>
          <w:rFonts w:ascii="Garamond" w:hAnsi="Garamond"/>
          <w:sz w:val="24"/>
          <w:szCs w:val="24"/>
          <w:lang w:val="sq-AL"/>
        </w:rPr>
        <w:t xml:space="preserve">Rregullave </w:t>
      </w:r>
      <w:r w:rsidR="006C0EED" w:rsidRPr="006C0EED">
        <w:rPr>
          <w:rFonts w:ascii="Garamond" w:hAnsi="Garamond"/>
          <w:sz w:val="24"/>
          <w:szCs w:val="24"/>
          <w:lang w:val="sq-AL"/>
        </w:rPr>
        <w:t>mbi kushtet e përgjithshme të shërbimit të furnizimit me gaz natyror për klientët fundor</w:t>
      </w:r>
      <w:r w:rsidR="006C0EED">
        <w:rPr>
          <w:rFonts w:ascii="Garamond" w:hAnsi="Garamond"/>
          <w:sz w:val="24"/>
          <w:szCs w:val="24"/>
          <w:lang w:val="sq-AL"/>
        </w:rPr>
        <w:t>”</w:t>
      </w:r>
      <w:r w:rsidRPr="006C0EED">
        <w:rPr>
          <w:rFonts w:ascii="Garamond" w:hAnsi="Garamond"/>
          <w:sz w:val="24"/>
          <w:szCs w:val="24"/>
          <w:lang w:val="sq-AL"/>
        </w:rPr>
        <w:t xml:space="preserve">, </w:t>
      </w:r>
      <w:r w:rsidR="006C0EED">
        <w:rPr>
          <w:rFonts w:ascii="Garamond" w:hAnsi="Garamond"/>
          <w:sz w:val="24"/>
          <w:szCs w:val="24"/>
          <w:lang w:val="sq-AL"/>
        </w:rPr>
        <w:t>të</w:t>
      </w:r>
      <w:r w:rsidR="006C0EED"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Pr="006C0EED">
        <w:rPr>
          <w:rFonts w:ascii="Garamond" w:hAnsi="Garamond"/>
          <w:sz w:val="24"/>
          <w:szCs w:val="24"/>
          <w:lang w:val="sq-AL"/>
        </w:rPr>
        <w:t xml:space="preserve">miratuar me </w:t>
      </w:r>
      <w:r w:rsidR="006C0EED">
        <w:rPr>
          <w:rFonts w:ascii="Garamond" w:hAnsi="Garamond"/>
          <w:sz w:val="24"/>
          <w:szCs w:val="24"/>
          <w:lang w:val="sq-AL"/>
        </w:rPr>
        <w:t>v</w:t>
      </w:r>
      <w:r w:rsidRPr="006C0EED">
        <w:rPr>
          <w:rFonts w:ascii="Garamond" w:hAnsi="Garamond"/>
          <w:sz w:val="24"/>
          <w:szCs w:val="24"/>
          <w:lang w:val="sq-AL"/>
        </w:rPr>
        <w:t xml:space="preserve">endimin e </w:t>
      </w:r>
      <w:r w:rsidR="006C0EED">
        <w:rPr>
          <w:rFonts w:ascii="Garamond" w:hAnsi="Garamond"/>
          <w:sz w:val="24"/>
          <w:szCs w:val="24"/>
          <w:lang w:val="sq-AL"/>
        </w:rPr>
        <w:t>Bordit të ERE-s nr. 161, datë 9.</w:t>
      </w:r>
      <w:r w:rsidRPr="006C0EED">
        <w:rPr>
          <w:rFonts w:ascii="Garamond" w:hAnsi="Garamond"/>
          <w:sz w:val="24"/>
          <w:szCs w:val="24"/>
          <w:lang w:val="sq-AL"/>
        </w:rPr>
        <w:t>7.2018</w:t>
      </w:r>
      <w:r w:rsidR="006C0EED">
        <w:rPr>
          <w:rFonts w:ascii="Garamond" w:hAnsi="Garamond"/>
          <w:sz w:val="24"/>
          <w:szCs w:val="24"/>
          <w:lang w:val="sq-AL"/>
        </w:rPr>
        <w:t>;</w:t>
      </w:r>
      <w:r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="006C0EED">
        <w:rPr>
          <w:rFonts w:ascii="Garamond" w:hAnsi="Garamond"/>
          <w:sz w:val="24"/>
          <w:szCs w:val="24"/>
          <w:lang w:val="sq-AL"/>
        </w:rPr>
        <w:t>“</w:t>
      </w:r>
      <w:r w:rsidRPr="006C0EED">
        <w:rPr>
          <w:rFonts w:ascii="Garamond" w:hAnsi="Garamond"/>
          <w:sz w:val="24"/>
          <w:szCs w:val="24"/>
          <w:lang w:val="sq-AL"/>
        </w:rPr>
        <w:t xml:space="preserve">Kushteve </w:t>
      </w:r>
      <w:r w:rsidR="006C0EED" w:rsidRPr="006C0EED">
        <w:rPr>
          <w:rFonts w:ascii="Garamond" w:hAnsi="Garamond"/>
          <w:sz w:val="24"/>
          <w:szCs w:val="24"/>
          <w:lang w:val="sq-AL"/>
        </w:rPr>
        <w:t>të përgjithshme të kontratës së</w:t>
      </w:r>
      <w:r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="006C0EED" w:rsidRPr="006C0EED">
        <w:rPr>
          <w:rFonts w:ascii="Garamond" w:hAnsi="Garamond"/>
          <w:sz w:val="24"/>
          <w:szCs w:val="24"/>
          <w:lang w:val="sq-AL"/>
        </w:rPr>
        <w:t>shërbimit universal të furnizimit me energji elektrike për klientët fundor</w:t>
      </w:r>
      <w:r w:rsidR="006C0EED">
        <w:rPr>
          <w:rFonts w:ascii="Garamond" w:hAnsi="Garamond"/>
          <w:sz w:val="24"/>
          <w:szCs w:val="24"/>
          <w:lang w:val="sq-AL"/>
        </w:rPr>
        <w:t>”</w:t>
      </w:r>
      <w:r w:rsidRPr="006C0EED">
        <w:rPr>
          <w:rFonts w:ascii="Garamond" w:hAnsi="Garamond"/>
          <w:sz w:val="24"/>
          <w:szCs w:val="24"/>
          <w:lang w:val="sq-AL"/>
        </w:rPr>
        <w:t xml:space="preserve">, </w:t>
      </w:r>
      <w:r w:rsidR="006C0EED">
        <w:rPr>
          <w:rFonts w:ascii="Garamond" w:hAnsi="Garamond"/>
          <w:sz w:val="24"/>
          <w:szCs w:val="24"/>
          <w:lang w:val="sq-AL"/>
        </w:rPr>
        <w:t>të</w:t>
      </w:r>
      <w:r w:rsidR="006C0EED"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Pr="006C0EED">
        <w:rPr>
          <w:rFonts w:ascii="Garamond" w:hAnsi="Garamond"/>
          <w:sz w:val="24"/>
          <w:szCs w:val="24"/>
          <w:lang w:val="sq-AL"/>
        </w:rPr>
        <w:t xml:space="preserve">miratuar me </w:t>
      </w:r>
      <w:r w:rsidR="006C0EED">
        <w:rPr>
          <w:rFonts w:ascii="Garamond" w:hAnsi="Garamond"/>
          <w:sz w:val="24"/>
          <w:szCs w:val="24"/>
          <w:lang w:val="sq-AL"/>
        </w:rPr>
        <w:t>v</w:t>
      </w:r>
      <w:r w:rsidRPr="006C0EED">
        <w:rPr>
          <w:rFonts w:ascii="Garamond" w:hAnsi="Garamond"/>
          <w:sz w:val="24"/>
          <w:szCs w:val="24"/>
          <w:lang w:val="sq-AL"/>
        </w:rPr>
        <w:t xml:space="preserve">endimin e </w:t>
      </w:r>
      <w:r w:rsidR="006C0EED" w:rsidRPr="006C0EED">
        <w:rPr>
          <w:rFonts w:ascii="Garamond" w:hAnsi="Garamond"/>
          <w:sz w:val="24"/>
          <w:szCs w:val="24"/>
          <w:lang w:val="sq-AL"/>
        </w:rPr>
        <w:t>B</w:t>
      </w:r>
      <w:r w:rsidR="006C0EED">
        <w:rPr>
          <w:rFonts w:ascii="Garamond" w:hAnsi="Garamond"/>
          <w:sz w:val="24"/>
          <w:szCs w:val="24"/>
          <w:lang w:val="sq-AL"/>
        </w:rPr>
        <w:t>ordit të ERE-s nr. 15, datë 10.</w:t>
      </w:r>
      <w:r w:rsidRPr="006C0EED">
        <w:rPr>
          <w:rFonts w:ascii="Garamond" w:hAnsi="Garamond"/>
          <w:sz w:val="24"/>
          <w:szCs w:val="24"/>
          <w:lang w:val="sq-AL"/>
        </w:rPr>
        <w:t xml:space="preserve">1.2018, </w:t>
      </w:r>
      <w:r w:rsidR="006C0EED">
        <w:rPr>
          <w:rFonts w:ascii="Garamond" w:hAnsi="Garamond"/>
          <w:sz w:val="24"/>
          <w:szCs w:val="24"/>
          <w:lang w:val="sq-AL"/>
        </w:rPr>
        <w:t>“</w:t>
      </w:r>
      <w:r w:rsidRPr="006C0EED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6C0EED" w:rsidRPr="006C0EED">
        <w:rPr>
          <w:rFonts w:ascii="Garamond" w:hAnsi="Garamond"/>
          <w:sz w:val="24"/>
          <w:szCs w:val="24"/>
          <w:lang w:val="sq-AL"/>
        </w:rPr>
        <w:t xml:space="preserve">kriteret standarde të cilësisë së shërbimit të furnizimit dhe </w:t>
      </w:r>
      <w:proofErr w:type="spellStart"/>
      <w:r w:rsidR="006C0EED" w:rsidRPr="006C0EED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6C0EED" w:rsidRPr="006C0EED">
        <w:rPr>
          <w:rFonts w:ascii="Garamond" w:hAnsi="Garamond"/>
          <w:sz w:val="24"/>
          <w:szCs w:val="24"/>
          <w:lang w:val="sq-AL"/>
        </w:rPr>
        <w:t xml:space="preserve"> së sigurisë së rrjetit të shpërndarjes së energjisë elektrike</w:t>
      </w:r>
      <w:r w:rsidR="006C0EED">
        <w:rPr>
          <w:rFonts w:ascii="Garamond" w:hAnsi="Garamond"/>
          <w:sz w:val="24"/>
          <w:szCs w:val="24"/>
          <w:lang w:val="sq-AL"/>
        </w:rPr>
        <w:t>”</w:t>
      </w:r>
      <w:r w:rsidRPr="006C0EED">
        <w:rPr>
          <w:rFonts w:ascii="Garamond" w:hAnsi="Garamond"/>
          <w:sz w:val="24"/>
          <w:szCs w:val="24"/>
          <w:lang w:val="sq-AL"/>
        </w:rPr>
        <w:t xml:space="preserve">, </w:t>
      </w:r>
      <w:r w:rsidR="006C0EED">
        <w:rPr>
          <w:rFonts w:ascii="Garamond" w:hAnsi="Garamond"/>
          <w:sz w:val="24"/>
          <w:szCs w:val="24"/>
          <w:lang w:val="sq-AL"/>
        </w:rPr>
        <w:t>të</w:t>
      </w:r>
      <w:r w:rsidR="006C0EED"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Pr="006C0EED">
        <w:rPr>
          <w:rFonts w:ascii="Garamond" w:hAnsi="Garamond"/>
          <w:sz w:val="24"/>
          <w:szCs w:val="24"/>
          <w:lang w:val="sq-AL"/>
        </w:rPr>
        <w:t xml:space="preserve">miratuar me </w:t>
      </w:r>
      <w:r w:rsidR="006C0EED">
        <w:rPr>
          <w:rFonts w:ascii="Garamond" w:hAnsi="Garamond"/>
          <w:sz w:val="24"/>
          <w:szCs w:val="24"/>
          <w:lang w:val="sq-AL"/>
        </w:rPr>
        <w:t>v</w:t>
      </w:r>
      <w:r w:rsidRPr="006C0EED">
        <w:rPr>
          <w:rFonts w:ascii="Garamond" w:hAnsi="Garamond"/>
          <w:sz w:val="24"/>
          <w:szCs w:val="24"/>
          <w:lang w:val="sq-AL"/>
        </w:rPr>
        <w:t>endimin e ERE-s nr. 181, datë 10.11.2017</w:t>
      </w:r>
      <w:r w:rsidR="006C0EED">
        <w:rPr>
          <w:rFonts w:ascii="Garamond" w:hAnsi="Garamond"/>
          <w:sz w:val="24"/>
          <w:szCs w:val="24"/>
          <w:lang w:val="sq-AL"/>
        </w:rPr>
        <w:t>;</w:t>
      </w:r>
      <w:r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="006C0EED">
        <w:rPr>
          <w:rFonts w:ascii="Garamond" w:hAnsi="Garamond"/>
          <w:sz w:val="24"/>
          <w:szCs w:val="24"/>
          <w:lang w:val="sq-AL"/>
        </w:rPr>
        <w:t>të</w:t>
      </w:r>
      <w:r w:rsidR="006C0EED"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Pr="006C0EED">
        <w:rPr>
          <w:rFonts w:ascii="Garamond" w:hAnsi="Garamond"/>
          <w:sz w:val="24"/>
          <w:szCs w:val="24"/>
          <w:lang w:val="sq-AL"/>
        </w:rPr>
        <w:t>neneve 15 dhe 26</w:t>
      </w:r>
      <w:r w:rsidR="006C0EED">
        <w:rPr>
          <w:rFonts w:ascii="Garamond" w:hAnsi="Garamond"/>
          <w:sz w:val="24"/>
          <w:szCs w:val="24"/>
          <w:lang w:val="sq-AL"/>
        </w:rPr>
        <w:t>m</w:t>
      </w:r>
      <w:r w:rsidRPr="006C0EED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</w:t>
      </w:r>
      <w:r w:rsidR="006C0EED">
        <w:rPr>
          <w:rFonts w:ascii="Garamond" w:hAnsi="Garamond"/>
          <w:sz w:val="24"/>
          <w:szCs w:val="24"/>
          <w:lang w:val="sq-AL"/>
        </w:rPr>
        <w:t>të</w:t>
      </w:r>
      <w:r w:rsidR="006C0EED"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Pr="006C0EED">
        <w:rPr>
          <w:rFonts w:ascii="Garamond" w:hAnsi="Garamond"/>
          <w:sz w:val="24"/>
          <w:szCs w:val="24"/>
          <w:lang w:val="sq-AL"/>
        </w:rPr>
        <w:t xml:space="preserve">miratuar me </w:t>
      </w:r>
      <w:r w:rsidR="006C0EED">
        <w:rPr>
          <w:rFonts w:ascii="Garamond" w:hAnsi="Garamond"/>
          <w:sz w:val="24"/>
          <w:szCs w:val="24"/>
          <w:lang w:val="sq-AL"/>
        </w:rPr>
        <w:t>v</w:t>
      </w:r>
      <w:r w:rsidRPr="006C0EED">
        <w:rPr>
          <w:rFonts w:ascii="Garamond" w:hAnsi="Garamond"/>
          <w:sz w:val="24"/>
          <w:szCs w:val="24"/>
          <w:lang w:val="sq-AL"/>
        </w:rPr>
        <w:t xml:space="preserve">endimin e </w:t>
      </w:r>
      <w:r w:rsidR="006C0EED" w:rsidRPr="006C0EED">
        <w:rPr>
          <w:rFonts w:ascii="Garamond" w:hAnsi="Garamond"/>
          <w:sz w:val="24"/>
          <w:szCs w:val="24"/>
          <w:lang w:val="sq-AL"/>
        </w:rPr>
        <w:t>B</w:t>
      </w:r>
      <w:r w:rsidR="006C0EED">
        <w:rPr>
          <w:rFonts w:ascii="Garamond" w:hAnsi="Garamond"/>
          <w:sz w:val="24"/>
          <w:szCs w:val="24"/>
          <w:lang w:val="sq-AL"/>
        </w:rPr>
        <w:t>ordit të ERE-s nr. 96, datë 3.</w:t>
      </w:r>
      <w:r w:rsidRPr="006C0EED">
        <w:rPr>
          <w:rFonts w:ascii="Garamond" w:hAnsi="Garamond"/>
          <w:sz w:val="24"/>
          <w:szCs w:val="24"/>
          <w:lang w:val="sq-AL"/>
        </w:rPr>
        <w:t>9.2016</w:t>
      </w:r>
      <w:r w:rsidR="006C0EED">
        <w:rPr>
          <w:rFonts w:ascii="Garamond" w:hAnsi="Garamond"/>
          <w:sz w:val="24"/>
          <w:szCs w:val="24"/>
          <w:lang w:val="sq-AL"/>
        </w:rPr>
        <w:t>;</w:t>
      </w:r>
      <w:r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="006C0EED" w:rsidRPr="006C0EED">
        <w:rPr>
          <w:rFonts w:ascii="Garamond" w:hAnsi="Garamond"/>
          <w:sz w:val="24"/>
          <w:szCs w:val="24"/>
          <w:lang w:val="sq-AL"/>
        </w:rPr>
        <w:t>B</w:t>
      </w:r>
      <w:r w:rsidRPr="006C0EED">
        <w:rPr>
          <w:rFonts w:ascii="Garamond" w:hAnsi="Garamond"/>
          <w:sz w:val="24"/>
          <w:szCs w:val="24"/>
          <w:lang w:val="sq-AL"/>
        </w:rPr>
        <w:t xml:space="preserve">ordi i Entit Rregullator të Energjisë (ERE), në mbledhjen e tij të datës 15.12.2020, mbasi shqyrtoi relacionin nr. 132/5 </w:t>
      </w:r>
      <w:proofErr w:type="spellStart"/>
      <w:r w:rsidR="006C0EED">
        <w:rPr>
          <w:rFonts w:ascii="Garamond" w:hAnsi="Garamond"/>
          <w:sz w:val="24"/>
          <w:szCs w:val="24"/>
          <w:lang w:val="sq-AL"/>
        </w:rPr>
        <w:t>p</w:t>
      </w:r>
      <w:r w:rsidRPr="006C0EED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6C0EED">
        <w:rPr>
          <w:rFonts w:ascii="Garamond" w:hAnsi="Garamond"/>
          <w:sz w:val="24"/>
          <w:szCs w:val="24"/>
          <w:lang w:val="sq-AL"/>
        </w:rPr>
        <w:t>.</w:t>
      </w:r>
      <w:r w:rsidRPr="006C0EED">
        <w:rPr>
          <w:rFonts w:ascii="Garamond" w:hAnsi="Garamond"/>
          <w:sz w:val="24"/>
          <w:szCs w:val="24"/>
          <w:lang w:val="sq-AL"/>
        </w:rPr>
        <w:t xml:space="preserve">, datë 11.12.2020, të Drejtorisë Juridike dhe Zgjidhjes së Mosmarrëveshjeve dhe Drejtorisë së Mbrojtjes së Konsumatorit, </w:t>
      </w:r>
      <w:proofErr w:type="spellStart"/>
      <w:r w:rsidRPr="006C0EED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Pr="006C0EED">
        <w:rPr>
          <w:rFonts w:ascii="Garamond" w:hAnsi="Garamond"/>
          <w:sz w:val="24"/>
          <w:szCs w:val="24"/>
          <w:lang w:val="sq-AL"/>
        </w:rPr>
        <w:t xml:space="preserve"> dhe Standardeve,</w:t>
      </w:r>
    </w:p>
    <w:p w14:paraId="753D6ED4" w14:textId="61066BDF" w:rsidR="00D12944" w:rsidRPr="006C0EED" w:rsidRDefault="006C0EED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D12944" w:rsidRPr="006C0EED">
        <w:rPr>
          <w:rFonts w:ascii="Garamond" w:hAnsi="Garamond"/>
          <w:sz w:val="24"/>
          <w:szCs w:val="24"/>
          <w:lang w:val="sq-AL"/>
        </w:rPr>
        <w:t>onstatoi se:</w:t>
      </w:r>
    </w:p>
    <w:p w14:paraId="18DFE6E7" w14:textId="114C96C2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 xml:space="preserve">- Qëllimi i </w:t>
      </w:r>
      <w:r w:rsidR="006C0EED" w:rsidRPr="006C0EED">
        <w:rPr>
          <w:rFonts w:ascii="Garamond" w:hAnsi="Garamond"/>
          <w:sz w:val="24"/>
          <w:szCs w:val="24"/>
          <w:lang w:val="sq-AL"/>
        </w:rPr>
        <w:t xml:space="preserve">standardeve të trajtimit të ankesave të klientëve të energjisë elektrike </w:t>
      </w:r>
      <w:r w:rsidRPr="006C0EED">
        <w:rPr>
          <w:rFonts w:ascii="Garamond" w:hAnsi="Garamond"/>
          <w:sz w:val="24"/>
          <w:szCs w:val="24"/>
          <w:lang w:val="sq-AL"/>
        </w:rPr>
        <w:t xml:space="preserve">nga të </w:t>
      </w:r>
      <w:r w:rsidR="006C0EED" w:rsidRPr="006C0EED">
        <w:rPr>
          <w:rFonts w:ascii="Garamond" w:hAnsi="Garamond"/>
          <w:sz w:val="24"/>
          <w:szCs w:val="24"/>
          <w:lang w:val="sq-AL"/>
        </w:rPr>
        <w:t>licencuarit në aktivitetin e furnizimit të energjisë elektrike</w:t>
      </w:r>
      <w:r w:rsidRPr="006C0EED">
        <w:rPr>
          <w:rFonts w:ascii="Garamond" w:hAnsi="Garamond"/>
          <w:sz w:val="24"/>
          <w:szCs w:val="24"/>
          <w:lang w:val="sq-AL"/>
        </w:rPr>
        <w:t xml:space="preserve"> (në vijim </w:t>
      </w:r>
      <w:r w:rsidR="006C0EED">
        <w:rPr>
          <w:rFonts w:ascii="Garamond" w:hAnsi="Garamond"/>
          <w:sz w:val="24"/>
          <w:szCs w:val="24"/>
          <w:lang w:val="sq-AL"/>
        </w:rPr>
        <w:t>s</w:t>
      </w:r>
      <w:r w:rsidRPr="006C0EED">
        <w:rPr>
          <w:rFonts w:ascii="Garamond" w:hAnsi="Garamond"/>
          <w:sz w:val="24"/>
          <w:szCs w:val="24"/>
          <w:lang w:val="sq-AL"/>
        </w:rPr>
        <w:t xml:space="preserve">tandardet) është sigurimi i një procesi të drejtë dhe efektiv të trajtimit të ankesave të klientëve të energjisë elektrike dhe gazit natyror, në mënyrë që të përmirësohet cilësia e shërbimit të furnizimit me energji dhe gaz dhe të rritet besimi dhe pëlqimi i klientëve për këtë shërbim të ofruar nga të licencuarit. </w:t>
      </w:r>
    </w:p>
    <w:p w14:paraId="60A9F93E" w14:textId="6082D15B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 xml:space="preserve">- Objekti </w:t>
      </w:r>
      <w:r w:rsidR="006C0EED" w:rsidRPr="006C0EED">
        <w:rPr>
          <w:rFonts w:ascii="Garamond" w:hAnsi="Garamond"/>
          <w:sz w:val="24"/>
          <w:szCs w:val="24"/>
          <w:lang w:val="sq-AL"/>
        </w:rPr>
        <w:t>i s</w:t>
      </w:r>
      <w:r w:rsidRPr="006C0EED">
        <w:rPr>
          <w:rFonts w:ascii="Garamond" w:hAnsi="Garamond"/>
          <w:sz w:val="24"/>
          <w:szCs w:val="24"/>
          <w:lang w:val="sq-AL"/>
        </w:rPr>
        <w:t xml:space="preserve">tandardeve është përcaktimi i kushteve të përgjithshme për trajtimin e ankesave dhe kërkesave të klientëve të energjisë elektrike dhe gazit natyror nga të licencuarit, për aktivitetin e shpërndarjes dhe furnizimit me pakicë të energjisë elektrike dhe </w:t>
      </w:r>
      <w:r w:rsidR="006C0EED">
        <w:rPr>
          <w:rFonts w:ascii="Garamond" w:hAnsi="Garamond"/>
          <w:sz w:val="24"/>
          <w:szCs w:val="24"/>
          <w:lang w:val="sq-AL"/>
        </w:rPr>
        <w:t>të</w:t>
      </w:r>
      <w:r w:rsidR="006C0EED" w:rsidRPr="006C0EED">
        <w:rPr>
          <w:rFonts w:ascii="Garamond" w:hAnsi="Garamond"/>
          <w:sz w:val="24"/>
          <w:szCs w:val="24"/>
          <w:lang w:val="sq-AL"/>
        </w:rPr>
        <w:t xml:space="preserve"> </w:t>
      </w:r>
      <w:r w:rsidRPr="006C0EED">
        <w:rPr>
          <w:rFonts w:ascii="Garamond" w:hAnsi="Garamond"/>
          <w:sz w:val="24"/>
          <w:szCs w:val="24"/>
          <w:lang w:val="sq-AL"/>
        </w:rPr>
        <w:t>furnizimit me gaz natyror.</w:t>
      </w:r>
    </w:p>
    <w:p w14:paraId="73CBAABE" w14:textId="058F103D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 xml:space="preserve">- Në kuadër të parimit të informimit, </w:t>
      </w:r>
      <w:r w:rsidR="006C0EED">
        <w:rPr>
          <w:rFonts w:ascii="Garamond" w:hAnsi="Garamond"/>
          <w:sz w:val="24"/>
          <w:szCs w:val="24"/>
          <w:lang w:val="sq-AL"/>
        </w:rPr>
        <w:t>standardet</w:t>
      </w:r>
      <w:r w:rsidRPr="006C0EED">
        <w:rPr>
          <w:rFonts w:ascii="Garamond" w:hAnsi="Garamond"/>
          <w:sz w:val="24"/>
          <w:szCs w:val="24"/>
          <w:lang w:val="sq-AL"/>
        </w:rPr>
        <w:t xml:space="preserve"> përcaktojnë detyrimin e furnizuesit për t’i vënë në dispozicion klientit, ankuesit apo palëve të tjera të interesuara në mënyrë sa më lehtësisht të </w:t>
      </w:r>
      <w:proofErr w:type="spellStart"/>
      <w:r w:rsidRPr="006C0EED">
        <w:rPr>
          <w:rFonts w:ascii="Garamond" w:hAnsi="Garamond"/>
          <w:sz w:val="24"/>
          <w:szCs w:val="24"/>
          <w:lang w:val="sq-AL"/>
        </w:rPr>
        <w:t>disponueshme</w:t>
      </w:r>
      <w:proofErr w:type="spellEnd"/>
      <w:r w:rsidRPr="006C0EED">
        <w:rPr>
          <w:rFonts w:ascii="Garamond" w:hAnsi="Garamond"/>
          <w:sz w:val="24"/>
          <w:szCs w:val="24"/>
          <w:lang w:val="sq-AL"/>
        </w:rPr>
        <w:t xml:space="preserve"> informacionin minimal të nevojshëm për procedurat e trajtimit të ankesave, i cili duhet të pasqyrohet dukshëm në faturën e konsumit të energjisë elektrike. </w:t>
      </w:r>
    </w:p>
    <w:p w14:paraId="67623874" w14:textId="384F3E48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>- Standardet përcaktojnë se, ankesa do të regjistrohet në format elektronik apo të shkruar menjëherë pas pranimit të saj</w:t>
      </w:r>
      <w:r w:rsidR="006C0EED">
        <w:rPr>
          <w:rFonts w:ascii="Garamond" w:hAnsi="Garamond"/>
          <w:sz w:val="24"/>
          <w:szCs w:val="24"/>
          <w:lang w:val="sq-AL"/>
        </w:rPr>
        <w:t>,</w:t>
      </w:r>
      <w:r w:rsidRPr="006C0EED">
        <w:rPr>
          <w:rFonts w:ascii="Garamond" w:hAnsi="Garamond"/>
          <w:sz w:val="24"/>
          <w:szCs w:val="24"/>
          <w:lang w:val="sq-AL"/>
        </w:rPr>
        <w:t xml:space="preserve"> si dhe parashikon elementët të cilët do të përfshihen në të, si: kodi unik identifikues, mënyra e paraqitjes së ankesës, vendndodhja e objektit dhe data e paraqitjes s</w:t>
      </w:r>
      <w:r w:rsidR="006C0EED">
        <w:rPr>
          <w:rFonts w:ascii="Garamond" w:hAnsi="Garamond"/>
          <w:sz w:val="24"/>
          <w:szCs w:val="24"/>
          <w:lang w:val="sq-AL"/>
        </w:rPr>
        <w:t>ë</w:t>
      </w:r>
      <w:r w:rsidRPr="006C0EED">
        <w:rPr>
          <w:rFonts w:ascii="Garamond" w:hAnsi="Garamond"/>
          <w:sz w:val="24"/>
          <w:szCs w:val="24"/>
          <w:lang w:val="sq-AL"/>
        </w:rPr>
        <w:t xml:space="preserve"> ankesës, identiteti i parashtruesit të ankesës dhe detajet e kontaktit të tij, një përmbledhje të ankesës, kategorizimi i llojit të klientit apo klientit sipas nivelit të tensionit dhe tarifave, lloji i ankesës</w:t>
      </w:r>
      <w:r w:rsidR="006C0EED">
        <w:rPr>
          <w:rFonts w:ascii="Garamond" w:hAnsi="Garamond"/>
          <w:sz w:val="24"/>
          <w:szCs w:val="24"/>
          <w:lang w:val="sq-AL"/>
        </w:rPr>
        <w:t>,</w:t>
      </w:r>
      <w:r w:rsidRPr="006C0EED">
        <w:rPr>
          <w:rFonts w:ascii="Garamond" w:hAnsi="Garamond"/>
          <w:sz w:val="24"/>
          <w:szCs w:val="24"/>
          <w:lang w:val="sq-AL"/>
        </w:rPr>
        <w:t xml:space="preserve"> si dhe informacioni nëse klienti është ankuar më parë apo jo për të njëjtin objekt ankimi për të cilin bëhet ankesa.</w:t>
      </w:r>
    </w:p>
    <w:p w14:paraId="3E1C96AD" w14:textId="0D6B86F8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 xml:space="preserve">- Në këto </w:t>
      </w:r>
      <w:r w:rsidR="006C0EED">
        <w:rPr>
          <w:rFonts w:ascii="Garamond" w:hAnsi="Garamond"/>
          <w:sz w:val="24"/>
          <w:szCs w:val="24"/>
          <w:lang w:val="sq-AL"/>
        </w:rPr>
        <w:t>s</w:t>
      </w:r>
      <w:r w:rsidRPr="006C0EED">
        <w:rPr>
          <w:rFonts w:ascii="Garamond" w:hAnsi="Garamond"/>
          <w:sz w:val="24"/>
          <w:szCs w:val="24"/>
          <w:lang w:val="sq-AL"/>
        </w:rPr>
        <w:t xml:space="preserve">tandarde parashikohen gjithashtu elementë si: </w:t>
      </w:r>
      <w:r w:rsidR="006C0EED" w:rsidRPr="006C0EED">
        <w:rPr>
          <w:rFonts w:ascii="Garamond" w:hAnsi="Garamond"/>
          <w:sz w:val="24"/>
          <w:szCs w:val="24"/>
          <w:lang w:val="sq-AL"/>
        </w:rPr>
        <w:t>pajisja</w:t>
      </w:r>
      <w:r w:rsidRPr="006C0EED">
        <w:rPr>
          <w:rFonts w:ascii="Garamond" w:hAnsi="Garamond"/>
          <w:sz w:val="24"/>
          <w:szCs w:val="24"/>
          <w:lang w:val="sq-AL"/>
        </w:rPr>
        <w:t xml:space="preserve"> e klientit me kodin unik të identifikimit, procedurat që ndiqen në rastin e marrjes s</w:t>
      </w:r>
      <w:r w:rsidR="00B224CB">
        <w:rPr>
          <w:rFonts w:ascii="Garamond" w:hAnsi="Garamond"/>
          <w:sz w:val="24"/>
          <w:szCs w:val="24"/>
          <w:lang w:val="sq-AL"/>
        </w:rPr>
        <w:t>ë</w:t>
      </w:r>
      <w:bookmarkStart w:id="2" w:name="_GoBack"/>
      <w:bookmarkEnd w:id="2"/>
      <w:r w:rsidRPr="006C0EED">
        <w:rPr>
          <w:rFonts w:ascii="Garamond" w:hAnsi="Garamond"/>
          <w:sz w:val="24"/>
          <w:szCs w:val="24"/>
          <w:lang w:val="sq-AL"/>
        </w:rPr>
        <w:t xml:space="preserve"> ankesës personalisht ose me anë të telefonit nga ana e personit të ngarkuar nga i licencuari</w:t>
      </w:r>
      <w:r w:rsidR="006C0EED">
        <w:rPr>
          <w:rFonts w:ascii="Garamond" w:hAnsi="Garamond"/>
          <w:sz w:val="24"/>
          <w:szCs w:val="24"/>
          <w:lang w:val="sq-AL"/>
        </w:rPr>
        <w:t>,</w:t>
      </w:r>
      <w:r w:rsidRPr="006C0EED">
        <w:rPr>
          <w:rFonts w:ascii="Garamond" w:hAnsi="Garamond"/>
          <w:sz w:val="24"/>
          <w:szCs w:val="24"/>
          <w:lang w:val="sq-AL"/>
        </w:rPr>
        <w:t xml:space="preserve"> si dhe rastin kur ankesa është pranuar me postë. Në </w:t>
      </w:r>
      <w:r w:rsidRPr="006C0EED">
        <w:rPr>
          <w:rFonts w:ascii="Garamond" w:hAnsi="Garamond"/>
          <w:sz w:val="24"/>
          <w:szCs w:val="24"/>
          <w:lang w:val="sq-AL"/>
        </w:rPr>
        <w:lastRenderedPageBreak/>
        <w:t xml:space="preserve">të </w:t>
      </w:r>
      <w:r w:rsidR="00B224CB" w:rsidRPr="006C0EED">
        <w:rPr>
          <w:rFonts w:ascii="Garamond" w:hAnsi="Garamond"/>
          <w:sz w:val="24"/>
          <w:szCs w:val="24"/>
          <w:lang w:val="sq-AL"/>
        </w:rPr>
        <w:t>tri</w:t>
      </w:r>
      <w:r w:rsidR="00B224CB">
        <w:rPr>
          <w:rFonts w:ascii="Garamond" w:hAnsi="Garamond"/>
          <w:sz w:val="24"/>
          <w:szCs w:val="24"/>
          <w:lang w:val="sq-AL"/>
        </w:rPr>
        <w:t>a</w:t>
      </w:r>
      <w:r w:rsidRPr="006C0EED">
        <w:rPr>
          <w:rFonts w:ascii="Garamond" w:hAnsi="Garamond"/>
          <w:sz w:val="24"/>
          <w:szCs w:val="24"/>
          <w:lang w:val="sq-AL"/>
        </w:rPr>
        <w:t xml:space="preserve"> këto raste klienti do të informohet sa i përket veprimit të propozuar për zgjidhjen e ankesës, datën e parashikuar për zgjidhjen e saj</w:t>
      </w:r>
      <w:r w:rsidR="006C0EED">
        <w:rPr>
          <w:rFonts w:ascii="Garamond" w:hAnsi="Garamond"/>
          <w:sz w:val="24"/>
          <w:szCs w:val="24"/>
          <w:lang w:val="sq-AL"/>
        </w:rPr>
        <w:t>,</w:t>
      </w:r>
      <w:r w:rsidRPr="006C0EED">
        <w:rPr>
          <w:rFonts w:ascii="Garamond" w:hAnsi="Garamond"/>
          <w:sz w:val="24"/>
          <w:szCs w:val="24"/>
          <w:lang w:val="sq-AL"/>
        </w:rPr>
        <w:t xml:space="preserve"> si dhe mënyrën e komunikimit që do të ndiqet në vazhdimësi me ankuesin.</w:t>
      </w:r>
    </w:p>
    <w:p w14:paraId="69CD5133" w14:textId="454C8625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 xml:space="preserve">- Në lidhje me detyrimet që rrjedhin ndaj të licencuarit për zgjidhjen e ankesës, </w:t>
      </w:r>
      <w:r w:rsidR="006C0EED">
        <w:rPr>
          <w:rFonts w:ascii="Garamond" w:hAnsi="Garamond"/>
          <w:sz w:val="24"/>
          <w:szCs w:val="24"/>
          <w:lang w:val="sq-AL"/>
        </w:rPr>
        <w:t>s</w:t>
      </w:r>
      <w:r w:rsidRPr="006C0EED">
        <w:rPr>
          <w:rFonts w:ascii="Garamond" w:hAnsi="Garamond"/>
          <w:sz w:val="24"/>
          <w:szCs w:val="24"/>
          <w:lang w:val="sq-AL"/>
        </w:rPr>
        <w:t>tandardet parashikojnë hetimin dhe verifikimin e të gjithë rrethanave dhe të dhënave lidhur me ankesën e regjistruar</w:t>
      </w:r>
      <w:r w:rsidR="006C0EED">
        <w:rPr>
          <w:rFonts w:ascii="Garamond" w:hAnsi="Garamond"/>
          <w:sz w:val="24"/>
          <w:szCs w:val="24"/>
          <w:lang w:val="sq-AL"/>
        </w:rPr>
        <w:t>,</w:t>
      </w:r>
      <w:r w:rsidRPr="006C0EED">
        <w:rPr>
          <w:rFonts w:ascii="Garamond" w:hAnsi="Garamond"/>
          <w:sz w:val="24"/>
          <w:szCs w:val="24"/>
          <w:lang w:val="sq-AL"/>
        </w:rPr>
        <w:t xml:space="preserve"> si dhe kërkimin e informacionit shtesë tek ankuesi</w:t>
      </w:r>
      <w:r w:rsidR="006C0EED">
        <w:rPr>
          <w:rFonts w:ascii="Garamond" w:hAnsi="Garamond"/>
          <w:sz w:val="24"/>
          <w:szCs w:val="24"/>
          <w:lang w:val="sq-AL"/>
        </w:rPr>
        <w:t>,</w:t>
      </w:r>
      <w:r w:rsidRPr="006C0EED">
        <w:rPr>
          <w:rFonts w:ascii="Garamond" w:hAnsi="Garamond"/>
          <w:sz w:val="24"/>
          <w:szCs w:val="24"/>
          <w:lang w:val="sq-AL"/>
        </w:rPr>
        <w:t xml:space="preserve"> brenda 5 ditëve punë pas miratimit të ankesës</w:t>
      </w:r>
      <w:r w:rsidR="006C0EED">
        <w:rPr>
          <w:rFonts w:ascii="Garamond" w:hAnsi="Garamond"/>
          <w:sz w:val="24"/>
          <w:szCs w:val="24"/>
          <w:lang w:val="sq-AL"/>
        </w:rPr>
        <w:t>,</w:t>
      </w:r>
      <w:r w:rsidRPr="006C0EED">
        <w:rPr>
          <w:rFonts w:ascii="Garamond" w:hAnsi="Garamond"/>
          <w:sz w:val="24"/>
          <w:szCs w:val="24"/>
          <w:lang w:val="sq-AL"/>
        </w:rPr>
        <w:t xml:space="preserve"> dhe më pas informimin e ankuesit për veprimet e ndërmarra për të zgjidhur ankesën</w:t>
      </w:r>
      <w:r w:rsidR="006C0EED">
        <w:rPr>
          <w:rFonts w:ascii="Garamond" w:hAnsi="Garamond"/>
          <w:sz w:val="24"/>
          <w:szCs w:val="24"/>
          <w:lang w:val="sq-AL"/>
        </w:rPr>
        <w:t>, si dhe</w:t>
      </w:r>
      <w:r w:rsidRPr="006C0EED">
        <w:rPr>
          <w:rFonts w:ascii="Garamond" w:hAnsi="Garamond"/>
          <w:sz w:val="24"/>
          <w:szCs w:val="24"/>
          <w:lang w:val="sq-AL"/>
        </w:rPr>
        <w:t xml:space="preserve"> në rastin kur ankesa rezulton e drejtë, kryeja e veprimeve korrigjuese apo kompensimit të klientit në përputhje me legjislacionin n</w:t>
      </w:r>
      <w:r w:rsidR="00B224CB">
        <w:rPr>
          <w:rFonts w:ascii="Garamond" w:hAnsi="Garamond"/>
          <w:sz w:val="24"/>
          <w:szCs w:val="24"/>
          <w:lang w:val="sq-AL"/>
        </w:rPr>
        <w:t>ë</w:t>
      </w:r>
      <w:r w:rsidRPr="006C0EED">
        <w:rPr>
          <w:rFonts w:ascii="Garamond" w:hAnsi="Garamond"/>
          <w:sz w:val="24"/>
          <w:szCs w:val="24"/>
          <w:lang w:val="sq-AL"/>
        </w:rPr>
        <w:t xml:space="preserve"> fuqi.</w:t>
      </w:r>
    </w:p>
    <w:p w14:paraId="04B0F004" w14:textId="6A2F80BD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 xml:space="preserve">- Lidhur me paraqitjen e ankesës në ERE nga ana e çdo klienti, </w:t>
      </w:r>
      <w:r w:rsidR="006C0EED">
        <w:rPr>
          <w:rFonts w:ascii="Garamond" w:hAnsi="Garamond"/>
          <w:sz w:val="24"/>
          <w:szCs w:val="24"/>
          <w:lang w:val="sq-AL"/>
        </w:rPr>
        <w:t>s</w:t>
      </w:r>
      <w:r w:rsidRPr="006C0EED">
        <w:rPr>
          <w:rFonts w:ascii="Garamond" w:hAnsi="Garamond"/>
          <w:sz w:val="24"/>
          <w:szCs w:val="24"/>
          <w:lang w:val="sq-AL"/>
        </w:rPr>
        <w:t>tandardet përcaktojnë se një hap i tillë mund të ndërmerret në dy raste, kur: a</w:t>
      </w:r>
      <w:r w:rsidR="006C0EED">
        <w:rPr>
          <w:rFonts w:ascii="Garamond" w:hAnsi="Garamond"/>
          <w:sz w:val="24"/>
          <w:szCs w:val="24"/>
          <w:lang w:val="sq-AL"/>
        </w:rPr>
        <w:t>)</w:t>
      </w:r>
      <w:r w:rsidRPr="006C0EED">
        <w:rPr>
          <w:rFonts w:ascii="Garamond" w:hAnsi="Garamond"/>
          <w:sz w:val="24"/>
          <w:szCs w:val="24"/>
          <w:lang w:val="sq-AL"/>
        </w:rPr>
        <w:t xml:space="preserve"> ka përfunduar procedurën e trajtimit t</w:t>
      </w:r>
      <w:r w:rsidR="006C0EED">
        <w:rPr>
          <w:rFonts w:ascii="Garamond" w:hAnsi="Garamond"/>
          <w:sz w:val="24"/>
          <w:szCs w:val="24"/>
          <w:lang w:val="sq-AL"/>
        </w:rPr>
        <w:t>ë</w:t>
      </w:r>
      <w:r w:rsidRPr="006C0EED">
        <w:rPr>
          <w:rFonts w:ascii="Garamond" w:hAnsi="Garamond"/>
          <w:sz w:val="24"/>
          <w:szCs w:val="24"/>
          <w:lang w:val="sq-AL"/>
        </w:rPr>
        <w:t xml:space="preserve"> ankesave pranë të licencuarit dhe nuk mbetet i kënaqur nga përgjigja e dhëne prej tij</w:t>
      </w:r>
      <w:r w:rsidR="006C0EED">
        <w:rPr>
          <w:rFonts w:ascii="Garamond" w:hAnsi="Garamond"/>
          <w:sz w:val="24"/>
          <w:szCs w:val="24"/>
          <w:lang w:val="sq-AL"/>
        </w:rPr>
        <w:t>;</w:t>
      </w:r>
      <w:r w:rsidRPr="006C0EED">
        <w:rPr>
          <w:rFonts w:ascii="Garamond" w:hAnsi="Garamond"/>
          <w:sz w:val="24"/>
          <w:szCs w:val="24"/>
          <w:lang w:val="sq-AL"/>
        </w:rPr>
        <w:t xml:space="preserve"> si dhe b</w:t>
      </w:r>
      <w:r w:rsidR="006C0EED">
        <w:rPr>
          <w:rFonts w:ascii="Garamond" w:hAnsi="Garamond"/>
          <w:sz w:val="24"/>
          <w:szCs w:val="24"/>
          <w:lang w:val="sq-AL"/>
        </w:rPr>
        <w:t>)</w:t>
      </w:r>
      <w:r w:rsidRPr="006C0EED">
        <w:rPr>
          <w:rFonts w:ascii="Garamond" w:hAnsi="Garamond"/>
          <w:sz w:val="24"/>
          <w:szCs w:val="24"/>
          <w:lang w:val="sq-AL"/>
        </w:rPr>
        <w:t xml:space="preserve"> në rast se ankuesi nuk merr një përgjigje nga i licencuari brenda afatit të parashikuar.</w:t>
      </w:r>
    </w:p>
    <w:p w14:paraId="12F47ECE" w14:textId="0B67AE17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>- Standardet parashikojnë gjithashtu detyrimin e të licencuarit për rishikimin në mënyrë të vazhdueshme të procedurave të brendshme të trajtimit të ankesave, me qëllim që të përmirësohet efektiviteti i procesit të trajtimit të tyre. Gjithashtu, i licencuari duhet të ndërmarr</w:t>
      </w:r>
      <w:r w:rsidR="006C0EED">
        <w:rPr>
          <w:rFonts w:ascii="Garamond" w:hAnsi="Garamond"/>
          <w:sz w:val="24"/>
          <w:szCs w:val="24"/>
          <w:lang w:val="sq-AL"/>
        </w:rPr>
        <w:t>ë</w:t>
      </w:r>
      <w:r w:rsidRPr="006C0EED">
        <w:rPr>
          <w:rFonts w:ascii="Garamond" w:hAnsi="Garamond"/>
          <w:sz w:val="24"/>
          <w:szCs w:val="24"/>
          <w:lang w:val="sq-AL"/>
        </w:rPr>
        <w:t xml:space="preserve"> veprimet e duhura për të eliminuar shkaqet e problemeve ekzistuese të cilat kanë ndikuar ose në të ardhmen mund të vazhdojnë të ndikojnë në paraqitjen e ankesave.</w:t>
      </w:r>
    </w:p>
    <w:p w14:paraId="48B164E6" w14:textId="27434D9B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 xml:space="preserve">- Parimi i </w:t>
      </w:r>
      <w:proofErr w:type="spellStart"/>
      <w:r w:rsidRPr="006C0EED">
        <w:rPr>
          <w:rFonts w:ascii="Garamond" w:hAnsi="Garamond"/>
          <w:sz w:val="24"/>
          <w:szCs w:val="24"/>
          <w:lang w:val="sq-AL"/>
        </w:rPr>
        <w:t>konfidencialitetit</w:t>
      </w:r>
      <w:proofErr w:type="spellEnd"/>
      <w:r w:rsidRPr="006C0EED">
        <w:rPr>
          <w:rFonts w:ascii="Garamond" w:hAnsi="Garamond"/>
          <w:sz w:val="24"/>
          <w:szCs w:val="24"/>
          <w:lang w:val="sq-AL"/>
        </w:rPr>
        <w:t xml:space="preserve"> parashikohet në detyrimet që këto </w:t>
      </w:r>
      <w:r w:rsidR="006C0EED">
        <w:rPr>
          <w:rFonts w:ascii="Garamond" w:hAnsi="Garamond"/>
          <w:sz w:val="24"/>
          <w:szCs w:val="24"/>
          <w:lang w:val="sq-AL"/>
        </w:rPr>
        <w:t>s</w:t>
      </w:r>
      <w:r w:rsidRPr="006C0EED">
        <w:rPr>
          <w:rFonts w:ascii="Garamond" w:hAnsi="Garamond"/>
          <w:sz w:val="24"/>
          <w:szCs w:val="24"/>
          <w:lang w:val="sq-AL"/>
        </w:rPr>
        <w:t>tandarde vendosin mbi të licencuarit për të respektuar çdo informacion apo dokument të vënë në dispozicion nga klienti, në lidhje me ankesat e paraqitura nga ky i fundit.</w:t>
      </w:r>
    </w:p>
    <w:p w14:paraId="5878B102" w14:textId="5C04F16C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>- Të licencuarit kanë gjithashtu detyrimin për paraqitjen në ERE</w:t>
      </w:r>
      <w:r w:rsidR="006C0EED">
        <w:rPr>
          <w:rFonts w:ascii="Garamond" w:hAnsi="Garamond"/>
          <w:sz w:val="24"/>
          <w:szCs w:val="24"/>
          <w:lang w:val="sq-AL"/>
        </w:rPr>
        <w:t>,</w:t>
      </w:r>
      <w:r w:rsidRPr="006C0EED">
        <w:rPr>
          <w:rFonts w:ascii="Garamond" w:hAnsi="Garamond"/>
          <w:sz w:val="24"/>
          <w:szCs w:val="24"/>
          <w:lang w:val="sq-AL"/>
        </w:rPr>
        <w:t xml:space="preserve"> çdo tre muaj, të një raporti të detajuar me shkrim i cili do të duhet të përmbajë një sërë të dhënash, si: numri i ankesave të marra në tremujorin për të cilin po raportohet, numrin e ankesave për secilën kategori, të cilat janë zgjidhur në përputhje me pritshmërinë e kërkesave të klientit dhe të atyre që nuk janë zgjidhur.</w:t>
      </w:r>
    </w:p>
    <w:p w14:paraId="5F32EE00" w14:textId="58502B88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6C0EED">
        <w:rPr>
          <w:rFonts w:ascii="Garamond" w:hAnsi="Garamond"/>
          <w:sz w:val="24"/>
          <w:szCs w:val="24"/>
          <w:lang w:val="sq-AL"/>
        </w:rPr>
        <w:t>Bordi i ERE-s</w:t>
      </w:r>
    </w:p>
    <w:p w14:paraId="3FE15F5A" w14:textId="77777777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13D903" w14:textId="1A8D0F44" w:rsidR="00D12944" w:rsidRPr="006C0EED" w:rsidRDefault="00D12944" w:rsidP="00D1294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>VENDOSI:</w:t>
      </w:r>
    </w:p>
    <w:p w14:paraId="48790F59" w14:textId="77777777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5851DB" w14:textId="7BBAB7BB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 xml:space="preserve">1. Fillimin e procedurës për miratimin e </w:t>
      </w:r>
      <w:r w:rsidR="006C0EED" w:rsidRPr="006C0EED">
        <w:rPr>
          <w:rFonts w:ascii="Garamond" w:hAnsi="Garamond"/>
          <w:sz w:val="24"/>
          <w:szCs w:val="24"/>
          <w:lang w:val="sq-AL"/>
        </w:rPr>
        <w:t>standardeve të trajtimit të ankesave të klientëve të energjisë elektrike dhe gazit natyror nga të licencuarit në aktivitetin e furnizimit</w:t>
      </w:r>
      <w:r w:rsidRPr="006C0EED">
        <w:rPr>
          <w:rFonts w:ascii="Garamond" w:hAnsi="Garamond"/>
          <w:sz w:val="24"/>
          <w:szCs w:val="24"/>
          <w:lang w:val="sq-AL"/>
        </w:rPr>
        <w:t>.</w:t>
      </w:r>
    </w:p>
    <w:p w14:paraId="20CF207E" w14:textId="75B4266C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>2. Drejtoria e Mbrojtjes së Konsumatorit, të njoftojë palët e interesit për vendimin e Bordit të ERE-s.</w:t>
      </w:r>
    </w:p>
    <w:p w14:paraId="0B28E301" w14:textId="77777777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3A994D3E" w14:textId="12E4F7CA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6C0EED" w:rsidRPr="006C0EED">
        <w:rPr>
          <w:rFonts w:ascii="Garamond" w:hAnsi="Garamond"/>
          <w:sz w:val="24"/>
          <w:szCs w:val="24"/>
          <w:lang w:val="sq-AL"/>
        </w:rPr>
        <w:t>brenda</w:t>
      </w:r>
      <w:r w:rsidRPr="006C0EED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6C0EED">
        <w:rPr>
          <w:rFonts w:ascii="Garamond" w:hAnsi="Garamond"/>
          <w:sz w:val="24"/>
          <w:szCs w:val="24"/>
          <w:lang w:val="sq-AL"/>
        </w:rPr>
        <w:t>,</w:t>
      </w:r>
      <w:r w:rsidRPr="006C0EE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6C0EED" w:rsidRPr="006C0EED">
        <w:rPr>
          <w:rFonts w:ascii="Garamond" w:hAnsi="Garamond"/>
          <w:sz w:val="24"/>
          <w:szCs w:val="24"/>
          <w:lang w:val="sq-AL"/>
        </w:rPr>
        <w:t>brenda</w:t>
      </w:r>
      <w:r w:rsidRPr="006C0EED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26351FFD" w14:textId="77777777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F18E5EE" w14:textId="77777777" w:rsidR="00D12944" w:rsidRPr="006C0EED" w:rsidRDefault="00D12944" w:rsidP="00D129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9F248A" w14:textId="1C5ADE62" w:rsidR="00D12944" w:rsidRPr="006C0EED" w:rsidRDefault="00D12944" w:rsidP="00D129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C0EED">
        <w:rPr>
          <w:rFonts w:ascii="Garamond" w:hAnsi="Garamond"/>
          <w:sz w:val="24"/>
          <w:szCs w:val="24"/>
          <w:lang w:val="sq-AL"/>
        </w:rPr>
        <w:t>KRYETAR</w:t>
      </w:r>
    </w:p>
    <w:p w14:paraId="364995D4" w14:textId="63B99591" w:rsidR="00D12944" w:rsidRPr="006C0EED" w:rsidRDefault="00D12944" w:rsidP="00D1294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C0EED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6C0EED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E3CE784" w14:textId="77777777" w:rsidR="002F714C" w:rsidRPr="006C0EED" w:rsidRDefault="002F714C" w:rsidP="001C3573">
      <w:pPr>
        <w:rPr>
          <w:lang w:val="sq-AL"/>
        </w:rPr>
      </w:pPr>
    </w:p>
    <w:sectPr w:rsidR="002F714C" w:rsidRPr="006C0EED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4FC5F5" w14:textId="77777777" w:rsidR="006C0EED" w:rsidRDefault="006C0EED" w:rsidP="00D12944">
      <w:pPr>
        <w:spacing w:after="0" w:line="240" w:lineRule="auto"/>
      </w:pPr>
      <w:r>
        <w:separator/>
      </w:r>
    </w:p>
  </w:endnote>
  <w:endnote w:type="continuationSeparator" w:id="0">
    <w:p w14:paraId="329ABF6F" w14:textId="77777777" w:rsidR="006C0EED" w:rsidRDefault="006C0EED" w:rsidP="00D12944">
      <w:pPr>
        <w:spacing w:after="0" w:line="240" w:lineRule="auto"/>
      </w:pPr>
      <w:r>
        <w:continuationSeparator/>
      </w:r>
    </w:p>
  </w:endnote>
  <w:endnote w:type="continuationNotice" w:id="1">
    <w:p w14:paraId="11C0471F" w14:textId="77777777" w:rsidR="00534C45" w:rsidRDefault="00534C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8D7BA" w14:textId="3B44C22C" w:rsidR="006C0EED" w:rsidRPr="00D12944" w:rsidRDefault="006C0EED" w:rsidP="00D12944">
    <w:pPr>
      <w:pStyle w:val="Footer"/>
    </w:pPr>
    <w:r w:rsidRPr="00D12944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34B39B" w14:textId="77777777" w:rsidR="006C0EED" w:rsidRDefault="006C0EED" w:rsidP="00D12944">
      <w:pPr>
        <w:spacing w:after="0" w:line="240" w:lineRule="auto"/>
      </w:pPr>
      <w:r>
        <w:separator/>
      </w:r>
    </w:p>
  </w:footnote>
  <w:footnote w:type="continuationSeparator" w:id="0">
    <w:p w14:paraId="32EF9B03" w14:textId="77777777" w:rsidR="006C0EED" w:rsidRDefault="006C0EED" w:rsidP="00D12944">
      <w:pPr>
        <w:spacing w:after="0" w:line="240" w:lineRule="auto"/>
      </w:pPr>
      <w:r>
        <w:continuationSeparator/>
      </w:r>
    </w:p>
  </w:footnote>
  <w:footnote w:type="continuationNotice" w:id="1">
    <w:p w14:paraId="168396F5" w14:textId="77777777" w:rsidR="00534C45" w:rsidRDefault="00534C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3272E"/>
    <w:rsid w:val="00090880"/>
    <w:rsid w:val="00116CCD"/>
    <w:rsid w:val="00130547"/>
    <w:rsid w:val="00156412"/>
    <w:rsid w:val="001C3573"/>
    <w:rsid w:val="00202529"/>
    <w:rsid w:val="002120B9"/>
    <w:rsid w:val="0022123B"/>
    <w:rsid w:val="002F714C"/>
    <w:rsid w:val="00431368"/>
    <w:rsid w:val="00470ED6"/>
    <w:rsid w:val="004A0B51"/>
    <w:rsid w:val="004A53FA"/>
    <w:rsid w:val="004E31F0"/>
    <w:rsid w:val="00515780"/>
    <w:rsid w:val="00534C45"/>
    <w:rsid w:val="00540D44"/>
    <w:rsid w:val="00556ABC"/>
    <w:rsid w:val="006C0EED"/>
    <w:rsid w:val="006C7310"/>
    <w:rsid w:val="00711A12"/>
    <w:rsid w:val="00723307"/>
    <w:rsid w:val="00734F05"/>
    <w:rsid w:val="007350C6"/>
    <w:rsid w:val="00790BD1"/>
    <w:rsid w:val="007B3B12"/>
    <w:rsid w:val="008352AA"/>
    <w:rsid w:val="00836E4C"/>
    <w:rsid w:val="008663A4"/>
    <w:rsid w:val="008A08DA"/>
    <w:rsid w:val="0096397D"/>
    <w:rsid w:val="00966831"/>
    <w:rsid w:val="009933AE"/>
    <w:rsid w:val="009B768D"/>
    <w:rsid w:val="009C6EAC"/>
    <w:rsid w:val="009E2193"/>
    <w:rsid w:val="009F41B2"/>
    <w:rsid w:val="00AA612E"/>
    <w:rsid w:val="00B224CB"/>
    <w:rsid w:val="00B278D4"/>
    <w:rsid w:val="00BA0B9B"/>
    <w:rsid w:val="00BF7BC2"/>
    <w:rsid w:val="00C03670"/>
    <w:rsid w:val="00C76182"/>
    <w:rsid w:val="00D12944"/>
    <w:rsid w:val="00D57760"/>
    <w:rsid w:val="00D65623"/>
    <w:rsid w:val="00D85D11"/>
    <w:rsid w:val="00DA773A"/>
    <w:rsid w:val="00E20EBA"/>
    <w:rsid w:val="00E2155C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CE7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2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944"/>
  </w:style>
  <w:style w:type="paragraph" w:styleId="Footer">
    <w:name w:val="footer"/>
    <w:basedOn w:val="Normal"/>
    <w:link w:val="FooterChar"/>
    <w:uiPriority w:val="99"/>
    <w:unhideWhenUsed/>
    <w:rsid w:val="00D12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944"/>
  </w:style>
  <w:style w:type="paragraph" w:styleId="ListParagraph">
    <w:name w:val="List Paragraph"/>
    <w:basedOn w:val="Normal"/>
    <w:uiPriority w:val="34"/>
    <w:qFormat/>
    <w:rsid w:val="00D129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2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944"/>
  </w:style>
  <w:style w:type="paragraph" w:styleId="Footer">
    <w:name w:val="footer"/>
    <w:basedOn w:val="Normal"/>
    <w:link w:val="FooterChar"/>
    <w:uiPriority w:val="99"/>
    <w:unhideWhenUsed/>
    <w:rsid w:val="00D12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944"/>
  </w:style>
  <w:style w:type="paragraph" w:styleId="ListParagraph">
    <w:name w:val="List Paragraph"/>
    <w:basedOn w:val="Normal"/>
    <w:uiPriority w:val="34"/>
    <w:qFormat/>
    <w:rsid w:val="00D12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629CD8076B448581CC421E4A7333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218</Nr_x002e__x0020_akti>
    <Data_x0020_e_x0020_Krijimit xmlns="0e656187-b300-4fb0-8bf4-3a50f872073c">2021-01-05T11:09:20Z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fillimin e procedurës për miratimin e standardeve të trajtimit të ankesave të klientëve të Energjisë Elektrike dhe Gazit Natyror nga të licencuarit në aktivitetin e furnizimit</Titulli>
    <Modifikuesi xmlns="0e656187-b300-4fb0-8bf4-3a50f872073c">vjollca.pacrami</Modifikuesi>
    <Nr_x002e__x0020_prot_x0020_QBZ xmlns="0e656187-b300-4fb0-8bf4-3a50f872073c">1986/9</Nr_x002e__x0020_prot_x0020_QBZ>
    <Data_x0020_e_x0020_Modifikimit xmlns="0e656187-b300-4fb0-8bf4-3a50f872073c">2021-01-06T09:24:50Z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629CD8076B448581CC421E4A7333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350D9-AD27-4BB9-AB52-3FC555F204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075B9B-9AF3-4251-8F5E-249FE6D24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26C4E12-BB05-4CFE-8104-7FA596BFFB1D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94A80F7-2E1C-4EE2-990C-67042565EC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F2CB01-9630-4A8F-8C87-BC4F1A6364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0C200F2-CE98-48C9-91F5-AEC86B085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standardeve të trajtimit të ankesave të klientëve të Energjisë Elektrike dhe Gazit Natyror nga të licencuarit në aktivitetin e furnizimit</vt:lpstr>
    </vt:vector>
  </TitlesOfParts>
  <Company/>
  <LinksUpToDate>false</LinksUpToDate>
  <CharactersWithSpaces>6824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standardeve të trajtimit të ankesave të klientëve të Energjisë Elektrike dhe Gazit Natyror nga të licencuarit në aktivitetin e furnizimit</dc:title>
  <dc:creator>Entela Suli</dc:creator>
  <cp:lastModifiedBy>Fjora Cahani</cp:lastModifiedBy>
  <cp:revision>7</cp:revision>
  <dcterms:created xsi:type="dcterms:W3CDTF">2021-01-05T11:08:00Z</dcterms:created>
  <dcterms:modified xsi:type="dcterms:W3CDTF">2021-01-08T08:36:00Z</dcterms:modified>
</cp:coreProperties>
</file>