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64C9DE" w14:textId="77777777" w:rsidR="00C533E0" w:rsidRPr="00CC34DD" w:rsidRDefault="00C533E0" w:rsidP="00C533E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C34DD">
        <w:rPr>
          <w:rFonts w:ascii="Garamond" w:hAnsi="Garamond"/>
          <w:b/>
          <w:sz w:val="24"/>
          <w:szCs w:val="24"/>
          <w:lang w:val="sq-AL"/>
        </w:rPr>
        <w:t>VENDIM</w:t>
      </w:r>
    </w:p>
    <w:p w14:paraId="37A138EB" w14:textId="3DB8DC24" w:rsidR="00C533E0" w:rsidRPr="00CC34DD" w:rsidRDefault="00C533E0" w:rsidP="00C533E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C34DD">
        <w:rPr>
          <w:rFonts w:ascii="Garamond" w:hAnsi="Garamond"/>
          <w:b/>
          <w:sz w:val="24"/>
          <w:szCs w:val="24"/>
          <w:lang w:val="sq-AL"/>
        </w:rPr>
        <w:t xml:space="preserve">Nr. 108, </w:t>
      </w:r>
      <w:r w:rsidR="00CC34DD" w:rsidRPr="00CC34DD">
        <w:rPr>
          <w:rFonts w:ascii="Garamond" w:hAnsi="Garamond"/>
          <w:b/>
          <w:sz w:val="24"/>
          <w:szCs w:val="24"/>
          <w:lang w:val="sq-AL"/>
        </w:rPr>
        <w:t>datë 22.</w:t>
      </w:r>
      <w:r w:rsidRPr="00CC34DD">
        <w:rPr>
          <w:rFonts w:ascii="Garamond" w:hAnsi="Garamond"/>
          <w:b/>
          <w:sz w:val="24"/>
          <w:szCs w:val="24"/>
          <w:lang w:val="sq-AL"/>
        </w:rPr>
        <w:t>4.2021</w:t>
      </w:r>
    </w:p>
    <w:p w14:paraId="3F115F18" w14:textId="77777777" w:rsidR="00C533E0" w:rsidRPr="00CC34DD" w:rsidRDefault="00C533E0" w:rsidP="00C533E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DFA2E48" w14:textId="7F6BF474" w:rsidR="00C533E0" w:rsidRPr="00CC34DD" w:rsidRDefault="00C533E0" w:rsidP="00C533E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C34DD">
        <w:rPr>
          <w:rFonts w:ascii="Garamond" w:hAnsi="Garamond"/>
          <w:b/>
          <w:sz w:val="24"/>
          <w:szCs w:val="24"/>
          <w:lang w:val="sq-AL"/>
        </w:rPr>
        <w:t>MBI</w:t>
      </w:r>
      <w:bookmarkStart w:id="0" w:name="_Hlk65655842"/>
      <w:r w:rsidRPr="00CC34DD">
        <w:rPr>
          <w:rFonts w:ascii="Garamond" w:hAnsi="Garamond"/>
          <w:b/>
          <w:sz w:val="24"/>
          <w:szCs w:val="24"/>
          <w:lang w:val="sq-AL"/>
        </w:rPr>
        <w:t xml:space="preserve"> MIRATIMIN E “RREGULLAVE TË PËRBASHKËTA TË SHLYERJES PËR SHKËMBIMIN E ENERGJISË</w:t>
      </w:r>
      <w:r w:rsidR="00CC34DD">
        <w:rPr>
          <w:rFonts w:ascii="Garamond" w:hAnsi="Garamond"/>
          <w:b/>
          <w:sz w:val="24"/>
          <w:szCs w:val="24"/>
          <w:lang w:val="sq-AL"/>
        </w:rPr>
        <w:t>,</w:t>
      </w:r>
      <w:r w:rsidRPr="00CC34DD">
        <w:rPr>
          <w:rFonts w:ascii="Garamond" w:hAnsi="Garamond"/>
          <w:b/>
          <w:sz w:val="24"/>
          <w:szCs w:val="24"/>
          <w:lang w:val="sq-AL"/>
        </w:rPr>
        <w:t xml:space="preserve"> NË PËRPUTHJE ME NENET 50</w:t>
      </w:r>
      <w:r w:rsidR="00756D7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CC34DD">
        <w:rPr>
          <w:rFonts w:ascii="Garamond" w:hAnsi="Garamond"/>
          <w:b/>
          <w:sz w:val="24"/>
          <w:szCs w:val="24"/>
          <w:lang w:val="sq-AL"/>
        </w:rPr>
        <w:t>(3) DHE 51</w:t>
      </w:r>
      <w:r w:rsidR="00756D7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CC34DD">
        <w:rPr>
          <w:rFonts w:ascii="Garamond" w:hAnsi="Garamond"/>
          <w:b/>
          <w:sz w:val="24"/>
          <w:szCs w:val="24"/>
          <w:lang w:val="sq-AL"/>
        </w:rPr>
        <w:t xml:space="preserve">(1), TË KOMISIONIT RREGULLATOR TË BASHKIMIT </w:t>
      </w:r>
      <w:r w:rsidR="00CC34DD" w:rsidRPr="00CC34DD">
        <w:rPr>
          <w:rFonts w:ascii="Garamond" w:hAnsi="Garamond"/>
          <w:b/>
          <w:sz w:val="24"/>
          <w:szCs w:val="24"/>
          <w:lang w:val="sq-AL"/>
        </w:rPr>
        <w:t>EVROPIAN</w:t>
      </w:r>
      <w:r w:rsidRPr="00CC34DD">
        <w:rPr>
          <w:rFonts w:ascii="Garamond" w:hAnsi="Garamond"/>
          <w:b/>
          <w:sz w:val="24"/>
          <w:szCs w:val="24"/>
          <w:lang w:val="sq-AL"/>
        </w:rPr>
        <w:t xml:space="preserve"> 2017/2195”</w:t>
      </w:r>
    </w:p>
    <w:p w14:paraId="71CE5AF7" w14:textId="77777777" w:rsidR="00C533E0" w:rsidRPr="00CC34DD" w:rsidRDefault="00C533E0" w:rsidP="00C533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84BBA1" w14:textId="41CFD8B7" w:rsidR="00C533E0" w:rsidRPr="00CC34DD" w:rsidRDefault="00C533E0" w:rsidP="00C533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4DD">
        <w:rPr>
          <w:rFonts w:ascii="Garamond" w:hAnsi="Garamond"/>
          <w:sz w:val="24"/>
          <w:szCs w:val="24"/>
          <w:lang w:val="sq-AL"/>
        </w:rPr>
        <w:t xml:space="preserve">Në mbështetje të neneve 16, 20 dhe 55, pika 3, të </w:t>
      </w:r>
      <w:r w:rsidR="00CC34DD">
        <w:rPr>
          <w:rFonts w:ascii="Garamond" w:hAnsi="Garamond"/>
          <w:sz w:val="24"/>
          <w:szCs w:val="24"/>
          <w:lang w:val="sq-AL"/>
        </w:rPr>
        <w:t>l</w:t>
      </w:r>
      <w:r w:rsidRPr="00CC34DD">
        <w:rPr>
          <w:rFonts w:ascii="Garamond" w:hAnsi="Garamond"/>
          <w:sz w:val="24"/>
          <w:szCs w:val="24"/>
          <w:lang w:val="sq-AL"/>
        </w:rPr>
        <w:t>igjit nr. 43/2015</w:t>
      </w:r>
      <w:r w:rsidR="00CC34DD">
        <w:rPr>
          <w:rFonts w:ascii="Garamond" w:hAnsi="Garamond"/>
          <w:sz w:val="24"/>
          <w:szCs w:val="24"/>
          <w:lang w:val="sq-AL"/>
        </w:rPr>
        <w:t>,</w:t>
      </w:r>
      <w:r w:rsidRPr="00CC34DD">
        <w:rPr>
          <w:rFonts w:ascii="Garamond" w:hAnsi="Garamond"/>
          <w:sz w:val="24"/>
          <w:szCs w:val="24"/>
          <w:lang w:val="sq-AL"/>
        </w:rPr>
        <w:t xml:space="preserve"> “Për </w:t>
      </w:r>
      <w:r w:rsidR="00CC34DD" w:rsidRPr="00CC34DD">
        <w:rPr>
          <w:rFonts w:ascii="Garamond" w:hAnsi="Garamond"/>
          <w:sz w:val="24"/>
          <w:szCs w:val="24"/>
          <w:lang w:val="sq-AL"/>
        </w:rPr>
        <w:t>sektorin e energjisë elektrike</w:t>
      </w:r>
      <w:r w:rsidRPr="00CC34DD">
        <w:rPr>
          <w:rFonts w:ascii="Garamond" w:hAnsi="Garamond"/>
          <w:sz w:val="24"/>
          <w:szCs w:val="24"/>
          <w:lang w:val="sq-AL"/>
        </w:rPr>
        <w:t xml:space="preserve">”, </w:t>
      </w:r>
      <w:r w:rsidR="00CC34DD">
        <w:rPr>
          <w:rFonts w:ascii="Garamond" w:hAnsi="Garamond"/>
          <w:sz w:val="24"/>
          <w:szCs w:val="24"/>
          <w:lang w:val="sq-AL"/>
        </w:rPr>
        <w:t>të</w:t>
      </w:r>
      <w:r w:rsidRPr="00CC34DD">
        <w:rPr>
          <w:rFonts w:ascii="Garamond" w:hAnsi="Garamond"/>
          <w:sz w:val="24"/>
          <w:szCs w:val="24"/>
          <w:lang w:val="sq-AL"/>
        </w:rPr>
        <w:t xml:space="preserve"> ndryshuar</w:t>
      </w:r>
      <w:r w:rsidR="00CC34DD">
        <w:rPr>
          <w:rFonts w:ascii="Garamond" w:hAnsi="Garamond"/>
          <w:sz w:val="24"/>
          <w:szCs w:val="24"/>
          <w:lang w:val="sq-AL"/>
        </w:rPr>
        <w:t>,</w:t>
      </w:r>
      <w:r w:rsidRPr="00CC34DD">
        <w:rPr>
          <w:rFonts w:ascii="Garamond" w:hAnsi="Garamond"/>
          <w:sz w:val="24"/>
          <w:szCs w:val="24"/>
          <w:lang w:val="sq-AL"/>
        </w:rPr>
        <w:t xml:space="preserve"> dhe </w:t>
      </w:r>
      <w:r w:rsidR="00CC34DD">
        <w:rPr>
          <w:rFonts w:ascii="Garamond" w:hAnsi="Garamond"/>
          <w:sz w:val="24"/>
          <w:szCs w:val="24"/>
          <w:lang w:val="sq-AL"/>
        </w:rPr>
        <w:t xml:space="preserve">të </w:t>
      </w:r>
      <w:r w:rsidRPr="00CC34DD">
        <w:rPr>
          <w:rFonts w:ascii="Garamond" w:hAnsi="Garamond"/>
          <w:sz w:val="24"/>
          <w:szCs w:val="24"/>
          <w:lang w:val="sq-AL"/>
        </w:rPr>
        <w:t xml:space="preserve">neneve 15 e 26, të </w:t>
      </w:r>
      <w:r w:rsidR="00CC34DD">
        <w:rPr>
          <w:rFonts w:ascii="Garamond" w:hAnsi="Garamond"/>
          <w:sz w:val="24"/>
          <w:szCs w:val="24"/>
          <w:lang w:val="sq-AL"/>
        </w:rPr>
        <w:t>“</w:t>
      </w:r>
      <w:r w:rsidRPr="00CC34DD">
        <w:rPr>
          <w:rFonts w:ascii="Garamond" w:hAnsi="Garamond"/>
          <w:sz w:val="24"/>
          <w:szCs w:val="24"/>
          <w:lang w:val="sq-AL"/>
        </w:rPr>
        <w:t xml:space="preserve">Rregullores për </w:t>
      </w:r>
      <w:r w:rsidR="00CC34DD" w:rsidRPr="00CC34DD">
        <w:rPr>
          <w:rFonts w:ascii="Garamond" w:hAnsi="Garamond"/>
          <w:sz w:val="24"/>
          <w:szCs w:val="24"/>
          <w:lang w:val="sq-AL"/>
        </w:rPr>
        <w:t>organizimin, funksionimin dhe proced</w:t>
      </w:r>
      <w:r w:rsidRPr="00CC34DD">
        <w:rPr>
          <w:rFonts w:ascii="Garamond" w:hAnsi="Garamond"/>
          <w:sz w:val="24"/>
          <w:szCs w:val="24"/>
          <w:lang w:val="sq-AL"/>
        </w:rPr>
        <w:t>urat e ERE-s</w:t>
      </w:r>
      <w:r w:rsidR="00CC34DD">
        <w:rPr>
          <w:rFonts w:ascii="Garamond" w:hAnsi="Garamond"/>
          <w:sz w:val="24"/>
          <w:szCs w:val="24"/>
          <w:lang w:val="sq-AL"/>
        </w:rPr>
        <w:t>”</w:t>
      </w:r>
      <w:r w:rsidRPr="00CC34DD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CC34DD">
        <w:rPr>
          <w:rFonts w:ascii="Garamond" w:hAnsi="Garamond"/>
          <w:sz w:val="24"/>
          <w:szCs w:val="24"/>
          <w:lang w:val="sq-AL"/>
        </w:rPr>
        <w:t>B</w:t>
      </w:r>
      <w:r w:rsidRPr="00CC34DD">
        <w:rPr>
          <w:rFonts w:ascii="Garamond" w:hAnsi="Garamond"/>
          <w:sz w:val="24"/>
          <w:szCs w:val="24"/>
          <w:lang w:val="sq-AL"/>
        </w:rPr>
        <w:t>ordit të Entit Rregullat</w:t>
      </w:r>
      <w:r w:rsidR="00CC34DD">
        <w:rPr>
          <w:rFonts w:ascii="Garamond" w:hAnsi="Garamond"/>
          <w:sz w:val="24"/>
          <w:szCs w:val="24"/>
          <w:lang w:val="sq-AL"/>
        </w:rPr>
        <w:t>or të Energjisë (ERE) nr. 96, datë 17.</w:t>
      </w:r>
      <w:r w:rsidRPr="00CC34DD">
        <w:rPr>
          <w:rFonts w:ascii="Garamond" w:hAnsi="Garamond"/>
          <w:sz w:val="24"/>
          <w:szCs w:val="24"/>
          <w:lang w:val="sq-AL"/>
        </w:rPr>
        <w:t>6.2016</w:t>
      </w:r>
      <w:r w:rsidR="00CC34DD">
        <w:rPr>
          <w:rFonts w:ascii="Garamond" w:hAnsi="Garamond"/>
          <w:sz w:val="24"/>
          <w:szCs w:val="24"/>
          <w:lang w:val="sq-AL"/>
        </w:rPr>
        <w:t>;</w:t>
      </w:r>
      <w:r w:rsidRPr="00CC34DD">
        <w:rPr>
          <w:rFonts w:ascii="Garamond" w:hAnsi="Garamond"/>
          <w:sz w:val="24"/>
          <w:szCs w:val="24"/>
          <w:lang w:val="sq-AL"/>
        </w:rPr>
        <w:t xml:space="preserve"> </w:t>
      </w:r>
      <w:r w:rsidR="00CC34DD">
        <w:rPr>
          <w:rFonts w:ascii="Garamond" w:hAnsi="Garamond"/>
          <w:sz w:val="24"/>
          <w:szCs w:val="24"/>
          <w:lang w:val="sq-AL"/>
        </w:rPr>
        <w:t>B</w:t>
      </w:r>
      <w:r w:rsidRPr="00CC34DD">
        <w:rPr>
          <w:rFonts w:ascii="Garamond" w:hAnsi="Garamond"/>
          <w:sz w:val="24"/>
          <w:szCs w:val="24"/>
          <w:lang w:val="sq-AL"/>
        </w:rPr>
        <w:t>ordi i ERE</w:t>
      </w:r>
      <w:r w:rsidR="00CC34DD">
        <w:rPr>
          <w:rFonts w:ascii="Garamond" w:hAnsi="Garamond"/>
          <w:sz w:val="24"/>
          <w:szCs w:val="24"/>
          <w:lang w:val="sq-AL"/>
        </w:rPr>
        <w:t>-s</w:t>
      </w:r>
      <w:r w:rsidRPr="00CC34DD">
        <w:rPr>
          <w:rFonts w:ascii="Garamond" w:hAnsi="Garamond"/>
          <w:sz w:val="24"/>
          <w:szCs w:val="24"/>
          <w:lang w:val="sq-AL"/>
        </w:rPr>
        <w:t xml:space="preserve">, </w:t>
      </w:r>
      <w:r w:rsidR="00CC34DD">
        <w:rPr>
          <w:rFonts w:ascii="Garamond" w:hAnsi="Garamond"/>
          <w:sz w:val="24"/>
          <w:szCs w:val="24"/>
          <w:lang w:val="sq-AL"/>
        </w:rPr>
        <w:t>në mbledhjen e tij të datës 22.</w:t>
      </w:r>
      <w:r w:rsidRPr="00CC34DD">
        <w:rPr>
          <w:rFonts w:ascii="Garamond" w:hAnsi="Garamond"/>
          <w:sz w:val="24"/>
          <w:szCs w:val="24"/>
          <w:lang w:val="sq-AL"/>
        </w:rPr>
        <w:t>4.2021, mbasi shqyrtoi relacionin nr. 56/5 prot</w:t>
      </w:r>
      <w:r w:rsidR="00CC34DD">
        <w:rPr>
          <w:rFonts w:ascii="Garamond" w:hAnsi="Garamond"/>
          <w:sz w:val="24"/>
          <w:szCs w:val="24"/>
          <w:lang w:val="sq-AL"/>
        </w:rPr>
        <w:t>., datë 20.</w:t>
      </w:r>
      <w:r w:rsidRPr="00CC34DD">
        <w:rPr>
          <w:rFonts w:ascii="Garamond" w:hAnsi="Garamond"/>
          <w:sz w:val="24"/>
          <w:szCs w:val="24"/>
          <w:lang w:val="sq-AL"/>
        </w:rPr>
        <w:t xml:space="preserve">4.2021 të Drejtorive Teknike, </w:t>
      </w:r>
      <w:r w:rsidR="00CC34DD">
        <w:rPr>
          <w:rFonts w:ascii="Garamond" w:hAnsi="Garamond"/>
          <w:sz w:val="24"/>
          <w:szCs w:val="24"/>
          <w:lang w:val="sq-AL"/>
        </w:rPr>
        <w:t>“</w:t>
      </w:r>
      <w:r w:rsidRPr="00CC34DD">
        <w:rPr>
          <w:rFonts w:ascii="Garamond" w:hAnsi="Garamond"/>
          <w:sz w:val="24"/>
          <w:szCs w:val="24"/>
          <w:lang w:val="sq-AL"/>
        </w:rPr>
        <w:t xml:space="preserve">Mbi miratimin e </w:t>
      </w:r>
      <w:r w:rsidR="00CC34DD">
        <w:rPr>
          <w:rFonts w:ascii="Garamond" w:hAnsi="Garamond"/>
          <w:sz w:val="24"/>
          <w:szCs w:val="24"/>
          <w:lang w:val="sq-AL"/>
        </w:rPr>
        <w:t>‘</w:t>
      </w:r>
      <w:r w:rsidRPr="00CC34DD">
        <w:rPr>
          <w:rFonts w:ascii="Garamond" w:hAnsi="Garamond"/>
          <w:sz w:val="24"/>
          <w:szCs w:val="24"/>
          <w:lang w:val="sq-AL"/>
        </w:rPr>
        <w:t>Rregullave të përbashkëta të shlyerjes për shkëmbimin e energjisë</w:t>
      </w:r>
      <w:r w:rsidR="00CC34DD">
        <w:rPr>
          <w:rFonts w:ascii="Garamond" w:hAnsi="Garamond"/>
          <w:sz w:val="24"/>
          <w:szCs w:val="24"/>
          <w:lang w:val="sq-AL"/>
        </w:rPr>
        <w:t>,</w:t>
      </w:r>
      <w:r w:rsidRPr="00CC34DD">
        <w:rPr>
          <w:rFonts w:ascii="Garamond" w:hAnsi="Garamond"/>
          <w:sz w:val="24"/>
          <w:szCs w:val="24"/>
          <w:lang w:val="sq-AL"/>
        </w:rPr>
        <w:t xml:space="preserve"> në përputhje me nenet 50</w:t>
      </w:r>
      <w:r w:rsidR="00756D72">
        <w:rPr>
          <w:rFonts w:ascii="Garamond" w:hAnsi="Garamond"/>
          <w:sz w:val="24"/>
          <w:szCs w:val="24"/>
          <w:lang w:val="sq-AL"/>
        </w:rPr>
        <w:t xml:space="preserve"> </w:t>
      </w:r>
      <w:r w:rsidRPr="00CC34DD">
        <w:rPr>
          <w:rFonts w:ascii="Garamond" w:hAnsi="Garamond"/>
          <w:sz w:val="24"/>
          <w:szCs w:val="24"/>
          <w:lang w:val="sq-AL"/>
        </w:rPr>
        <w:t>(3) dhe 51</w:t>
      </w:r>
      <w:r w:rsidR="00756D72">
        <w:rPr>
          <w:rFonts w:ascii="Garamond" w:hAnsi="Garamond"/>
          <w:sz w:val="24"/>
          <w:szCs w:val="24"/>
          <w:lang w:val="sq-AL"/>
        </w:rPr>
        <w:t xml:space="preserve"> </w:t>
      </w:r>
      <w:r w:rsidRPr="00CC34DD">
        <w:rPr>
          <w:rFonts w:ascii="Garamond" w:hAnsi="Garamond"/>
          <w:sz w:val="24"/>
          <w:szCs w:val="24"/>
          <w:lang w:val="sq-AL"/>
        </w:rPr>
        <w:t>(1), të Komisionit Rregullator të Bashkimit Evropian 2017/2195</w:t>
      </w:r>
      <w:r w:rsidR="00CC34DD">
        <w:rPr>
          <w:rFonts w:ascii="Garamond" w:hAnsi="Garamond"/>
          <w:sz w:val="24"/>
          <w:szCs w:val="24"/>
          <w:lang w:val="sq-AL"/>
        </w:rPr>
        <w:t>’”,</w:t>
      </w:r>
    </w:p>
    <w:bookmarkEnd w:id="0"/>
    <w:p w14:paraId="11942817" w14:textId="24677313" w:rsidR="00C533E0" w:rsidRPr="00CC34DD" w:rsidRDefault="00CC34DD" w:rsidP="00C533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C533E0" w:rsidRPr="00CC34DD">
        <w:rPr>
          <w:rFonts w:ascii="Garamond" w:hAnsi="Garamond"/>
          <w:sz w:val="24"/>
          <w:szCs w:val="24"/>
          <w:lang w:val="sq-AL"/>
        </w:rPr>
        <w:t>onstatoi se:</w:t>
      </w:r>
    </w:p>
    <w:p w14:paraId="5E4C4010" w14:textId="0042008E" w:rsidR="00C533E0" w:rsidRPr="00CC34DD" w:rsidRDefault="00C533E0" w:rsidP="00C533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4DD">
        <w:rPr>
          <w:rFonts w:ascii="Garamond" w:hAnsi="Garamond"/>
          <w:sz w:val="24"/>
          <w:szCs w:val="24"/>
          <w:lang w:val="sq-AL"/>
        </w:rPr>
        <w:t>- Bordi i ERE-s</w:t>
      </w:r>
      <w:r w:rsidR="00CC34DD">
        <w:rPr>
          <w:rFonts w:ascii="Garamond" w:hAnsi="Garamond"/>
          <w:sz w:val="24"/>
          <w:szCs w:val="24"/>
          <w:lang w:val="sq-AL"/>
        </w:rPr>
        <w:t>, me vendimin nr. 77, datë 19.</w:t>
      </w:r>
      <w:r w:rsidRPr="00CC34DD">
        <w:rPr>
          <w:rFonts w:ascii="Garamond" w:hAnsi="Garamond"/>
          <w:sz w:val="24"/>
          <w:szCs w:val="24"/>
          <w:lang w:val="sq-AL"/>
        </w:rPr>
        <w:t>3.2021, ka vendosur fillimin e procedurës për shqyrtimin e kërkesës së Operatorit të Sistemit të Transmetimit (OST sh.a</w:t>
      </w:r>
      <w:r w:rsidR="00CC34DD">
        <w:rPr>
          <w:rFonts w:ascii="Garamond" w:hAnsi="Garamond"/>
          <w:sz w:val="24"/>
          <w:szCs w:val="24"/>
          <w:lang w:val="sq-AL"/>
        </w:rPr>
        <w:t>.</w:t>
      </w:r>
      <w:r w:rsidRPr="00CC34DD">
        <w:rPr>
          <w:rFonts w:ascii="Garamond" w:hAnsi="Garamond"/>
          <w:sz w:val="24"/>
          <w:szCs w:val="24"/>
          <w:lang w:val="sq-AL"/>
        </w:rPr>
        <w:t>)</w:t>
      </w:r>
      <w:r w:rsidR="00CC34DD">
        <w:rPr>
          <w:rFonts w:ascii="Garamond" w:hAnsi="Garamond"/>
          <w:sz w:val="24"/>
          <w:szCs w:val="24"/>
          <w:lang w:val="sq-AL"/>
        </w:rPr>
        <w:t>,</w:t>
      </w:r>
      <w:r w:rsidRPr="00CC34DD">
        <w:rPr>
          <w:rFonts w:ascii="Garamond" w:hAnsi="Garamond"/>
          <w:sz w:val="24"/>
          <w:szCs w:val="24"/>
          <w:lang w:val="sq-AL"/>
        </w:rPr>
        <w:t xml:space="preserve"> për miratimin e “Rregullave të përbashkëta të shlyerjes për shkëmbimin e energjisë</w:t>
      </w:r>
      <w:r w:rsidR="00CC34DD">
        <w:rPr>
          <w:rFonts w:ascii="Garamond" w:hAnsi="Garamond"/>
          <w:sz w:val="24"/>
          <w:szCs w:val="24"/>
          <w:lang w:val="sq-AL"/>
        </w:rPr>
        <w:t>,</w:t>
      </w:r>
      <w:r w:rsidRPr="00CC34DD">
        <w:rPr>
          <w:rFonts w:ascii="Garamond" w:hAnsi="Garamond"/>
          <w:sz w:val="24"/>
          <w:szCs w:val="24"/>
          <w:lang w:val="sq-AL"/>
        </w:rPr>
        <w:t xml:space="preserve"> në përputhje me nenet 50 (3) dhe 51 (1), të Komisionit Rregullator të Bashkimit Evropian 2017/2195”.</w:t>
      </w:r>
    </w:p>
    <w:p w14:paraId="2E429B87" w14:textId="6920B94B" w:rsidR="00C533E0" w:rsidRPr="00CC34DD" w:rsidRDefault="00C533E0" w:rsidP="00C533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4DD">
        <w:rPr>
          <w:rFonts w:ascii="Garamond" w:hAnsi="Garamond"/>
          <w:sz w:val="24"/>
          <w:szCs w:val="24"/>
          <w:lang w:val="sq-AL"/>
        </w:rPr>
        <w:t>- Në vijim të kësaj vendimmarrjeje, me s</w:t>
      </w:r>
      <w:r w:rsidR="00CC34DD">
        <w:rPr>
          <w:rFonts w:ascii="Garamond" w:hAnsi="Garamond"/>
          <w:sz w:val="24"/>
          <w:szCs w:val="24"/>
          <w:lang w:val="sq-AL"/>
        </w:rPr>
        <w:t>hkresën nr. 494 prot., datë 31.</w:t>
      </w:r>
      <w:r w:rsidRPr="00CC34DD">
        <w:rPr>
          <w:rFonts w:ascii="Garamond" w:hAnsi="Garamond"/>
          <w:sz w:val="24"/>
          <w:szCs w:val="24"/>
          <w:lang w:val="sq-AL"/>
        </w:rPr>
        <w:t>3.2021, të ERE-s, vendimi sipërcituar, i është përcjellë Ministrisë së Infrastrukturës dhe Energjisë (MIE) dhe shoqërisë OST sh.a.</w:t>
      </w:r>
      <w:r w:rsidR="00CC34DD">
        <w:rPr>
          <w:rFonts w:ascii="Garamond" w:hAnsi="Garamond"/>
          <w:sz w:val="24"/>
          <w:szCs w:val="24"/>
          <w:lang w:val="sq-AL"/>
        </w:rPr>
        <w:t>:</w:t>
      </w:r>
    </w:p>
    <w:p w14:paraId="4C554B3B" w14:textId="391AF784" w:rsidR="00C533E0" w:rsidRPr="00CC34DD" w:rsidRDefault="00C533E0" w:rsidP="00C533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4DD">
        <w:rPr>
          <w:rFonts w:ascii="Garamond" w:hAnsi="Garamond"/>
          <w:sz w:val="24"/>
          <w:szCs w:val="24"/>
          <w:lang w:val="sq-AL"/>
        </w:rPr>
        <w:t>- Dokumentacioni shoqërues i “Rregullave të përbashkëta të shlyerjes për shkëmbimin e energjisë</w:t>
      </w:r>
      <w:r w:rsidR="00CC34DD">
        <w:rPr>
          <w:rFonts w:ascii="Garamond" w:hAnsi="Garamond"/>
          <w:sz w:val="24"/>
          <w:szCs w:val="24"/>
          <w:lang w:val="sq-AL"/>
        </w:rPr>
        <w:t>,</w:t>
      </w:r>
      <w:r w:rsidRPr="00CC34DD">
        <w:rPr>
          <w:rFonts w:ascii="Garamond" w:hAnsi="Garamond"/>
          <w:sz w:val="24"/>
          <w:szCs w:val="24"/>
          <w:lang w:val="sq-AL"/>
        </w:rPr>
        <w:t xml:space="preserve"> në përputhje me nenet 50 (3) dhe 51 (1), të Komisionit Rregullator të Bashkimit Evropian 2017/2195”, është publikuar në faqen zyrtare të ERE (</w:t>
      </w:r>
      <w:r w:rsidRPr="00CC34DD">
        <w:rPr>
          <w:rFonts w:ascii="Garamond" w:hAnsi="Garamond"/>
          <w:i/>
          <w:sz w:val="24"/>
          <w:szCs w:val="24"/>
          <w:lang w:val="sq-AL"/>
        </w:rPr>
        <w:t>www</w:t>
      </w:r>
      <w:hyperlink r:id="rId10" w:history="1">
        <w:r w:rsidRPr="00CC34DD">
          <w:rPr>
            <w:rStyle w:val="Hyperlink"/>
            <w:rFonts w:ascii="Garamond" w:hAnsi="Garamond"/>
            <w:i/>
            <w:sz w:val="24"/>
            <w:szCs w:val="24"/>
            <w:lang w:val="sq-AL"/>
          </w:rPr>
          <w:t>.ere.gov.al</w:t>
        </w:r>
      </w:hyperlink>
      <w:r w:rsidRPr="00CC34DD">
        <w:rPr>
          <w:rFonts w:ascii="Garamond" w:hAnsi="Garamond"/>
          <w:sz w:val="24"/>
          <w:szCs w:val="24"/>
          <w:lang w:val="sq-AL"/>
        </w:rPr>
        <w:t xml:space="preserve">), që nga data 1 </w:t>
      </w:r>
      <w:r w:rsidR="00CC34DD">
        <w:rPr>
          <w:rFonts w:ascii="Garamond" w:hAnsi="Garamond"/>
          <w:sz w:val="24"/>
          <w:szCs w:val="24"/>
          <w:lang w:val="sq-AL"/>
        </w:rPr>
        <w:t>m</w:t>
      </w:r>
      <w:r w:rsidRPr="00CC34DD">
        <w:rPr>
          <w:rFonts w:ascii="Garamond" w:hAnsi="Garamond"/>
          <w:sz w:val="24"/>
          <w:szCs w:val="24"/>
          <w:lang w:val="sq-AL"/>
        </w:rPr>
        <w:t>ars 2021, në rubrikën “Konsultime”, me qëllim që çdo palë e interesuar të mund të konsultohet dhe të shprehë qëndrimin në ERE</w:t>
      </w:r>
      <w:r w:rsidR="00CC34DD">
        <w:rPr>
          <w:rFonts w:ascii="Garamond" w:hAnsi="Garamond"/>
          <w:sz w:val="24"/>
          <w:szCs w:val="24"/>
          <w:lang w:val="sq-AL"/>
        </w:rPr>
        <w:t>,</w:t>
      </w:r>
      <w:r w:rsidRPr="00CC34DD">
        <w:rPr>
          <w:rFonts w:ascii="Garamond" w:hAnsi="Garamond"/>
          <w:sz w:val="24"/>
          <w:szCs w:val="24"/>
          <w:lang w:val="sq-AL"/>
        </w:rPr>
        <w:t xml:space="preserve"> në lidhje me përmbajtjen e këtij akti, brenda afateve të parashikuara në </w:t>
      </w:r>
      <w:r w:rsidR="00CC34DD">
        <w:rPr>
          <w:rFonts w:ascii="Garamond" w:hAnsi="Garamond"/>
          <w:sz w:val="24"/>
          <w:szCs w:val="24"/>
          <w:lang w:val="sq-AL"/>
        </w:rPr>
        <w:t>l</w:t>
      </w:r>
      <w:r w:rsidRPr="00CC34DD">
        <w:rPr>
          <w:rFonts w:ascii="Garamond" w:hAnsi="Garamond"/>
          <w:sz w:val="24"/>
          <w:szCs w:val="24"/>
          <w:lang w:val="sq-AL"/>
        </w:rPr>
        <w:t>igjin nr. 146/2014</w:t>
      </w:r>
      <w:r w:rsidR="00CC34DD">
        <w:rPr>
          <w:rFonts w:ascii="Garamond" w:hAnsi="Garamond"/>
          <w:sz w:val="24"/>
          <w:szCs w:val="24"/>
          <w:lang w:val="sq-AL"/>
        </w:rPr>
        <w:t>,</w:t>
      </w:r>
      <w:r w:rsidRPr="00CC34DD">
        <w:rPr>
          <w:rFonts w:ascii="Garamond" w:hAnsi="Garamond"/>
          <w:sz w:val="24"/>
          <w:szCs w:val="24"/>
          <w:lang w:val="sq-AL"/>
        </w:rPr>
        <w:t xml:space="preserve"> “Për njoftimin dhe konsultimin publik”, në lidhje me sa propozuar nga OST sh.a.</w:t>
      </w:r>
    </w:p>
    <w:p w14:paraId="7F33F151" w14:textId="2A6CF533" w:rsidR="00C533E0" w:rsidRPr="00CC34DD" w:rsidRDefault="00C533E0" w:rsidP="00C533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4DD">
        <w:rPr>
          <w:rFonts w:ascii="Garamond" w:hAnsi="Garamond"/>
          <w:sz w:val="24"/>
          <w:szCs w:val="24"/>
          <w:lang w:val="sq-AL"/>
        </w:rPr>
        <w:t>- Lidhur me “Rregullat të përbashkëta të shlyerjes për shkëmbimin e energjisë</w:t>
      </w:r>
      <w:r w:rsidR="00CC34DD">
        <w:rPr>
          <w:rFonts w:ascii="Garamond" w:hAnsi="Garamond"/>
          <w:sz w:val="24"/>
          <w:szCs w:val="24"/>
          <w:lang w:val="sq-AL"/>
        </w:rPr>
        <w:t>,</w:t>
      </w:r>
      <w:r w:rsidRPr="00CC34DD">
        <w:rPr>
          <w:rFonts w:ascii="Garamond" w:hAnsi="Garamond"/>
          <w:sz w:val="24"/>
          <w:szCs w:val="24"/>
          <w:lang w:val="sq-AL"/>
        </w:rPr>
        <w:t xml:space="preserve"> në përputhje me nenet 50 (3) dhe 51 (1), të Komisionit Rregullator të Bashkimit Evropian 2017/2195”, nuk janë </w:t>
      </w:r>
      <w:r w:rsidR="00CC34DD">
        <w:rPr>
          <w:rFonts w:ascii="Garamond" w:hAnsi="Garamond"/>
          <w:sz w:val="24"/>
          <w:szCs w:val="24"/>
          <w:lang w:val="sq-AL"/>
        </w:rPr>
        <w:t>paraqitur komente ose opinione.</w:t>
      </w:r>
    </w:p>
    <w:p w14:paraId="06BDBD4B" w14:textId="386E30FB" w:rsidR="00C533E0" w:rsidRPr="00CC34DD" w:rsidRDefault="00C533E0" w:rsidP="00C533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4DD">
        <w:rPr>
          <w:rFonts w:ascii="Garamond" w:hAnsi="Garamond"/>
          <w:sz w:val="24"/>
          <w:szCs w:val="24"/>
          <w:lang w:val="sq-AL"/>
        </w:rPr>
        <w:t>- “Rregullat e përbashkëta të shlyerjes për shkëmbimin e energjisë</w:t>
      </w:r>
      <w:r w:rsidR="00CC34DD">
        <w:rPr>
          <w:rFonts w:ascii="Garamond" w:hAnsi="Garamond"/>
          <w:sz w:val="24"/>
          <w:szCs w:val="24"/>
          <w:lang w:val="sq-AL"/>
        </w:rPr>
        <w:t>,</w:t>
      </w:r>
      <w:r w:rsidRPr="00CC34DD">
        <w:rPr>
          <w:rFonts w:ascii="Garamond" w:hAnsi="Garamond"/>
          <w:sz w:val="24"/>
          <w:szCs w:val="24"/>
          <w:lang w:val="sq-AL"/>
        </w:rPr>
        <w:t xml:space="preserve"> në përputhje me nenet 50</w:t>
      </w:r>
      <w:r w:rsidR="00756D72">
        <w:rPr>
          <w:rFonts w:ascii="Garamond" w:hAnsi="Garamond"/>
          <w:sz w:val="24"/>
          <w:szCs w:val="24"/>
          <w:lang w:val="sq-AL"/>
        </w:rPr>
        <w:t xml:space="preserve"> </w:t>
      </w:r>
      <w:r w:rsidRPr="00CC34DD">
        <w:rPr>
          <w:rFonts w:ascii="Garamond" w:hAnsi="Garamond"/>
          <w:sz w:val="24"/>
          <w:szCs w:val="24"/>
          <w:lang w:val="sq-AL"/>
        </w:rPr>
        <w:t>(3) dhe 51</w:t>
      </w:r>
      <w:r w:rsidR="00756D72">
        <w:rPr>
          <w:rFonts w:ascii="Garamond" w:hAnsi="Garamond"/>
          <w:sz w:val="24"/>
          <w:szCs w:val="24"/>
          <w:lang w:val="sq-AL"/>
        </w:rPr>
        <w:t xml:space="preserve"> </w:t>
      </w:r>
      <w:r w:rsidRPr="00CC34DD">
        <w:rPr>
          <w:rFonts w:ascii="Garamond" w:hAnsi="Garamond"/>
          <w:sz w:val="24"/>
          <w:szCs w:val="24"/>
          <w:lang w:val="sq-AL"/>
        </w:rPr>
        <w:t>(1)</w:t>
      </w:r>
      <w:r w:rsidR="00CC34DD">
        <w:rPr>
          <w:rFonts w:ascii="Garamond" w:hAnsi="Garamond"/>
          <w:sz w:val="24"/>
          <w:szCs w:val="24"/>
          <w:lang w:val="sq-AL"/>
        </w:rPr>
        <w:t>,</w:t>
      </w:r>
      <w:r w:rsidRPr="00CC34DD">
        <w:rPr>
          <w:rFonts w:ascii="Garamond" w:hAnsi="Garamond"/>
          <w:sz w:val="24"/>
          <w:szCs w:val="24"/>
          <w:lang w:val="sq-AL"/>
        </w:rPr>
        <w:t xml:space="preserve"> të Komisionit Rregullator të Bashkimit Evropian 2017/2195”, të datës 23 </w:t>
      </w:r>
      <w:r w:rsidR="00CC34DD">
        <w:rPr>
          <w:rFonts w:ascii="Garamond" w:hAnsi="Garamond"/>
          <w:sz w:val="24"/>
          <w:szCs w:val="24"/>
          <w:lang w:val="sq-AL"/>
        </w:rPr>
        <w:t>n</w:t>
      </w:r>
      <w:r w:rsidRPr="00CC34DD">
        <w:rPr>
          <w:rFonts w:ascii="Garamond" w:hAnsi="Garamond"/>
          <w:sz w:val="24"/>
          <w:szCs w:val="24"/>
          <w:lang w:val="sq-AL"/>
        </w:rPr>
        <w:t>ëntor 2017, përbëhen nga:</w:t>
      </w:r>
    </w:p>
    <w:p w14:paraId="65C5FFCE" w14:textId="61176979" w:rsidR="00C533E0" w:rsidRPr="00CC34DD" w:rsidRDefault="00C533E0" w:rsidP="00C533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4DD">
        <w:rPr>
          <w:rFonts w:ascii="Garamond" w:hAnsi="Garamond"/>
          <w:sz w:val="24"/>
          <w:szCs w:val="24"/>
          <w:lang w:val="sq-AL"/>
        </w:rPr>
        <w:t>I. Të gjitha propozimet e TSO-ve Kontinentale Evropiane</w:t>
      </w:r>
      <w:r w:rsidR="00CC34DD">
        <w:rPr>
          <w:rFonts w:ascii="Garamond" w:hAnsi="Garamond"/>
          <w:sz w:val="24"/>
          <w:szCs w:val="24"/>
          <w:lang w:val="sq-AL"/>
        </w:rPr>
        <w:t>,</w:t>
      </w:r>
      <w:r w:rsidRPr="00CC34DD">
        <w:rPr>
          <w:rFonts w:ascii="Garamond" w:hAnsi="Garamond"/>
          <w:sz w:val="24"/>
          <w:szCs w:val="24"/>
          <w:lang w:val="sq-AL"/>
        </w:rPr>
        <w:t xml:space="preserve"> për rregullat e shlyerjeve të përbashkëta për të gjit</w:t>
      </w:r>
      <w:r w:rsidR="00CC34DD">
        <w:rPr>
          <w:rFonts w:ascii="Garamond" w:hAnsi="Garamond"/>
          <w:sz w:val="24"/>
          <w:szCs w:val="24"/>
          <w:lang w:val="sq-AL"/>
        </w:rPr>
        <w:t>ha shkëmbimet e energjisë të pa</w:t>
      </w:r>
      <w:r w:rsidRPr="00CC34DD">
        <w:rPr>
          <w:rFonts w:ascii="Garamond" w:hAnsi="Garamond"/>
          <w:sz w:val="24"/>
          <w:szCs w:val="24"/>
          <w:lang w:val="sq-AL"/>
        </w:rPr>
        <w:t>qëllimshme</w:t>
      </w:r>
      <w:r w:rsidR="00CC34DD">
        <w:rPr>
          <w:rFonts w:ascii="Garamond" w:hAnsi="Garamond"/>
          <w:sz w:val="24"/>
          <w:szCs w:val="24"/>
          <w:lang w:val="sq-AL"/>
        </w:rPr>
        <w:t>,</w:t>
      </w:r>
      <w:r w:rsidRPr="00CC34DD">
        <w:rPr>
          <w:rFonts w:ascii="Garamond" w:hAnsi="Garamond"/>
          <w:sz w:val="24"/>
          <w:szCs w:val="24"/>
          <w:lang w:val="sq-AL"/>
        </w:rPr>
        <w:t xml:space="preserve"> në përputhje me </w:t>
      </w:r>
      <w:r w:rsidR="00CC34DD">
        <w:rPr>
          <w:rFonts w:ascii="Garamond" w:hAnsi="Garamond"/>
          <w:sz w:val="24"/>
          <w:szCs w:val="24"/>
          <w:lang w:val="sq-AL"/>
        </w:rPr>
        <w:t>n</w:t>
      </w:r>
      <w:r w:rsidRPr="00CC34DD">
        <w:rPr>
          <w:rFonts w:ascii="Garamond" w:hAnsi="Garamond"/>
          <w:sz w:val="24"/>
          <w:szCs w:val="24"/>
          <w:lang w:val="sq-AL"/>
        </w:rPr>
        <w:t xml:space="preserve">enin 51 (1), të </w:t>
      </w:r>
      <w:r w:rsidR="00CC34DD">
        <w:rPr>
          <w:rFonts w:ascii="Garamond" w:hAnsi="Garamond"/>
          <w:sz w:val="24"/>
          <w:szCs w:val="24"/>
          <w:lang w:val="sq-AL"/>
        </w:rPr>
        <w:t>r</w:t>
      </w:r>
      <w:r w:rsidRPr="00CC34DD">
        <w:rPr>
          <w:rFonts w:ascii="Garamond" w:hAnsi="Garamond"/>
          <w:sz w:val="24"/>
          <w:szCs w:val="24"/>
          <w:lang w:val="sq-AL"/>
        </w:rPr>
        <w:t xml:space="preserve">regullores së Komisionit (BE) 2017/2195, të 23 </w:t>
      </w:r>
      <w:r w:rsidR="00CC34DD">
        <w:rPr>
          <w:rFonts w:ascii="Garamond" w:hAnsi="Garamond"/>
          <w:sz w:val="24"/>
          <w:szCs w:val="24"/>
          <w:lang w:val="sq-AL"/>
        </w:rPr>
        <w:t>n</w:t>
      </w:r>
      <w:r w:rsidRPr="00CC34DD">
        <w:rPr>
          <w:rFonts w:ascii="Garamond" w:hAnsi="Garamond"/>
          <w:sz w:val="24"/>
          <w:szCs w:val="24"/>
          <w:lang w:val="sq-AL"/>
        </w:rPr>
        <w:t>ëntorit 2017, për krijimin e një udhëzuesi mbi balancimin e energjisë elektrike.</w:t>
      </w:r>
    </w:p>
    <w:p w14:paraId="77F36902" w14:textId="21D314FA" w:rsidR="00C533E0" w:rsidRPr="00CC34DD" w:rsidRDefault="00C533E0" w:rsidP="00C533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4DD">
        <w:rPr>
          <w:rFonts w:ascii="Garamond" w:hAnsi="Garamond"/>
          <w:sz w:val="24"/>
          <w:szCs w:val="24"/>
          <w:lang w:val="sq-AL"/>
        </w:rPr>
        <w:t>Ky dokument është një propozim i përbashkët i zhvilluar nga të gjithë Operatorët e Sistemit të Transmetimit në Zonën Sinkronike të Evropës Kontinentale, në lidhje me zhvillimin e rregullave të përbashkëta të shlyerjes për të gjitha shkëmbi</w:t>
      </w:r>
      <w:r w:rsidR="00CC34DD">
        <w:rPr>
          <w:rFonts w:ascii="Garamond" w:hAnsi="Garamond"/>
          <w:sz w:val="24"/>
          <w:szCs w:val="24"/>
          <w:lang w:val="sq-AL"/>
        </w:rPr>
        <w:t>met e energjisë të paqëllimshme,</w:t>
      </w:r>
      <w:r w:rsidRPr="00CC34DD">
        <w:rPr>
          <w:rFonts w:ascii="Garamond" w:hAnsi="Garamond"/>
          <w:sz w:val="24"/>
          <w:szCs w:val="24"/>
          <w:lang w:val="sq-AL"/>
        </w:rPr>
        <w:t xml:space="preserve"> në përputhje me </w:t>
      </w:r>
      <w:r w:rsidR="00CC34DD">
        <w:rPr>
          <w:rFonts w:ascii="Garamond" w:hAnsi="Garamond"/>
          <w:sz w:val="24"/>
          <w:szCs w:val="24"/>
          <w:lang w:val="sq-AL"/>
        </w:rPr>
        <w:t>n</w:t>
      </w:r>
      <w:r w:rsidRPr="00CC34DD">
        <w:rPr>
          <w:rFonts w:ascii="Garamond" w:hAnsi="Garamond"/>
          <w:sz w:val="24"/>
          <w:szCs w:val="24"/>
          <w:lang w:val="sq-AL"/>
        </w:rPr>
        <w:t xml:space="preserve">enin 51 (1), të </w:t>
      </w:r>
      <w:r w:rsidR="00CC34DD">
        <w:rPr>
          <w:rFonts w:ascii="Garamond" w:hAnsi="Garamond"/>
          <w:sz w:val="24"/>
          <w:szCs w:val="24"/>
          <w:lang w:val="sq-AL"/>
        </w:rPr>
        <w:t>r</w:t>
      </w:r>
      <w:r w:rsidRPr="00CC34DD">
        <w:rPr>
          <w:rFonts w:ascii="Garamond" w:hAnsi="Garamond"/>
          <w:sz w:val="24"/>
          <w:szCs w:val="24"/>
          <w:lang w:val="sq-AL"/>
        </w:rPr>
        <w:t xml:space="preserve">regullores së Komisionit (BE) 2017/2195, të 23 </w:t>
      </w:r>
      <w:r w:rsidR="00CC34DD">
        <w:rPr>
          <w:rFonts w:ascii="Garamond" w:hAnsi="Garamond"/>
          <w:sz w:val="24"/>
          <w:szCs w:val="24"/>
          <w:lang w:val="sq-AL"/>
        </w:rPr>
        <w:t>n</w:t>
      </w:r>
      <w:r w:rsidRPr="00CC34DD">
        <w:rPr>
          <w:rFonts w:ascii="Garamond" w:hAnsi="Garamond"/>
          <w:sz w:val="24"/>
          <w:szCs w:val="24"/>
          <w:lang w:val="sq-AL"/>
        </w:rPr>
        <w:t>ëntorit 2017, për krijimin e një udhëzuesi mbi balancimin e energjisë elektrike.</w:t>
      </w:r>
    </w:p>
    <w:p w14:paraId="50107680" w14:textId="7C64C2C1" w:rsidR="00C533E0" w:rsidRPr="00CC34DD" w:rsidRDefault="00C533E0" w:rsidP="00C533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4DD">
        <w:rPr>
          <w:rFonts w:ascii="Garamond" w:hAnsi="Garamond"/>
          <w:sz w:val="24"/>
          <w:szCs w:val="24"/>
          <w:lang w:val="sq-AL"/>
        </w:rPr>
        <w:t>II. Të gjitha propozimet e TSO-ve Kontinentale Evropiane</w:t>
      </w:r>
      <w:r w:rsidR="00CC34DD">
        <w:rPr>
          <w:rFonts w:ascii="Garamond" w:hAnsi="Garamond"/>
          <w:sz w:val="24"/>
          <w:szCs w:val="24"/>
          <w:lang w:val="sq-AL"/>
        </w:rPr>
        <w:t>,</w:t>
      </w:r>
      <w:r w:rsidRPr="00CC34DD">
        <w:rPr>
          <w:rFonts w:ascii="Garamond" w:hAnsi="Garamond"/>
          <w:sz w:val="24"/>
          <w:szCs w:val="24"/>
          <w:lang w:val="sq-AL"/>
        </w:rPr>
        <w:t xml:space="preserve"> për rregullat e shlyerjeve të përbashkëta për shkëmbimet e qëllimshme të energjisë si rezultat i procesit të kontrollit të frekuencave dhe periudhës së ndryshimit (rritje/ulje), në përputhje me </w:t>
      </w:r>
      <w:r w:rsidR="00CC34DD">
        <w:rPr>
          <w:rFonts w:ascii="Garamond" w:hAnsi="Garamond"/>
          <w:sz w:val="24"/>
          <w:szCs w:val="24"/>
          <w:lang w:val="sq-AL"/>
        </w:rPr>
        <w:t>n</w:t>
      </w:r>
      <w:r w:rsidRPr="00CC34DD">
        <w:rPr>
          <w:rFonts w:ascii="Garamond" w:hAnsi="Garamond"/>
          <w:sz w:val="24"/>
          <w:szCs w:val="24"/>
          <w:lang w:val="sq-AL"/>
        </w:rPr>
        <w:t xml:space="preserve">enin 50 (3), </w:t>
      </w:r>
      <w:r w:rsidR="00CC34DD">
        <w:rPr>
          <w:rFonts w:ascii="Garamond" w:hAnsi="Garamond"/>
          <w:sz w:val="24"/>
          <w:szCs w:val="24"/>
          <w:lang w:val="sq-AL"/>
        </w:rPr>
        <w:t>të</w:t>
      </w:r>
      <w:r w:rsidRPr="00CC34DD">
        <w:rPr>
          <w:rFonts w:ascii="Garamond" w:hAnsi="Garamond"/>
          <w:sz w:val="24"/>
          <w:szCs w:val="24"/>
          <w:lang w:val="sq-AL"/>
        </w:rPr>
        <w:t xml:space="preserve"> </w:t>
      </w:r>
      <w:r w:rsidR="00CC34DD">
        <w:rPr>
          <w:rFonts w:ascii="Garamond" w:hAnsi="Garamond"/>
          <w:sz w:val="24"/>
          <w:szCs w:val="24"/>
          <w:lang w:val="sq-AL"/>
        </w:rPr>
        <w:t>r</w:t>
      </w:r>
      <w:r w:rsidRPr="00CC34DD">
        <w:rPr>
          <w:rFonts w:ascii="Garamond" w:hAnsi="Garamond"/>
          <w:sz w:val="24"/>
          <w:szCs w:val="24"/>
          <w:lang w:val="sq-AL"/>
        </w:rPr>
        <w:t xml:space="preserve">regullores së Komisionit (BE) 2017/2195, të 23 </w:t>
      </w:r>
      <w:r w:rsidR="00CC34DD">
        <w:rPr>
          <w:rFonts w:ascii="Garamond" w:hAnsi="Garamond"/>
          <w:sz w:val="24"/>
          <w:szCs w:val="24"/>
          <w:lang w:val="sq-AL"/>
        </w:rPr>
        <w:t>n</w:t>
      </w:r>
      <w:r w:rsidRPr="00CC34DD">
        <w:rPr>
          <w:rFonts w:ascii="Garamond" w:hAnsi="Garamond"/>
          <w:sz w:val="24"/>
          <w:szCs w:val="24"/>
          <w:lang w:val="sq-AL"/>
        </w:rPr>
        <w:t>ëntorit 2017, për krijimin e një udhëzuesi mbi balancimin e energjisë elektrike.</w:t>
      </w:r>
    </w:p>
    <w:p w14:paraId="229EE13F" w14:textId="27D919F7" w:rsidR="00C533E0" w:rsidRPr="00CC34DD" w:rsidRDefault="00C533E0" w:rsidP="00C533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4DD">
        <w:rPr>
          <w:rFonts w:ascii="Garamond" w:hAnsi="Garamond"/>
          <w:sz w:val="24"/>
          <w:szCs w:val="24"/>
          <w:lang w:val="sq-AL"/>
        </w:rPr>
        <w:lastRenderedPageBreak/>
        <w:t>Ky dokument gjithashtu është një propozim i përbashkët i zhvilluar nga të gjithë Operatorët e Sistemit të Transmetimit në Zonën Sinkronike të Evropës Kontinentale</w:t>
      </w:r>
      <w:r w:rsidR="00CC34DD">
        <w:rPr>
          <w:rFonts w:ascii="Garamond" w:hAnsi="Garamond"/>
          <w:sz w:val="24"/>
          <w:szCs w:val="24"/>
          <w:lang w:val="sq-AL"/>
        </w:rPr>
        <w:t>,</w:t>
      </w:r>
      <w:r w:rsidRPr="00CC34DD">
        <w:rPr>
          <w:rFonts w:ascii="Garamond" w:hAnsi="Garamond"/>
          <w:sz w:val="24"/>
          <w:szCs w:val="24"/>
          <w:lang w:val="sq-AL"/>
        </w:rPr>
        <w:t xml:space="preserve"> në lidhje me zhvillimin e rregullave të përbashkëta të shlyerjes</w:t>
      </w:r>
      <w:r w:rsidR="00CC34DD">
        <w:rPr>
          <w:rFonts w:ascii="Garamond" w:hAnsi="Garamond"/>
          <w:sz w:val="24"/>
          <w:szCs w:val="24"/>
          <w:lang w:val="sq-AL"/>
        </w:rPr>
        <w:t>,</w:t>
      </w:r>
      <w:r w:rsidRPr="00CC34DD">
        <w:rPr>
          <w:rFonts w:ascii="Garamond" w:hAnsi="Garamond"/>
          <w:sz w:val="24"/>
          <w:szCs w:val="24"/>
          <w:lang w:val="sq-AL"/>
        </w:rPr>
        <w:t xml:space="preserve"> për të gjitha shkëmbimet e qëllimshme të energjisë si rezultat i procesit të kontrollit të frekuencës dhe periudhës së ndryshimit (rritje/ulje)</w:t>
      </w:r>
      <w:r w:rsidR="00CC34DD">
        <w:rPr>
          <w:rFonts w:ascii="Garamond" w:hAnsi="Garamond"/>
          <w:sz w:val="24"/>
          <w:szCs w:val="24"/>
          <w:lang w:val="sq-AL"/>
        </w:rPr>
        <w:t>,</w:t>
      </w:r>
      <w:r w:rsidRPr="00CC34DD">
        <w:rPr>
          <w:rFonts w:ascii="Garamond" w:hAnsi="Garamond"/>
          <w:sz w:val="24"/>
          <w:szCs w:val="24"/>
          <w:lang w:val="sq-AL"/>
        </w:rPr>
        <w:t xml:space="preserve"> në përputhje me </w:t>
      </w:r>
      <w:r w:rsidR="00CC34DD">
        <w:rPr>
          <w:rFonts w:ascii="Garamond" w:hAnsi="Garamond"/>
          <w:sz w:val="24"/>
          <w:szCs w:val="24"/>
          <w:lang w:val="sq-AL"/>
        </w:rPr>
        <w:t>n</w:t>
      </w:r>
      <w:r w:rsidRPr="00CC34DD">
        <w:rPr>
          <w:rFonts w:ascii="Garamond" w:hAnsi="Garamond"/>
          <w:sz w:val="24"/>
          <w:szCs w:val="24"/>
          <w:lang w:val="sq-AL"/>
        </w:rPr>
        <w:t xml:space="preserve">enin 50 (3), të </w:t>
      </w:r>
      <w:r w:rsidR="00CC34DD">
        <w:rPr>
          <w:rFonts w:ascii="Garamond" w:hAnsi="Garamond"/>
          <w:sz w:val="24"/>
          <w:szCs w:val="24"/>
          <w:lang w:val="sq-AL"/>
        </w:rPr>
        <w:t>r</w:t>
      </w:r>
      <w:r w:rsidRPr="00CC34DD">
        <w:rPr>
          <w:rFonts w:ascii="Garamond" w:hAnsi="Garamond"/>
          <w:sz w:val="24"/>
          <w:szCs w:val="24"/>
          <w:lang w:val="sq-AL"/>
        </w:rPr>
        <w:t xml:space="preserve">regullores së Komisionit (BE) 2017/2195, të 23 </w:t>
      </w:r>
      <w:r w:rsidR="00CC34DD">
        <w:rPr>
          <w:rFonts w:ascii="Garamond" w:hAnsi="Garamond"/>
          <w:sz w:val="24"/>
          <w:szCs w:val="24"/>
          <w:lang w:val="sq-AL"/>
        </w:rPr>
        <w:t>n</w:t>
      </w:r>
      <w:r w:rsidRPr="00CC34DD">
        <w:rPr>
          <w:rFonts w:ascii="Garamond" w:hAnsi="Garamond"/>
          <w:sz w:val="24"/>
          <w:szCs w:val="24"/>
          <w:lang w:val="sq-AL"/>
        </w:rPr>
        <w:t>ëntorit 2017, për krijimin e një udhëzuesi mbi balancimin e energjisë elektrike. Ky mekanizëm do të përdoret si një mekanizëm i përbashkët i shlyerjes së devijimeve për Evropën Kontinentale</w:t>
      </w:r>
      <w:r w:rsidR="00CC34DD">
        <w:rPr>
          <w:rFonts w:ascii="Garamond" w:hAnsi="Garamond"/>
          <w:sz w:val="24"/>
          <w:szCs w:val="24"/>
          <w:lang w:val="sq-AL"/>
        </w:rPr>
        <w:t>,</w:t>
      </w:r>
      <w:r w:rsidRPr="00CC34DD">
        <w:rPr>
          <w:rFonts w:ascii="Garamond" w:hAnsi="Garamond"/>
          <w:sz w:val="24"/>
          <w:szCs w:val="24"/>
          <w:lang w:val="sq-AL"/>
        </w:rPr>
        <w:t xml:space="preserve"> për shkëmbimet e qëllimshme të energjisë si rezultat i procesit të kontrollit të frekuencës dhe periudhës së ndryshimit (rritje/ulje).</w:t>
      </w:r>
    </w:p>
    <w:p w14:paraId="4433F212" w14:textId="17E13748" w:rsidR="00C533E0" w:rsidRPr="00CC34DD" w:rsidRDefault="00C533E0" w:rsidP="00C533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4DD">
        <w:rPr>
          <w:rFonts w:ascii="Garamond" w:hAnsi="Garamond"/>
          <w:sz w:val="24"/>
          <w:szCs w:val="24"/>
          <w:lang w:val="sq-AL"/>
        </w:rPr>
        <w:t>- Ligji nr. 43/2015</w:t>
      </w:r>
      <w:r w:rsidR="00CC34DD">
        <w:rPr>
          <w:rFonts w:ascii="Garamond" w:hAnsi="Garamond"/>
          <w:sz w:val="24"/>
          <w:szCs w:val="24"/>
          <w:lang w:val="sq-AL"/>
        </w:rPr>
        <w:t>,</w:t>
      </w:r>
      <w:r w:rsidRPr="00CC34DD">
        <w:rPr>
          <w:rFonts w:ascii="Garamond" w:hAnsi="Garamond"/>
          <w:sz w:val="24"/>
          <w:szCs w:val="24"/>
          <w:lang w:val="sq-AL"/>
        </w:rPr>
        <w:t xml:space="preserve"> “Për sektorin e energjisë elektrike”, i ndryshuar, në nenin 55, pika 3, përcakton se: “Operatori i Sistemit të Transmetimit shkëmben ose ndan shërbimet e balancimit me operatorët e sistemit të transmetimit të shteteve fqinje</w:t>
      </w:r>
      <w:r w:rsidR="00CC34DD">
        <w:rPr>
          <w:rFonts w:ascii="Garamond" w:hAnsi="Garamond"/>
          <w:sz w:val="24"/>
          <w:szCs w:val="24"/>
          <w:lang w:val="sq-AL"/>
        </w:rPr>
        <w:t>,</w:t>
      </w:r>
      <w:r w:rsidRPr="00CC34DD">
        <w:rPr>
          <w:rFonts w:ascii="Garamond" w:hAnsi="Garamond"/>
          <w:sz w:val="24"/>
          <w:szCs w:val="24"/>
          <w:lang w:val="sq-AL"/>
        </w:rPr>
        <w:t xml:space="preserve"> për rregullimin e frekuencës brenda rrjetit, në përputhje me marrëveshjet operacionale ndërmjet operatorëve të sistemit të transmetimit të rajonit dhe parashikimeve të këtij ligji për promovimin e bashkëpunimit rajonal”.</w:t>
      </w:r>
    </w:p>
    <w:p w14:paraId="17DA819F" w14:textId="4517FB3E" w:rsidR="00C533E0" w:rsidRPr="00CC34DD" w:rsidRDefault="00C533E0" w:rsidP="00C533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4DD">
        <w:rPr>
          <w:rFonts w:ascii="Garamond" w:hAnsi="Garamond"/>
          <w:sz w:val="24"/>
          <w:szCs w:val="24"/>
          <w:lang w:val="sq-AL"/>
        </w:rPr>
        <w:t>- Duke marrë në kon</w:t>
      </w:r>
      <w:r w:rsidR="00CC34DD">
        <w:rPr>
          <w:rFonts w:ascii="Garamond" w:hAnsi="Garamond"/>
          <w:sz w:val="24"/>
          <w:szCs w:val="24"/>
          <w:lang w:val="sq-AL"/>
        </w:rPr>
        <w:t>sideratë detyrimet që OST sh.a.</w:t>
      </w:r>
      <w:r w:rsidRPr="00CC34DD">
        <w:rPr>
          <w:rFonts w:ascii="Garamond" w:hAnsi="Garamond"/>
          <w:sz w:val="24"/>
          <w:szCs w:val="24"/>
          <w:lang w:val="sq-AL"/>
        </w:rPr>
        <w:t xml:space="preserve"> ka si palë e ENTSO-E, si dhe faktin që ky mekanizëm i propozuar është një mekanizëm që është dakordësuar nga gjithë OST-të në Evropën </w:t>
      </w:r>
      <w:r w:rsidR="00CC34DD">
        <w:rPr>
          <w:rFonts w:ascii="Garamond" w:hAnsi="Garamond"/>
          <w:sz w:val="24"/>
          <w:szCs w:val="24"/>
          <w:lang w:val="sq-AL"/>
        </w:rPr>
        <w:t>Kontinentale, anëtarë të ENTSO-</w:t>
      </w:r>
      <w:r w:rsidRPr="00CC34DD">
        <w:rPr>
          <w:rFonts w:ascii="Garamond" w:hAnsi="Garamond"/>
          <w:sz w:val="24"/>
          <w:szCs w:val="24"/>
          <w:lang w:val="sq-AL"/>
        </w:rPr>
        <w:t>E, për rrjedhoj</w:t>
      </w:r>
      <w:r w:rsidR="00CC34DD">
        <w:rPr>
          <w:rFonts w:ascii="Garamond" w:hAnsi="Garamond"/>
          <w:sz w:val="24"/>
          <w:szCs w:val="24"/>
          <w:lang w:val="sq-AL"/>
        </w:rPr>
        <w:t>ë</w:t>
      </w:r>
      <w:r w:rsidRPr="00CC34DD">
        <w:rPr>
          <w:rFonts w:ascii="Garamond" w:hAnsi="Garamond"/>
          <w:sz w:val="24"/>
          <w:szCs w:val="24"/>
          <w:lang w:val="sq-AL"/>
        </w:rPr>
        <w:t xml:space="preserve"> nuk mund të ndryshojë pasi është mekanizëm i përbashkët që afekton g</w:t>
      </w:r>
      <w:r w:rsidR="00CC34DD">
        <w:rPr>
          <w:rFonts w:ascii="Garamond" w:hAnsi="Garamond"/>
          <w:sz w:val="24"/>
          <w:szCs w:val="24"/>
          <w:lang w:val="sq-AL"/>
        </w:rPr>
        <w:t>jithë OST-të anëtare të ENTSO-</w:t>
      </w:r>
      <w:r w:rsidRPr="00CC34DD">
        <w:rPr>
          <w:rFonts w:ascii="Garamond" w:hAnsi="Garamond"/>
          <w:sz w:val="24"/>
          <w:szCs w:val="24"/>
          <w:lang w:val="sq-AL"/>
        </w:rPr>
        <w:t xml:space="preserve">E. </w:t>
      </w:r>
    </w:p>
    <w:p w14:paraId="34AB6583" w14:textId="59BFD0CB" w:rsidR="00C533E0" w:rsidRPr="00CC34DD" w:rsidRDefault="00C533E0" w:rsidP="00C533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4DD">
        <w:rPr>
          <w:rFonts w:ascii="Garamond" w:hAnsi="Garamond"/>
          <w:sz w:val="24"/>
          <w:szCs w:val="24"/>
          <w:lang w:val="sq-AL"/>
        </w:rPr>
        <w:t>- Rregullat e përbashkëta të shlyerjes për shkëmbimin e energjisë</w:t>
      </w:r>
      <w:r w:rsidR="00CC34DD">
        <w:rPr>
          <w:rFonts w:ascii="Garamond" w:hAnsi="Garamond"/>
          <w:sz w:val="24"/>
          <w:szCs w:val="24"/>
          <w:lang w:val="sq-AL"/>
        </w:rPr>
        <w:t>,</w:t>
      </w:r>
      <w:r w:rsidRPr="00CC34DD">
        <w:rPr>
          <w:rFonts w:ascii="Garamond" w:hAnsi="Garamond"/>
          <w:sz w:val="24"/>
          <w:szCs w:val="24"/>
          <w:lang w:val="sq-AL"/>
        </w:rPr>
        <w:t xml:space="preserve"> në përputhje me nenet 50 (3) dhe 51 (1), të Komisionit Rregullator të Bashkimit Evropian 2017/2195, priten të aplikohen nga OST</w:t>
      </w:r>
      <w:r w:rsidR="00CC34DD">
        <w:rPr>
          <w:rFonts w:ascii="Garamond" w:hAnsi="Garamond"/>
          <w:sz w:val="24"/>
          <w:szCs w:val="24"/>
          <w:lang w:val="sq-AL"/>
        </w:rPr>
        <w:t>-të</w:t>
      </w:r>
      <w:r w:rsidRPr="00CC34DD">
        <w:rPr>
          <w:rFonts w:ascii="Garamond" w:hAnsi="Garamond"/>
          <w:sz w:val="24"/>
          <w:szCs w:val="24"/>
          <w:lang w:val="sq-AL"/>
        </w:rPr>
        <w:t xml:space="preserve"> e Evropës </w:t>
      </w:r>
      <w:r w:rsidR="00CC34DD">
        <w:rPr>
          <w:rFonts w:ascii="Garamond" w:hAnsi="Garamond"/>
          <w:sz w:val="24"/>
          <w:szCs w:val="24"/>
          <w:lang w:val="sq-AL"/>
        </w:rPr>
        <w:t>K</w:t>
      </w:r>
      <w:r w:rsidRPr="00CC34DD">
        <w:rPr>
          <w:rFonts w:ascii="Garamond" w:hAnsi="Garamond"/>
          <w:sz w:val="24"/>
          <w:szCs w:val="24"/>
          <w:lang w:val="sq-AL"/>
        </w:rPr>
        <w:t>ontinentale</w:t>
      </w:r>
      <w:r w:rsidR="00CC34DD">
        <w:rPr>
          <w:rFonts w:ascii="Garamond" w:hAnsi="Garamond"/>
          <w:sz w:val="24"/>
          <w:szCs w:val="24"/>
          <w:lang w:val="sq-AL"/>
        </w:rPr>
        <w:t>,</w:t>
      </w:r>
      <w:r w:rsidRPr="00CC34DD">
        <w:rPr>
          <w:rFonts w:ascii="Garamond" w:hAnsi="Garamond"/>
          <w:sz w:val="24"/>
          <w:szCs w:val="24"/>
          <w:lang w:val="sq-AL"/>
        </w:rPr>
        <w:t xml:space="preserve"> anëtar</w:t>
      </w:r>
      <w:r w:rsidR="00CC34DD">
        <w:rPr>
          <w:rFonts w:ascii="Garamond" w:hAnsi="Garamond"/>
          <w:sz w:val="24"/>
          <w:szCs w:val="24"/>
          <w:lang w:val="sq-AL"/>
        </w:rPr>
        <w:t>e të ENTSO-</w:t>
      </w:r>
      <w:r w:rsidRPr="00CC34DD">
        <w:rPr>
          <w:rFonts w:ascii="Garamond" w:hAnsi="Garamond"/>
          <w:sz w:val="24"/>
          <w:szCs w:val="24"/>
          <w:lang w:val="sq-AL"/>
        </w:rPr>
        <w:t xml:space="preserve">E, që nga data 1 </w:t>
      </w:r>
      <w:r w:rsidR="00CC34DD">
        <w:rPr>
          <w:rFonts w:ascii="Garamond" w:hAnsi="Garamond"/>
          <w:sz w:val="24"/>
          <w:szCs w:val="24"/>
          <w:lang w:val="sq-AL"/>
        </w:rPr>
        <w:t>q</w:t>
      </w:r>
      <w:r w:rsidRPr="00CC34DD">
        <w:rPr>
          <w:rFonts w:ascii="Garamond" w:hAnsi="Garamond"/>
          <w:sz w:val="24"/>
          <w:szCs w:val="24"/>
          <w:lang w:val="sq-AL"/>
        </w:rPr>
        <w:t>ershor 2021.</w:t>
      </w:r>
    </w:p>
    <w:p w14:paraId="069751EA" w14:textId="351BF18A" w:rsidR="00C533E0" w:rsidRPr="00CC34DD" w:rsidRDefault="00C533E0" w:rsidP="00C533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4DD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CC34DD">
        <w:rPr>
          <w:rFonts w:ascii="Garamond" w:hAnsi="Garamond"/>
          <w:sz w:val="24"/>
          <w:szCs w:val="24"/>
          <w:lang w:val="sq-AL"/>
        </w:rPr>
        <w:t>Bordi i ERE-s</w:t>
      </w:r>
    </w:p>
    <w:p w14:paraId="762E2C3C" w14:textId="77777777" w:rsidR="00C533E0" w:rsidRPr="00CC34DD" w:rsidRDefault="00C533E0" w:rsidP="00C533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63FCC5" w14:textId="561D3602" w:rsidR="00C533E0" w:rsidRPr="00CC34DD" w:rsidRDefault="00C533E0" w:rsidP="00C533E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CC34DD">
        <w:rPr>
          <w:rFonts w:ascii="Garamond" w:hAnsi="Garamond"/>
          <w:sz w:val="24"/>
          <w:szCs w:val="24"/>
          <w:lang w:val="sq-AL"/>
        </w:rPr>
        <w:t>VENDOSI:</w:t>
      </w:r>
    </w:p>
    <w:p w14:paraId="6AE4FEE2" w14:textId="77777777" w:rsidR="00C533E0" w:rsidRPr="00CC34DD" w:rsidRDefault="00C533E0" w:rsidP="00C533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1324D3" w14:textId="714E6ADE" w:rsidR="00C533E0" w:rsidRPr="00CC34DD" w:rsidRDefault="00C533E0" w:rsidP="00C533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4DD">
        <w:rPr>
          <w:rFonts w:ascii="Garamond" w:hAnsi="Garamond"/>
          <w:sz w:val="24"/>
          <w:szCs w:val="24"/>
          <w:lang w:val="sq-AL"/>
        </w:rPr>
        <w:t xml:space="preserve">1. Miratimin e </w:t>
      </w:r>
      <w:r w:rsidR="00CC34DD">
        <w:rPr>
          <w:rFonts w:ascii="Garamond" w:hAnsi="Garamond"/>
          <w:sz w:val="24"/>
          <w:szCs w:val="24"/>
          <w:lang w:val="sq-AL"/>
        </w:rPr>
        <w:t>r</w:t>
      </w:r>
      <w:r w:rsidRPr="00CC34DD">
        <w:rPr>
          <w:rFonts w:ascii="Garamond" w:hAnsi="Garamond"/>
          <w:sz w:val="24"/>
          <w:szCs w:val="24"/>
          <w:lang w:val="sq-AL"/>
        </w:rPr>
        <w:t>regullave të përbashkëta të shlyerjes për shkëmbimin e energjisë</w:t>
      </w:r>
      <w:r w:rsidR="00CC34DD">
        <w:rPr>
          <w:rFonts w:ascii="Garamond" w:hAnsi="Garamond"/>
          <w:sz w:val="24"/>
          <w:szCs w:val="24"/>
          <w:lang w:val="sq-AL"/>
        </w:rPr>
        <w:t>,</w:t>
      </w:r>
      <w:r w:rsidRPr="00CC34DD">
        <w:rPr>
          <w:rFonts w:ascii="Garamond" w:hAnsi="Garamond"/>
          <w:sz w:val="24"/>
          <w:szCs w:val="24"/>
          <w:lang w:val="sq-AL"/>
        </w:rPr>
        <w:t xml:space="preserve"> në përputhje me nenet 50</w:t>
      </w:r>
      <w:r w:rsidR="00756D72">
        <w:rPr>
          <w:rFonts w:ascii="Garamond" w:hAnsi="Garamond"/>
          <w:sz w:val="24"/>
          <w:szCs w:val="24"/>
          <w:lang w:val="sq-AL"/>
        </w:rPr>
        <w:t xml:space="preserve"> </w:t>
      </w:r>
      <w:r w:rsidRPr="00CC34DD">
        <w:rPr>
          <w:rFonts w:ascii="Garamond" w:hAnsi="Garamond"/>
          <w:sz w:val="24"/>
          <w:szCs w:val="24"/>
          <w:lang w:val="sq-AL"/>
        </w:rPr>
        <w:t>(3) dhe 51</w:t>
      </w:r>
      <w:r w:rsidR="00756D72">
        <w:rPr>
          <w:rFonts w:ascii="Garamond" w:hAnsi="Garamond"/>
          <w:sz w:val="24"/>
          <w:szCs w:val="24"/>
          <w:lang w:val="sq-AL"/>
        </w:rPr>
        <w:t xml:space="preserve"> </w:t>
      </w:r>
      <w:r w:rsidRPr="00CC34DD">
        <w:rPr>
          <w:rFonts w:ascii="Garamond" w:hAnsi="Garamond"/>
          <w:sz w:val="24"/>
          <w:szCs w:val="24"/>
          <w:lang w:val="sq-AL"/>
        </w:rPr>
        <w:t>(1), të Komisionit Rregullator të Bashkimit Evropian 2017/2195, të përb</w:t>
      </w:r>
      <w:r w:rsidR="00CC34DD">
        <w:rPr>
          <w:rFonts w:ascii="Garamond" w:hAnsi="Garamond"/>
          <w:sz w:val="24"/>
          <w:szCs w:val="24"/>
          <w:lang w:val="sq-AL"/>
        </w:rPr>
        <w:t>ë</w:t>
      </w:r>
      <w:r w:rsidRPr="00CC34DD">
        <w:rPr>
          <w:rFonts w:ascii="Garamond" w:hAnsi="Garamond"/>
          <w:sz w:val="24"/>
          <w:szCs w:val="24"/>
          <w:lang w:val="sq-AL"/>
        </w:rPr>
        <w:t>rë nga:</w:t>
      </w:r>
    </w:p>
    <w:p w14:paraId="6F78B540" w14:textId="58501E2B" w:rsidR="00C533E0" w:rsidRPr="00CC34DD" w:rsidRDefault="00C533E0" w:rsidP="00C533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4DD">
        <w:rPr>
          <w:rFonts w:ascii="Garamond" w:hAnsi="Garamond"/>
          <w:sz w:val="24"/>
          <w:szCs w:val="24"/>
          <w:lang w:val="sq-AL"/>
        </w:rPr>
        <w:t xml:space="preserve">I. Të gjitha propozimet e TSO-ve </w:t>
      </w:r>
      <w:r w:rsidR="00CC34DD">
        <w:rPr>
          <w:rFonts w:ascii="Garamond" w:hAnsi="Garamond"/>
          <w:sz w:val="24"/>
          <w:szCs w:val="24"/>
          <w:lang w:val="sq-AL"/>
        </w:rPr>
        <w:t>K</w:t>
      </w:r>
      <w:r w:rsidRPr="00CC34DD">
        <w:rPr>
          <w:rFonts w:ascii="Garamond" w:hAnsi="Garamond"/>
          <w:sz w:val="24"/>
          <w:szCs w:val="24"/>
          <w:lang w:val="sq-AL"/>
        </w:rPr>
        <w:t>ontinentale Evropiane për rregullat e shlyerjeve të përbashkëta</w:t>
      </w:r>
      <w:r w:rsidR="00CC34DD">
        <w:rPr>
          <w:rFonts w:ascii="Garamond" w:hAnsi="Garamond"/>
          <w:sz w:val="24"/>
          <w:szCs w:val="24"/>
          <w:lang w:val="sq-AL"/>
        </w:rPr>
        <w:t>,</w:t>
      </w:r>
      <w:r w:rsidRPr="00CC34DD">
        <w:rPr>
          <w:rFonts w:ascii="Garamond" w:hAnsi="Garamond"/>
          <w:sz w:val="24"/>
          <w:szCs w:val="24"/>
          <w:lang w:val="sq-AL"/>
        </w:rPr>
        <w:t xml:space="preserve"> për të gjit</w:t>
      </w:r>
      <w:r w:rsidR="00CC34DD">
        <w:rPr>
          <w:rFonts w:ascii="Garamond" w:hAnsi="Garamond"/>
          <w:sz w:val="24"/>
          <w:szCs w:val="24"/>
          <w:lang w:val="sq-AL"/>
        </w:rPr>
        <w:t>ha shkëmbimet e energjisë të pa</w:t>
      </w:r>
      <w:r w:rsidRPr="00CC34DD">
        <w:rPr>
          <w:rFonts w:ascii="Garamond" w:hAnsi="Garamond"/>
          <w:sz w:val="24"/>
          <w:szCs w:val="24"/>
          <w:lang w:val="sq-AL"/>
        </w:rPr>
        <w:t>qëllimshme</w:t>
      </w:r>
      <w:r w:rsidR="00CC34DD">
        <w:rPr>
          <w:rFonts w:ascii="Garamond" w:hAnsi="Garamond"/>
          <w:sz w:val="24"/>
          <w:szCs w:val="24"/>
          <w:lang w:val="sq-AL"/>
        </w:rPr>
        <w:t>,</w:t>
      </w:r>
      <w:r w:rsidRPr="00CC34DD">
        <w:rPr>
          <w:rFonts w:ascii="Garamond" w:hAnsi="Garamond"/>
          <w:sz w:val="24"/>
          <w:szCs w:val="24"/>
          <w:lang w:val="sq-AL"/>
        </w:rPr>
        <w:t xml:space="preserve"> në përputhje me </w:t>
      </w:r>
      <w:r w:rsidR="00CC34DD">
        <w:rPr>
          <w:rFonts w:ascii="Garamond" w:hAnsi="Garamond"/>
          <w:sz w:val="24"/>
          <w:szCs w:val="24"/>
          <w:lang w:val="sq-AL"/>
        </w:rPr>
        <w:t>n</w:t>
      </w:r>
      <w:r w:rsidRPr="00CC34DD">
        <w:rPr>
          <w:rFonts w:ascii="Garamond" w:hAnsi="Garamond"/>
          <w:sz w:val="24"/>
          <w:szCs w:val="24"/>
          <w:lang w:val="sq-AL"/>
        </w:rPr>
        <w:t xml:space="preserve">enin 51 (1), të </w:t>
      </w:r>
      <w:r w:rsidR="00CC34DD">
        <w:rPr>
          <w:rFonts w:ascii="Garamond" w:hAnsi="Garamond"/>
          <w:sz w:val="24"/>
          <w:szCs w:val="24"/>
          <w:lang w:val="sq-AL"/>
        </w:rPr>
        <w:t>r</w:t>
      </w:r>
      <w:r w:rsidRPr="00CC34DD">
        <w:rPr>
          <w:rFonts w:ascii="Garamond" w:hAnsi="Garamond"/>
          <w:sz w:val="24"/>
          <w:szCs w:val="24"/>
          <w:lang w:val="sq-AL"/>
        </w:rPr>
        <w:t xml:space="preserve">regullores së Komisionit (BE) 2017/2195, të 23 nëntorit 2017, për krijimin e një udhëzuesi mbi balancimin e energjisë elektrike </w:t>
      </w:r>
      <w:r w:rsidRPr="00ED424E">
        <w:rPr>
          <w:rFonts w:ascii="Garamond" w:hAnsi="Garamond"/>
          <w:sz w:val="24"/>
          <w:szCs w:val="24"/>
          <w:lang w:val="sq-AL"/>
        </w:rPr>
        <w:t>(bashkëlidhur këtij vendimi)</w:t>
      </w:r>
      <w:r w:rsidR="00CC34DD" w:rsidRPr="00ED424E">
        <w:rPr>
          <w:rFonts w:ascii="Garamond" w:hAnsi="Garamond"/>
          <w:sz w:val="24"/>
          <w:szCs w:val="24"/>
          <w:lang w:val="sq-AL"/>
        </w:rPr>
        <w:t>.</w:t>
      </w:r>
    </w:p>
    <w:p w14:paraId="04CE492C" w14:textId="14A23CDA" w:rsidR="00C533E0" w:rsidRPr="00ED424E" w:rsidRDefault="00C533E0" w:rsidP="00C533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4DD">
        <w:rPr>
          <w:rFonts w:ascii="Garamond" w:hAnsi="Garamond"/>
          <w:sz w:val="24"/>
          <w:szCs w:val="24"/>
          <w:lang w:val="sq-AL"/>
        </w:rPr>
        <w:t xml:space="preserve">II. Të gjitha propozimet e TSO-ve </w:t>
      </w:r>
      <w:r w:rsidR="00CC34DD" w:rsidRPr="00CC34DD">
        <w:rPr>
          <w:rFonts w:ascii="Garamond" w:hAnsi="Garamond"/>
          <w:sz w:val="24"/>
          <w:szCs w:val="24"/>
          <w:lang w:val="sq-AL"/>
        </w:rPr>
        <w:t xml:space="preserve">Kontinentale Evropiane </w:t>
      </w:r>
      <w:r w:rsidRPr="00CC34DD">
        <w:rPr>
          <w:rFonts w:ascii="Garamond" w:hAnsi="Garamond"/>
          <w:sz w:val="24"/>
          <w:szCs w:val="24"/>
          <w:lang w:val="sq-AL"/>
        </w:rPr>
        <w:t>për rregullat e shlyerjeve të përbashkëta</w:t>
      </w:r>
      <w:r w:rsidR="00CC34DD">
        <w:rPr>
          <w:rFonts w:ascii="Garamond" w:hAnsi="Garamond"/>
          <w:sz w:val="24"/>
          <w:szCs w:val="24"/>
          <w:lang w:val="sq-AL"/>
        </w:rPr>
        <w:t>,</w:t>
      </w:r>
      <w:r w:rsidRPr="00CC34DD">
        <w:rPr>
          <w:rFonts w:ascii="Garamond" w:hAnsi="Garamond"/>
          <w:sz w:val="24"/>
          <w:szCs w:val="24"/>
          <w:lang w:val="sq-AL"/>
        </w:rPr>
        <w:t xml:space="preserve"> për shkëmbimet e qëllimshme të energjisë si rezultat i procesit të kontrollit të frekuencave dhe </w:t>
      </w:r>
      <w:r w:rsidR="00CC34DD">
        <w:rPr>
          <w:rFonts w:ascii="Garamond" w:hAnsi="Garamond"/>
          <w:sz w:val="24"/>
          <w:szCs w:val="24"/>
          <w:lang w:val="sq-AL"/>
        </w:rPr>
        <w:t>periudhës së ndryshimit (rritje/</w:t>
      </w:r>
      <w:r w:rsidRPr="00CC34DD">
        <w:rPr>
          <w:rFonts w:ascii="Garamond" w:hAnsi="Garamond"/>
          <w:sz w:val="24"/>
          <w:szCs w:val="24"/>
          <w:lang w:val="sq-AL"/>
        </w:rPr>
        <w:t>ulje)</w:t>
      </w:r>
      <w:r w:rsidR="00CC34DD">
        <w:rPr>
          <w:rFonts w:ascii="Garamond" w:hAnsi="Garamond"/>
          <w:sz w:val="24"/>
          <w:szCs w:val="24"/>
          <w:lang w:val="sq-AL"/>
        </w:rPr>
        <w:t>,</w:t>
      </w:r>
      <w:r w:rsidRPr="00CC34DD">
        <w:rPr>
          <w:rFonts w:ascii="Garamond" w:hAnsi="Garamond"/>
          <w:sz w:val="24"/>
          <w:szCs w:val="24"/>
          <w:lang w:val="sq-AL"/>
        </w:rPr>
        <w:t xml:space="preserve"> në përputhje me </w:t>
      </w:r>
      <w:r w:rsidR="00CC34DD">
        <w:rPr>
          <w:rFonts w:ascii="Garamond" w:hAnsi="Garamond"/>
          <w:sz w:val="24"/>
          <w:szCs w:val="24"/>
          <w:lang w:val="sq-AL"/>
        </w:rPr>
        <w:t>n</w:t>
      </w:r>
      <w:r w:rsidRPr="00CC34DD">
        <w:rPr>
          <w:rFonts w:ascii="Garamond" w:hAnsi="Garamond"/>
          <w:sz w:val="24"/>
          <w:szCs w:val="24"/>
          <w:lang w:val="sq-AL"/>
        </w:rPr>
        <w:t xml:space="preserve">enit 50 (3), </w:t>
      </w:r>
      <w:r w:rsidR="00CC34DD">
        <w:rPr>
          <w:rFonts w:ascii="Garamond" w:hAnsi="Garamond"/>
          <w:sz w:val="24"/>
          <w:szCs w:val="24"/>
          <w:lang w:val="sq-AL"/>
        </w:rPr>
        <w:t>të</w:t>
      </w:r>
      <w:r w:rsidRPr="00CC34DD">
        <w:rPr>
          <w:rFonts w:ascii="Garamond" w:hAnsi="Garamond"/>
          <w:sz w:val="24"/>
          <w:szCs w:val="24"/>
          <w:lang w:val="sq-AL"/>
        </w:rPr>
        <w:t xml:space="preserve"> </w:t>
      </w:r>
      <w:r w:rsidR="00CC34DD">
        <w:rPr>
          <w:rFonts w:ascii="Garamond" w:hAnsi="Garamond"/>
          <w:sz w:val="24"/>
          <w:szCs w:val="24"/>
          <w:lang w:val="sq-AL"/>
        </w:rPr>
        <w:t>r</w:t>
      </w:r>
      <w:r w:rsidRPr="00CC34DD">
        <w:rPr>
          <w:rFonts w:ascii="Garamond" w:hAnsi="Garamond"/>
          <w:sz w:val="24"/>
          <w:szCs w:val="24"/>
          <w:lang w:val="sq-AL"/>
        </w:rPr>
        <w:t xml:space="preserve">regullores së Komisionit (BE) 2017/2195, të 23 </w:t>
      </w:r>
      <w:r w:rsidR="00CC34DD">
        <w:rPr>
          <w:rFonts w:ascii="Garamond" w:hAnsi="Garamond"/>
          <w:sz w:val="24"/>
          <w:szCs w:val="24"/>
          <w:lang w:val="sq-AL"/>
        </w:rPr>
        <w:t>n</w:t>
      </w:r>
      <w:r w:rsidRPr="00CC34DD">
        <w:rPr>
          <w:rFonts w:ascii="Garamond" w:hAnsi="Garamond"/>
          <w:sz w:val="24"/>
          <w:szCs w:val="24"/>
          <w:lang w:val="sq-AL"/>
        </w:rPr>
        <w:t>ëntorit 2017, për krijimin e një udhëzuesi mbi balancimin e energjisë elektrike (</w:t>
      </w:r>
      <w:r w:rsidRPr="00ED424E">
        <w:rPr>
          <w:rFonts w:ascii="Garamond" w:hAnsi="Garamond"/>
          <w:sz w:val="24"/>
          <w:szCs w:val="24"/>
          <w:lang w:val="sq-AL"/>
        </w:rPr>
        <w:t>bashkëlidhur këtij vendimi).</w:t>
      </w:r>
    </w:p>
    <w:p w14:paraId="78D9C644" w14:textId="10F4033E" w:rsidR="00C533E0" w:rsidRPr="00CC34DD" w:rsidRDefault="00C533E0" w:rsidP="00C533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424E">
        <w:rPr>
          <w:rFonts w:ascii="Garamond" w:hAnsi="Garamond"/>
          <w:sz w:val="24"/>
          <w:szCs w:val="24"/>
          <w:lang w:val="sq-AL"/>
        </w:rPr>
        <w:t>2. Kostot e krijuara si rezultat i devijimeve nga vlerat</w:t>
      </w:r>
      <w:r w:rsidRPr="00CC34DD">
        <w:rPr>
          <w:rFonts w:ascii="Garamond" w:hAnsi="Garamond"/>
          <w:sz w:val="24"/>
          <w:szCs w:val="24"/>
          <w:lang w:val="sq-AL"/>
        </w:rPr>
        <w:t xml:space="preserve"> nominale do t’i faturohen palëve përgjegjëse për balancimin</w:t>
      </w:r>
      <w:r w:rsidR="00CC34DD">
        <w:rPr>
          <w:rFonts w:ascii="Garamond" w:hAnsi="Garamond"/>
          <w:sz w:val="24"/>
          <w:szCs w:val="24"/>
          <w:lang w:val="sq-AL"/>
        </w:rPr>
        <w:t>,</w:t>
      </w:r>
      <w:r w:rsidRPr="00CC34DD">
        <w:rPr>
          <w:rFonts w:ascii="Garamond" w:hAnsi="Garamond"/>
          <w:sz w:val="24"/>
          <w:szCs w:val="24"/>
          <w:lang w:val="sq-AL"/>
        </w:rPr>
        <w:t xml:space="preserve"> në përputhje me Rregullat e Tregut Shqiptar të Balancimit të Energjisë Elektrike, miratuar me vendimin e </w:t>
      </w:r>
      <w:r w:rsidR="00CC34DD">
        <w:rPr>
          <w:rFonts w:ascii="Garamond" w:hAnsi="Garamond"/>
          <w:sz w:val="24"/>
          <w:szCs w:val="24"/>
          <w:lang w:val="sq-AL"/>
        </w:rPr>
        <w:t>Bordit të ERE-s nr. 106, datë 2.</w:t>
      </w:r>
      <w:r w:rsidRPr="00CC34DD">
        <w:rPr>
          <w:rFonts w:ascii="Garamond" w:hAnsi="Garamond"/>
          <w:sz w:val="24"/>
          <w:szCs w:val="24"/>
          <w:lang w:val="sq-AL"/>
        </w:rPr>
        <w:t>7.2020.</w:t>
      </w:r>
    </w:p>
    <w:p w14:paraId="55982220" w14:textId="46101298" w:rsidR="00C533E0" w:rsidRPr="00CC34DD" w:rsidRDefault="00C533E0" w:rsidP="00C533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4DD">
        <w:rPr>
          <w:rFonts w:ascii="Garamond" w:hAnsi="Garamond"/>
          <w:sz w:val="24"/>
          <w:szCs w:val="24"/>
          <w:lang w:val="sq-AL"/>
        </w:rPr>
        <w:t>3. Drejtoria Juridike dh</w:t>
      </w:r>
      <w:r w:rsidR="00CC34DD">
        <w:rPr>
          <w:rFonts w:ascii="Garamond" w:hAnsi="Garamond"/>
          <w:sz w:val="24"/>
          <w:szCs w:val="24"/>
          <w:lang w:val="sq-AL"/>
        </w:rPr>
        <w:t>e Zgjidhjes së Mosmarrëveshjeve të njoftojë OST sh.a.</w:t>
      </w:r>
      <w:r w:rsidRPr="00CC34DD">
        <w:rPr>
          <w:rFonts w:ascii="Garamond" w:hAnsi="Garamond"/>
          <w:sz w:val="24"/>
          <w:szCs w:val="24"/>
          <w:lang w:val="sq-AL"/>
        </w:rPr>
        <w:t xml:space="preserve"> dhe palët e interesit për vendimin e </w:t>
      </w:r>
      <w:r w:rsidR="00CC34DD">
        <w:rPr>
          <w:rFonts w:ascii="Garamond" w:hAnsi="Garamond"/>
          <w:sz w:val="24"/>
          <w:szCs w:val="24"/>
          <w:lang w:val="sq-AL"/>
        </w:rPr>
        <w:t>B</w:t>
      </w:r>
      <w:r w:rsidRPr="00CC34DD">
        <w:rPr>
          <w:rFonts w:ascii="Garamond" w:hAnsi="Garamond"/>
          <w:sz w:val="24"/>
          <w:szCs w:val="24"/>
          <w:lang w:val="sq-AL"/>
        </w:rPr>
        <w:t>ordit të ERE-s.</w:t>
      </w:r>
    </w:p>
    <w:p w14:paraId="6A91AF73" w14:textId="10BFF9C0" w:rsidR="00C533E0" w:rsidRPr="00CC34DD" w:rsidRDefault="00C533E0" w:rsidP="00C533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4DD">
        <w:rPr>
          <w:rFonts w:ascii="Garamond" w:hAnsi="Garamond"/>
          <w:sz w:val="24"/>
          <w:szCs w:val="24"/>
          <w:lang w:val="sq-AL"/>
        </w:rPr>
        <w:t>Ky vendim hyn në fuqi p</w:t>
      </w:r>
      <w:r w:rsidR="00CC34DD">
        <w:rPr>
          <w:rFonts w:ascii="Garamond" w:hAnsi="Garamond"/>
          <w:sz w:val="24"/>
          <w:szCs w:val="24"/>
          <w:lang w:val="sq-AL"/>
        </w:rPr>
        <w:t>as botimit në Fletoren Zyrtare.</w:t>
      </w:r>
    </w:p>
    <w:p w14:paraId="7204BD5E" w14:textId="4E7B1ECD" w:rsidR="00C533E0" w:rsidRPr="00CC34DD" w:rsidRDefault="00C533E0" w:rsidP="00C533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4DD">
        <w:rPr>
          <w:rFonts w:ascii="Garamond" w:hAnsi="Garamond"/>
          <w:sz w:val="24"/>
          <w:szCs w:val="24"/>
          <w:lang w:val="sq-AL"/>
        </w:rPr>
        <w:t xml:space="preserve">Për këtë vendim mund të kërkohet rishikim </w:t>
      </w:r>
      <w:r w:rsidR="00CC34DD" w:rsidRPr="00CC34DD">
        <w:rPr>
          <w:rFonts w:ascii="Garamond" w:hAnsi="Garamond"/>
          <w:sz w:val="24"/>
          <w:szCs w:val="24"/>
          <w:lang w:val="sq-AL"/>
        </w:rPr>
        <w:t>brenda</w:t>
      </w:r>
      <w:r w:rsidRPr="00CC34DD">
        <w:rPr>
          <w:rFonts w:ascii="Garamond" w:hAnsi="Garamond"/>
          <w:sz w:val="24"/>
          <w:szCs w:val="24"/>
          <w:lang w:val="sq-AL"/>
        </w:rPr>
        <w:t xml:space="preserve"> 7 ditëve kalendarike</w:t>
      </w:r>
      <w:r w:rsidR="00CC34DD">
        <w:rPr>
          <w:rFonts w:ascii="Garamond" w:hAnsi="Garamond"/>
          <w:sz w:val="24"/>
          <w:szCs w:val="24"/>
          <w:lang w:val="sq-AL"/>
        </w:rPr>
        <w:t>,</w:t>
      </w:r>
      <w:r w:rsidRPr="00CC34DD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CC34DD" w:rsidRPr="00CC34DD">
        <w:rPr>
          <w:rFonts w:ascii="Garamond" w:hAnsi="Garamond"/>
          <w:sz w:val="24"/>
          <w:szCs w:val="24"/>
          <w:lang w:val="sq-AL"/>
        </w:rPr>
        <w:t>brenda</w:t>
      </w:r>
      <w:r w:rsidRPr="00CC34DD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3AE1C33F" w14:textId="77777777" w:rsidR="00C533E0" w:rsidRPr="00CC34DD" w:rsidRDefault="00C533E0" w:rsidP="00C533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4DD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020C2AB9" w14:textId="77777777" w:rsidR="00C533E0" w:rsidRPr="00CC34DD" w:rsidRDefault="00C533E0" w:rsidP="00C533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E51A20" w14:textId="56F38C09" w:rsidR="00C533E0" w:rsidRPr="00CC34DD" w:rsidRDefault="00CC34DD" w:rsidP="00C533E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00281F8F" w14:textId="6CB810AA" w:rsidR="00C533E0" w:rsidRDefault="00C533E0" w:rsidP="00C533E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C34DD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539BDBDD" w14:textId="77777777" w:rsidR="0016646B" w:rsidRDefault="0016646B" w:rsidP="00C533E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6FFE7FD2" w14:textId="77777777" w:rsidR="0016646B" w:rsidRPr="008D0C28" w:rsidRDefault="0016646B" w:rsidP="0016646B">
      <w:pPr>
        <w:tabs>
          <w:tab w:val="left" w:pos="9524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 gjitha propozimet e TSO-ve kontinentale evropiane për rregullat e shlyerjeve të përbashkëta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për shkëmbimet e qëllimshme të energjisë si rezultat i procesit të kontrollit të frekuencave dhe 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periudhës së ndryshimit (rritje/</w:t>
      </w:r>
      <w:r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ulje)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në përputhje me 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enit 50 (3)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i Rregullores së Komisionit (BE) 2017/2195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23 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ëntorit 2017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</w:t>
      </w:r>
      <w:r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krijimin e një udhëzuesi mbi balancimin e energjisë elektrike</w:t>
      </w:r>
    </w:p>
    <w:p w14:paraId="117A9E44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8165DA9" w14:textId="77777777" w:rsidR="0016646B" w:rsidRPr="008D0C28" w:rsidRDefault="0016646B" w:rsidP="0016646B">
      <w:pPr>
        <w:pStyle w:val="AAATEETE"/>
        <w:rPr>
          <w:color w:val="auto"/>
          <w:lang w:val="sq-AL"/>
        </w:rPr>
      </w:pPr>
      <w:r w:rsidRPr="008D0C28">
        <w:rPr>
          <w:color w:val="auto"/>
          <w:lang w:val="sq-AL"/>
        </w:rPr>
        <w:t>Përmbajtja</w:t>
      </w:r>
    </w:p>
    <w:p w14:paraId="7D13F6C1" w14:textId="77777777" w:rsidR="0016646B" w:rsidRPr="008D0C28" w:rsidRDefault="0016646B" w:rsidP="0016646B">
      <w:pPr>
        <w:pStyle w:val="AAATEETE"/>
        <w:rPr>
          <w:rFonts w:cs="Calibri"/>
          <w:color w:val="auto"/>
          <w:lang w:val="sq-AL"/>
        </w:rPr>
      </w:pPr>
      <w:r w:rsidRPr="008D0C28">
        <w:rPr>
          <w:rFonts w:cs="Calibri"/>
          <w:iCs/>
          <w:color w:val="auto"/>
          <w:lang w:val="sq-AL"/>
        </w:rPr>
        <w:t>Parathënie</w:t>
      </w:r>
      <w:r w:rsidRPr="008D0C28">
        <w:rPr>
          <w:rFonts w:cs="Calibri"/>
          <w:color w:val="auto"/>
          <w:lang w:val="sq-AL"/>
        </w:rPr>
        <w:t xml:space="preserve"> </w:t>
      </w:r>
    </w:p>
    <w:p w14:paraId="01EE4C91" w14:textId="77777777" w:rsidR="0016646B" w:rsidRPr="008D0C28" w:rsidRDefault="0016646B" w:rsidP="0016646B">
      <w:pPr>
        <w:pStyle w:val="AAATEETE"/>
        <w:rPr>
          <w:color w:val="auto"/>
          <w:lang w:val="sq-AL"/>
        </w:rPr>
      </w:pPr>
      <w:r w:rsidRPr="008D0C28">
        <w:rPr>
          <w:iCs/>
          <w:color w:val="auto"/>
          <w:lang w:val="sq-AL"/>
        </w:rPr>
        <w:t>Shkurtime</w:t>
      </w:r>
      <w:r w:rsidRPr="008D0C28">
        <w:rPr>
          <w:color w:val="auto"/>
          <w:lang w:val="sq-AL"/>
        </w:rPr>
        <w:t xml:space="preserve"> </w:t>
      </w:r>
    </w:p>
    <w:p w14:paraId="2DFC134B" w14:textId="77777777" w:rsidR="0016646B" w:rsidRPr="008D0C28" w:rsidRDefault="0016646B" w:rsidP="0016646B">
      <w:pPr>
        <w:pStyle w:val="AAATEETE"/>
        <w:rPr>
          <w:color w:val="auto"/>
          <w:lang w:val="sq-AL"/>
        </w:rPr>
      </w:pPr>
      <w:r w:rsidRPr="008D0C28">
        <w:rPr>
          <w:color w:val="auto"/>
          <w:lang w:val="sq-AL"/>
        </w:rPr>
        <w:t>Neni 1 Objekti dhe qëllimi</w:t>
      </w:r>
    </w:p>
    <w:p w14:paraId="3A7CFC11" w14:textId="77777777" w:rsidR="0016646B" w:rsidRPr="008D0C28" w:rsidRDefault="0016646B" w:rsidP="0016646B">
      <w:pPr>
        <w:pStyle w:val="AAATEETE"/>
        <w:rPr>
          <w:color w:val="auto"/>
          <w:lang w:val="sq-AL"/>
        </w:rPr>
      </w:pPr>
      <w:r w:rsidRPr="008D0C28">
        <w:rPr>
          <w:color w:val="auto"/>
          <w:lang w:val="sq-AL"/>
        </w:rPr>
        <w:t xml:space="preserve">Neni 2 Përkufizime dhe interpretimi </w:t>
      </w:r>
    </w:p>
    <w:p w14:paraId="67DEDE28" w14:textId="77777777" w:rsidR="0016646B" w:rsidRPr="008D0C28" w:rsidRDefault="0016646B" w:rsidP="0016646B">
      <w:pPr>
        <w:pStyle w:val="AAATEETE"/>
        <w:rPr>
          <w:color w:val="auto"/>
          <w:lang w:val="sq-AL"/>
        </w:rPr>
      </w:pPr>
      <w:r w:rsidRPr="008D0C28">
        <w:rPr>
          <w:color w:val="auto"/>
          <w:lang w:val="sq-AL"/>
        </w:rPr>
        <w:t>Neni 3 Projekti i nivelit të lartë për shlyerjen e përbashkët</w:t>
      </w:r>
      <w:r>
        <w:rPr>
          <w:color w:val="auto"/>
          <w:lang w:val="sq-AL"/>
        </w:rPr>
        <w:t xml:space="preserve"> </w:t>
      </w:r>
    </w:p>
    <w:p w14:paraId="6BFD9765" w14:textId="77777777" w:rsidR="0016646B" w:rsidRPr="008D0C28" w:rsidRDefault="0016646B" w:rsidP="0016646B">
      <w:pPr>
        <w:pStyle w:val="AAATEETE"/>
        <w:rPr>
          <w:color w:val="auto"/>
          <w:lang w:val="sq-AL"/>
        </w:rPr>
      </w:pPr>
      <w:r w:rsidRPr="008D0C28">
        <w:rPr>
          <w:color w:val="auto"/>
          <w:lang w:val="sq-AL"/>
        </w:rPr>
        <w:t xml:space="preserve">Neni 4 Zbatimi i shlyerjes së përbashkët </w:t>
      </w:r>
    </w:p>
    <w:p w14:paraId="7AA5E8FC" w14:textId="77777777" w:rsidR="0016646B" w:rsidRPr="008D0C28" w:rsidRDefault="0016646B" w:rsidP="0016646B">
      <w:pPr>
        <w:pStyle w:val="AAATEETE"/>
        <w:rPr>
          <w:color w:val="auto"/>
          <w:lang w:val="sq-AL"/>
        </w:rPr>
      </w:pPr>
      <w:r w:rsidRPr="008D0C28">
        <w:rPr>
          <w:color w:val="auto"/>
          <w:lang w:val="sq-AL"/>
        </w:rPr>
        <w:t xml:space="preserve">Neni 5 Funksionet e shlyerjes së përbashkët </w:t>
      </w:r>
    </w:p>
    <w:p w14:paraId="49E80FF2" w14:textId="77777777" w:rsidR="0016646B" w:rsidRPr="008D0C28" w:rsidRDefault="0016646B" w:rsidP="0016646B">
      <w:pPr>
        <w:pStyle w:val="AAATEETE"/>
        <w:rPr>
          <w:color w:val="auto"/>
          <w:lang w:val="sq-AL"/>
        </w:rPr>
      </w:pPr>
      <w:r w:rsidRPr="008D0C28">
        <w:rPr>
          <w:color w:val="auto"/>
          <w:lang w:val="sq-AL"/>
        </w:rPr>
        <w:t>Neni 6 Periudha e shlyerjes</w:t>
      </w:r>
      <w:r>
        <w:rPr>
          <w:color w:val="auto"/>
          <w:lang w:val="sq-AL"/>
        </w:rPr>
        <w:t xml:space="preserve"> </w:t>
      </w:r>
    </w:p>
    <w:p w14:paraId="66B88F41" w14:textId="77777777" w:rsidR="0016646B" w:rsidRPr="008D0C28" w:rsidRDefault="0016646B" w:rsidP="0016646B">
      <w:pPr>
        <w:pStyle w:val="AAATEETE"/>
        <w:rPr>
          <w:color w:val="auto"/>
          <w:lang w:val="sq-AL"/>
        </w:rPr>
      </w:pPr>
      <w:r w:rsidRPr="008D0C28">
        <w:rPr>
          <w:color w:val="auto"/>
          <w:lang w:val="sq-AL"/>
        </w:rPr>
        <w:t xml:space="preserve">Neni 7 Përcaktimi i volumit </w:t>
      </w:r>
      <w:r>
        <w:rPr>
          <w:color w:val="auto"/>
          <w:lang w:val="sq-AL"/>
        </w:rPr>
        <w:t>për periudhën e shlyerjes TSO–</w:t>
      </w:r>
      <w:r w:rsidRPr="008D0C28">
        <w:rPr>
          <w:color w:val="auto"/>
          <w:lang w:val="sq-AL"/>
        </w:rPr>
        <w:t xml:space="preserve">TSO </w:t>
      </w:r>
    </w:p>
    <w:p w14:paraId="515C905F" w14:textId="77777777" w:rsidR="0016646B" w:rsidRPr="008D0C28" w:rsidRDefault="0016646B" w:rsidP="0016646B">
      <w:pPr>
        <w:pStyle w:val="AAATEETE"/>
        <w:rPr>
          <w:color w:val="auto"/>
          <w:lang w:val="sq-AL"/>
        </w:rPr>
      </w:pPr>
      <w:r w:rsidRPr="008D0C28">
        <w:rPr>
          <w:color w:val="auto"/>
          <w:lang w:val="sq-AL"/>
        </w:rPr>
        <w:t>Neni 8 Rregullat e</w:t>
      </w:r>
      <w:r>
        <w:rPr>
          <w:color w:val="auto"/>
          <w:lang w:val="sq-AL"/>
        </w:rPr>
        <w:t xml:space="preserve"> tarifimit për shkëmbimet TSO–</w:t>
      </w:r>
      <w:r w:rsidRPr="008D0C28">
        <w:rPr>
          <w:color w:val="auto"/>
          <w:lang w:val="sq-AL"/>
        </w:rPr>
        <w:t xml:space="preserve">TSO brenda SA CE </w:t>
      </w:r>
    </w:p>
    <w:p w14:paraId="671B6B98" w14:textId="77777777" w:rsidR="0016646B" w:rsidRPr="008D0C28" w:rsidRDefault="0016646B" w:rsidP="0016646B">
      <w:pPr>
        <w:pStyle w:val="AAATEETE"/>
        <w:rPr>
          <w:color w:val="auto"/>
          <w:lang w:val="sq-AL"/>
        </w:rPr>
      </w:pPr>
      <w:r w:rsidRPr="008D0C28">
        <w:rPr>
          <w:color w:val="auto"/>
          <w:lang w:val="sq-AL"/>
        </w:rPr>
        <w:t xml:space="preserve">Neni 9 Botimi dhe zbatimi i CCFR </w:t>
      </w:r>
    </w:p>
    <w:p w14:paraId="21FB9351" w14:textId="77777777" w:rsidR="0016646B" w:rsidRPr="008D0C28" w:rsidRDefault="0016646B" w:rsidP="0016646B">
      <w:pPr>
        <w:pStyle w:val="AAATEETE"/>
        <w:rPr>
          <w:color w:val="auto"/>
          <w:lang w:val="sq-AL"/>
        </w:rPr>
      </w:pPr>
      <w:r w:rsidRPr="008D0C28">
        <w:rPr>
          <w:color w:val="auto"/>
          <w:lang w:val="sq-AL"/>
        </w:rPr>
        <w:t xml:space="preserve">Neni 10 Gjuha </w:t>
      </w:r>
    </w:p>
    <w:p w14:paraId="4B4F4FE2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CB8798D" w14:textId="77777777" w:rsidR="0016646B" w:rsidRPr="008D0C28" w:rsidRDefault="0016646B" w:rsidP="0016646B">
      <w:pPr>
        <w:pStyle w:val="AAATEETE"/>
        <w:jc w:val="center"/>
        <w:rPr>
          <w:b/>
          <w:lang w:val="sq-AL"/>
        </w:rPr>
      </w:pPr>
      <w:r w:rsidRPr="008D0C28">
        <w:rPr>
          <w:b/>
          <w:lang w:val="sq-AL"/>
        </w:rPr>
        <w:t>Të gjitha TSO</w:t>
      </w:r>
      <w:r>
        <w:rPr>
          <w:b/>
          <w:lang w:val="sq-AL"/>
        </w:rPr>
        <w:t>-të e</w:t>
      </w:r>
      <w:r w:rsidRPr="008D0C28">
        <w:rPr>
          <w:b/>
          <w:lang w:val="sq-AL"/>
        </w:rPr>
        <w:t xml:space="preserve"> Evropës Kontinentale, marrin në konsideratë sa më poshtë vijon:</w:t>
      </w:r>
    </w:p>
    <w:p w14:paraId="0C1BF802" w14:textId="77777777" w:rsidR="0016646B" w:rsidRPr="008D0C28" w:rsidRDefault="0016646B" w:rsidP="0016646B">
      <w:pPr>
        <w:pStyle w:val="AAATEETE"/>
        <w:rPr>
          <w:lang w:val="sq-AL"/>
        </w:rPr>
      </w:pPr>
    </w:p>
    <w:p w14:paraId="280619C7" w14:textId="77777777" w:rsidR="0016646B" w:rsidRPr="008D0C28" w:rsidRDefault="0016646B" w:rsidP="0016646B">
      <w:pPr>
        <w:pStyle w:val="AAATEETE"/>
        <w:jc w:val="center"/>
        <w:rPr>
          <w:b/>
          <w:lang w:val="sq-AL"/>
        </w:rPr>
      </w:pPr>
      <w:r w:rsidRPr="008D0C28">
        <w:rPr>
          <w:b/>
          <w:lang w:val="sq-AL"/>
        </w:rPr>
        <w:t>Parathënie</w:t>
      </w:r>
    </w:p>
    <w:p w14:paraId="0D17B1DA" w14:textId="77777777" w:rsidR="0016646B" w:rsidRPr="008D0C28" w:rsidRDefault="0016646B" w:rsidP="0016646B">
      <w:pPr>
        <w:pStyle w:val="AAATEETE"/>
        <w:rPr>
          <w:lang w:val="sq-AL"/>
        </w:rPr>
      </w:pPr>
    </w:p>
    <w:p w14:paraId="610EA167" w14:textId="77777777" w:rsidR="0016646B" w:rsidRPr="008D0C28" w:rsidRDefault="0016646B" w:rsidP="0016646B">
      <w:pPr>
        <w:pStyle w:val="AAATEETE"/>
        <w:rPr>
          <w:rFonts w:cs="Calibri"/>
          <w:lang w:val="sq-AL"/>
        </w:rPr>
      </w:pPr>
      <w:r w:rsidRPr="008D0C28">
        <w:rPr>
          <w:rFonts w:cs="Calibri"/>
          <w:lang w:val="sq-AL"/>
        </w:rPr>
        <w:t>1</w:t>
      </w:r>
      <w:r>
        <w:rPr>
          <w:rFonts w:cs="Calibri"/>
          <w:lang w:val="sq-AL"/>
        </w:rPr>
        <w:t>.</w:t>
      </w:r>
      <w:r w:rsidRPr="008D0C28">
        <w:rPr>
          <w:rFonts w:cs="Calibri"/>
          <w:lang w:val="sq-AL"/>
        </w:rPr>
        <w:t xml:space="preserve"> Ky dokument është një propozim i përbashkët i zhvilluar nga të gjithë Operatorët e Sistemit të Transmisionit në Zonën Sinkronike të Evropës Kontinentale (në vijim referuar si “TSO të CE”) në lidhje me zhvillimin e rregullave të përbashkëta të shlyerjes për të gjitha shkëmbimet e qëllimshme të energjisë si rezultat i procesit të kontrollit të frekuencës dhe </w:t>
      </w:r>
      <w:r>
        <w:rPr>
          <w:rFonts w:cs="Calibri"/>
          <w:lang w:val="sq-AL"/>
        </w:rPr>
        <w:t>periudhës së ndryshimit (rritje/</w:t>
      </w:r>
      <w:r w:rsidRPr="008D0C28">
        <w:rPr>
          <w:rFonts w:cs="Calibri"/>
          <w:lang w:val="sq-AL"/>
        </w:rPr>
        <w:t>ulje) (në tekstin e mëposhtëm “energjia e procesit të kontrollit të frekuencës dhe energjia e pe</w:t>
      </w:r>
      <w:r>
        <w:rPr>
          <w:rFonts w:cs="Calibri"/>
          <w:lang w:val="sq-AL"/>
        </w:rPr>
        <w:t>riudhës së ndryshimit (rritje/</w:t>
      </w:r>
      <w:r w:rsidRPr="008D0C28">
        <w:rPr>
          <w:rFonts w:cs="Calibri"/>
          <w:lang w:val="sq-AL"/>
        </w:rPr>
        <w:t>ulje)”) në përputhje me nenin 50 (3)</w:t>
      </w:r>
      <w:r>
        <w:rPr>
          <w:rFonts w:cs="Calibri"/>
          <w:lang w:val="sq-AL"/>
        </w:rPr>
        <w:t>,</w:t>
      </w:r>
      <w:r w:rsidRPr="008D0C28">
        <w:rPr>
          <w:rFonts w:cs="Calibri"/>
          <w:lang w:val="sq-AL"/>
        </w:rPr>
        <w:t xml:space="preserve"> të Rregullores së Komisionit (BE) 2017/2195</w:t>
      </w:r>
      <w:r>
        <w:rPr>
          <w:rFonts w:cs="Calibri"/>
          <w:lang w:val="sq-AL"/>
        </w:rPr>
        <w:t>,</w:t>
      </w:r>
      <w:r w:rsidRPr="008D0C28">
        <w:rPr>
          <w:rFonts w:cs="Calibri"/>
          <w:lang w:val="sq-AL"/>
        </w:rPr>
        <w:t xml:space="preserve"> të 23 nëntorit 2017</w:t>
      </w:r>
      <w:r>
        <w:rPr>
          <w:rFonts w:cs="Calibri"/>
          <w:lang w:val="sq-AL"/>
        </w:rPr>
        <w:t>,</w:t>
      </w:r>
      <w:r w:rsidRPr="008D0C28">
        <w:rPr>
          <w:rFonts w:cs="Calibri"/>
          <w:lang w:val="sq-AL"/>
        </w:rPr>
        <w:t xml:space="preserve"> për krijimin e një udhëzuesi mbi balancimin e energjisë elektrike (në tekstin e mëposhtëm “EBGL”). Ky propozim më poshtë quhet “CCFR”, i cili nënkupton ‘rregullat e përbashkëta të shlyerjes për Evropën Kontinentale për shkëmbimet e qëllimshme të energjisë si rezultat i procesit të kontrollit të frekuencës dhe pe</w:t>
      </w:r>
      <w:r>
        <w:rPr>
          <w:rFonts w:cs="Calibri"/>
          <w:lang w:val="sq-AL"/>
        </w:rPr>
        <w:t>riudhës së ndryshimit (rritje/</w:t>
      </w:r>
      <w:r w:rsidRPr="008D0C28">
        <w:rPr>
          <w:rFonts w:cs="Calibri"/>
          <w:lang w:val="sq-AL"/>
        </w:rPr>
        <w:t>ulje)’</w:t>
      </w:r>
      <w:r>
        <w:rPr>
          <w:rFonts w:cs="Calibri"/>
          <w:lang w:val="sq-AL"/>
        </w:rPr>
        <w:t>.</w:t>
      </w:r>
    </w:p>
    <w:p w14:paraId="0952E8E1" w14:textId="77777777" w:rsidR="0016646B" w:rsidRPr="008D0C28" w:rsidRDefault="0016646B" w:rsidP="0016646B">
      <w:pPr>
        <w:pStyle w:val="AAATEETE"/>
        <w:rPr>
          <w:rFonts w:cs="Calibri"/>
          <w:lang w:val="sq-AL"/>
        </w:rPr>
      </w:pPr>
      <w:r w:rsidRPr="008D0C28">
        <w:rPr>
          <w:rFonts w:cs="Calibri"/>
          <w:lang w:val="sq-AL"/>
        </w:rPr>
        <w:t>2</w:t>
      </w:r>
      <w:r>
        <w:rPr>
          <w:rFonts w:cs="Calibri"/>
          <w:lang w:val="sq-AL"/>
        </w:rPr>
        <w:t>.</w:t>
      </w:r>
      <w:r w:rsidRPr="008D0C28">
        <w:rPr>
          <w:rFonts w:cs="Calibri"/>
          <w:lang w:val="sq-AL"/>
        </w:rPr>
        <w:t xml:space="preserve"> Kjo CCFR merr parasysh parimet dhe qëllimet e përgjithshme të përcaktuara në EBGL</w:t>
      </w:r>
      <w:r>
        <w:rPr>
          <w:rFonts w:cs="Calibri"/>
          <w:lang w:val="sq-AL"/>
        </w:rPr>
        <w:t>,</w:t>
      </w:r>
      <w:r w:rsidRPr="008D0C28">
        <w:rPr>
          <w:rFonts w:cs="Calibri"/>
          <w:lang w:val="sq-AL"/>
        </w:rPr>
        <w:t xml:space="preserve"> si dhe </w:t>
      </w:r>
      <w:r>
        <w:rPr>
          <w:rFonts w:cs="Calibri"/>
          <w:lang w:val="sq-AL"/>
        </w:rPr>
        <w:t>R</w:t>
      </w:r>
      <w:r w:rsidRPr="008D0C28">
        <w:rPr>
          <w:rFonts w:cs="Calibri"/>
          <w:lang w:val="sq-AL"/>
        </w:rPr>
        <w:t xml:space="preserve">regulloren (EC) </w:t>
      </w:r>
      <w:r>
        <w:rPr>
          <w:rFonts w:cs="Calibri"/>
          <w:lang w:val="sq-AL"/>
        </w:rPr>
        <w:t>n</w:t>
      </w:r>
      <w:r w:rsidRPr="008D0C28">
        <w:rPr>
          <w:rFonts w:cs="Calibri"/>
          <w:lang w:val="sq-AL"/>
        </w:rPr>
        <w:t>r</w:t>
      </w:r>
      <w:r>
        <w:rPr>
          <w:rFonts w:cs="Calibri"/>
          <w:lang w:val="sq-AL"/>
        </w:rPr>
        <w:t>.</w:t>
      </w:r>
      <w:r w:rsidRPr="008D0C28">
        <w:rPr>
          <w:rFonts w:cs="Calibri"/>
          <w:lang w:val="sq-AL"/>
        </w:rPr>
        <w:t xml:space="preserve"> 714/2009</w:t>
      </w:r>
      <w:r>
        <w:rPr>
          <w:rFonts w:cs="Calibri"/>
          <w:lang w:val="sq-AL"/>
        </w:rPr>
        <w:t>,</w:t>
      </w:r>
      <w:r w:rsidRPr="008D0C28">
        <w:rPr>
          <w:rFonts w:cs="Calibri"/>
          <w:lang w:val="sq-AL"/>
        </w:rPr>
        <w:t xml:space="preserve"> të Parlamentit Evropian dhe të Këshillit</w:t>
      </w:r>
      <w:r>
        <w:rPr>
          <w:rFonts w:cs="Calibri"/>
          <w:lang w:val="sq-AL"/>
        </w:rPr>
        <w:t>,</w:t>
      </w:r>
      <w:r w:rsidRPr="008D0C28">
        <w:rPr>
          <w:rFonts w:cs="Calibri"/>
          <w:lang w:val="sq-AL"/>
        </w:rPr>
        <w:t xml:space="preserve"> të datës 13 </w:t>
      </w:r>
      <w:r>
        <w:rPr>
          <w:rFonts w:cs="Calibri"/>
          <w:lang w:val="sq-AL"/>
        </w:rPr>
        <w:t>k</w:t>
      </w:r>
      <w:r w:rsidRPr="008D0C28">
        <w:rPr>
          <w:rFonts w:cs="Calibri"/>
          <w:lang w:val="sq-AL"/>
        </w:rPr>
        <w:t>orrik 2009</w:t>
      </w:r>
      <w:r>
        <w:rPr>
          <w:rFonts w:cs="Calibri"/>
          <w:lang w:val="sq-AL"/>
        </w:rPr>
        <w:t>,</w:t>
      </w:r>
      <w:r w:rsidRPr="008D0C28">
        <w:rPr>
          <w:rFonts w:cs="Calibri"/>
          <w:lang w:val="sq-AL"/>
        </w:rPr>
        <w:t xml:space="preserve"> mbi kushtet e akses</w:t>
      </w:r>
      <w:r>
        <w:rPr>
          <w:rFonts w:cs="Calibri"/>
          <w:lang w:val="sq-AL"/>
        </w:rPr>
        <w:t>it në rrjet për shkëmbimet ndër</w:t>
      </w:r>
      <w:r w:rsidRPr="008D0C28">
        <w:rPr>
          <w:rFonts w:cs="Calibri"/>
          <w:lang w:val="sq-AL"/>
        </w:rPr>
        <w:t>kufitare të energjisë elektrike (më poshtë</w:t>
      </w:r>
      <w:r>
        <w:rPr>
          <w:rFonts w:cs="Calibri"/>
          <w:lang w:val="sq-AL"/>
        </w:rPr>
        <w:t xml:space="preserve"> </w:t>
      </w:r>
      <w:r w:rsidRPr="008D0C28">
        <w:rPr>
          <w:rFonts w:cs="Calibri"/>
          <w:lang w:val="sq-AL"/>
        </w:rPr>
        <w:t>“Rregullorja për Energjinë Elektrike”)</w:t>
      </w:r>
      <w:r>
        <w:rPr>
          <w:rFonts w:cs="Calibri"/>
          <w:lang w:val="sq-AL"/>
        </w:rPr>
        <w:t>,</w:t>
      </w:r>
      <w:r w:rsidRPr="008D0C28">
        <w:rPr>
          <w:rFonts w:cs="Calibri"/>
          <w:lang w:val="sq-AL"/>
        </w:rPr>
        <w:t xml:space="preserve"> si dhe Rregullorja (KE) </w:t>
      </w:r>
      <w:r>
        <w:rPr>
          <w:rFonts w:cs="Calibri"/>
          <w:lang w:val="sq-AL"/>
        </w:rPr>
        <w:t>n</w:t>
      </w:r>
      <w:r w:rsidRPr="008D0C28">
        <w:rPr>
          <w:rFonts w:cs="Calibri"/>
          <w:lang w:val="sq-AL"/>
        </w:rPr>
        <w:t>r</w:t>
      </w:r>
      <w:r>
        <w:rPr>
          <w:rFonts w:cs="Calibri"/>
          <w:lang w:val="sq-AL"/>
        </w:rPr>
        <w:t>.</w:t>
      </w:r>
      <w:r w:rsidRPr="008D0C28">
        <w:rPr>
          <w:rFonts w:cs="Calibri"/>
          <w:lang w:val="sq-AL"/>
        </w:rPr>
        <w:t xml:space="preserve"> 2017/1485</w:t>
      </w:r>
      <w:r>
        <w:rPr>
          <w:rFonts w:cs="Calibri"/>
          <w:lang w:val="sq-AL"/>
        </w:rPr>
        <w:t>,</w:t>
      </w:r>
      <w:r w:rsidRPr="008D0C28">
        <w:rPr>
          <w:rFonts w:cs="Calibri"/>
          <w:lang w:val="sq-AL"/>
        </w:rPr>
        <w:t xml:space="preserve"> e datës 2 gusht 2017</w:t>
      </w:r>
      <w:r>
        <w:rPr>
          <w:rFonts w:cs="Calibri"/>
          <w:lang w:val="sq-AL"/>
        </w:rPr>
        <w:t>,</w:t>
      </w:r>
      <w:r w:rsidRPr="008D0C28">
        <w:rPr>
          <w:rFonts w:cs="Calibri"/>
          <w:lang w:val="sq-AL"/>
        </w:rPr>
        <w:t xml:space="preserve"> për krijimin e një udhëzuesi mbi operimin e sistemit të transmetimit të energjisë elektrike (më poshtë referuar si “SOGL”). Qëllimi i EBGL</w:t>
      </w:r>
      <w:r>
        <w:rPr>
          <w:rFonts w:cs="Calibri"/>
          <w:lang w:val="sq-AL"/>
        </w:rPr>
        <w:t>-së</w:t>
      </w:r>
      <w:r w:rsidRPr="008D0C28">
        <w:rPr>
          <w:rFonts w:cs="Calibri"/>
          <w:lang w:val="sq-AL"/>
        </w:rPr>
        <w:t xml:space="preserve"> është integrimi i tregjeve të balancimit të energjisë. Integrimi i tregjeve të balancimit të energjisë duhet të lehtësohet me krijimin e platformave të përbashkëta Evropiane për operimin e procesit të netimit të disbalancave dhe mundësimin e shkëmbimit të energjisë balancuese nga rezervat e restaurimit të frekuencave dhe rezervat zëvendësuese. Bashkëpunimi midis TSO-ve duhet të kufizohet rreptësisht në atë që është e nevojshme për dizajnimin, zbatimin dhe funksionimin efikas dhe të sigurt të këtyre platformave Evropiane.</w:t>
      </w:r>
    </w:p>
    <w:p w14:paraId="4CBCA7E6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lastRenderedPageBreak/>
        <w:t>3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.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Nenet 50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(3) dhe 50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(8)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të EBGL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përcakton afatin për dorëzimin e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 xml:space="preserve"> CCFR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tek ERE dhe disa kërkesa specifike për përmbajtjen e tyre: </w:t>
      </w:r>
    </w:p>
    <w:p w14:paraId="7C820A2D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iCs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iCs/>
          <w:color w:val="000000"/>
          <w:sz w:val="24"/>
          <w:szCs w:val="24"/>
          <w:lang w:val="sq-AL"/>
        </w:rPr>
        <w:t>“</w:t>
      </w:r>
      <w:r w:rsidRPr="008D0C28">
        <w:rPr>
          <w:rFonts w:ascii="Garamond" w:hAnsi="Garamond" w:cs="Calibri"/>
          <w:iCs/>
          <w:color w:val="000000"/>
          <w:sz w:val="24"/>
          <w:szCs w:val="24"/>
          <w:lang w:val="sq-AL"/>
        </w:rPr>
        <w:t>3. Tetëmbëdhjetë muaj pas hyrjes në fuqi të kësaj Rregulloreje, të gjitha TSO-të që shkëmbejnë energji në mënyrë të qëllimtë në një zonë sinkron duhet të zhvillojnë një propozim për rregullat e përbashkëta të shlyerjes të zbatueshme për të gjitha shkëmbimet e qëllimshme të energjisë, si rezultat i një ose të dyja pikave si në vijim:</w:t>
      </w:r>
    </w:p>
    <w:p w14:paraId="23CD6892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iCs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iCs/>
          <w:color w:val="000000"/>
          <w:sz w:val="24"/>
          <w:szCs w:val="24"/>
          <w:lang w:val="sq-AL"/>
        </w:rPr>
        <w:t>a) procesit të kontrollit të frekuencës sipas nenit 142</w:t>
      </w:r>
      <w:r>
        <w:rPr>
          <w:rFonts w:ascii="Garamond" w:hAnsi="Garamond" w:cs="Calibri"/>
          <w:iCs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 të rregullores (BE) 2017/1485;</w:t>
      </w:r>
    </w:p>
    <w:p w14:paraId="1A316536" w14:textId="77777777" w:rsidR="0016646B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iCs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iCs/>
          <w:color w:val="000000"/>
          <w:sz w:val="24"/>
          <w:szCs w:val="24"/>
          <w:lang w:val="sq-AL"/>
        </w:rPr>
        <w:t>b) pe</w:t>
      </w:r>
      <w:r>
        <w:rPr>
          <w:rFonts w:ascii="Garamond" w:hAnsi="Garamond" w:cs="Calibri"/>
          <w:iCs/>
          <w:color w:val="000000"/>
          <w:sz w:val="24"/>
          <w:szCs w:val="24"/>
          <w:lang w:val="sq-AL"/>
        </w:rPr>
        <w:t>riudhës së ndryshimit (rritje/</w:t>
      </w:r>
      <w:r w:rsidRPr="008D0C28">
        <w:rPr>
          <w:rFonts w:ascii="Garamond" w:hAnsi="Garamond" w:cs="Calibri"/>
          <w:iCs/>
          <w:color w:val="000000"/>
          <w:sz w:val="24"/>
          <w:szCs w:val="24"/>
          <w:lang w:val="sq-AL"/>
        </w:rPr>
        <w:t>ulje) sipas nenit 136</w:t>
      </w:r>
      <w:r>
        <w:rPr>
          <w:rFonts w:ascii="Garamond" w:hAnsi="Garamond" w:cs="Calibri"/>
          <w:iCs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 të rregullores (BE) 2017/1485.</w:t>
      </w:r>
    </w:p>
    <w:p w14:paraId="7404769F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iCs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iCs/>
          <w:color w:val="000000"/>
          <w:sz w:val="24"/>
          <w:szCs w:val="24"/>
          <w:lang w:val="sq-AL"/>
        </w:rPr>
        <w:t>......</w:t>
      </w:r>
    </w:p>
    <w:p w14:paraId="6A479FD4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8.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Të gjitha TSO-të do të krijojnë një mekanizëm të koordinuar për rregullimet e shlyerjeve ndërmjet tyre.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”.</w:t>
      </w:r>
    </w:p>
    <w:p w14:paraId="58CB81C6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4.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CCFR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-ja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kontribuon në objektivin e mosdiskriminimit dhe transparencës në balancimin e tregjeve në pajtim me 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nenin 3 (1) (a) dhe nenet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3 (2) (a) dhe 3 (2) (b) të EBGL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, të njëjtat rregulla të shlyerjes do të zbatohen në të gjithë Zonën Sinkronike të Evropës Kontinentale dhe ato do të jenë në dispozicion të publikut. </w:t>
      </w:r>
    </w:p>
    <w:p w14:paraId="123E6924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5.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CCFR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-ja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kontribuon në objektivin e rritjes së efikasitetit të tregjeve Evropiane dhe kombëtare të balancimit, në përputhje me nenin 3 (1) (b) të EBGL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, duke qenë se programi i kompensimit zëvendësohet me rregullat e përbashkëta të shlyerjes të zbatueshme për të gjithë Zonën Sinkronike të Evropës Kontinentale.</w:t>
      </w:r>
    </w:p>
    <w:p w14:paraId="7F54463E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6.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CCFR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-ja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i shërben kërkesës së nenit 3 (2) (h) të EBGL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duke qenë se kuadri teknik i propozuar bazohet në standardet evropiane të miratuara që tashmë janë në veprim.</w:t>
      </w:r>
    </w:p>
    <w:p w14:paraId="5F17B341" w14:textId="77777777" w:rsidR="0016646B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7.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CCFR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-ja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u zhvillua duke marrë parasysh konsistencën me rregullat e shlyerjes së shkëmbimeve të paqëllimshme të energjisë brenda Zonës Sinkronike të Evropës Kontinentale në përputhje me nenin 51(1) të EBGL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-së.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</w:p>
    <w:p w14:paraId="2B44B2D6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8.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CCFR u zhvillua duke marrë parasysh konsistencën me rregullat e shlyerjes së shkëmbimeve të qëllimshme të energjisë brenda zonave sinkronike në përputhje me nenin 50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(4) të EBGL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dhe të shkëmbimeve të paqëllimshme në përputhje me nenin 51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(2) të EBGL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058D76A4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9.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Në përfundim, CCFR kontribuon në objektivat e përgjithshme të EBGL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1F0D1C37" w14:textId="77777777" w:rsidR="0016646B" w:rsidRPr="008D0C28" w:rsidRDefault="0016646B" w:rsidP="0016646B">
      <w:pPr>
        <w:pStyle w:val="AAATEETE"/>
        <w:jc w:val="center"/>
        <w:rPr>
          <w:lang w:val="sq-AL"/>
        </w:rPr>
      </w:pPr>
    </w:p>
    <w:p w14:paraId="55002B04" w14:textId="77777777" w:rsidR="0016646B" w:rsidRPr="008D0C28" w:rsidRDefault="0016646B" w:rsidP="0016646B">
      <w:pPr>
        <w:pStyle w:val="AAATEETE"/>
        <w:jc w:val="center"/>
        <w:rPr>
          <w:rFonts w:cs="Cambria"/>
          <w:b/>
          <w:bCs/>
          <w:lang w:val="sq-AL"/>
        </w:rPr>
      </w:pPr>
      <w:r w:rsidRPr="008D0C28">
        <w:rPr>
          <w:rFonts w:cs="Cambria"/>
          <w:b/>
          <w:bCs/>
          <w:lang w:val="sq-AL"/>
        </w:rPr>
        <w:t>Shkurtime</w:t>
      </w:r>
    </w:p>
    <w:p w14:paraId="027F2BC6" w14:textId="77777777" w:rsidR="0016646B" w:rsidRPr="008D0C28" w:rsidRDefault="0016646B" w:rsidP="0016646B">
      <w:pPr>
        <w:pStyle w:val="AAATEETE"/>
        <w:jc w:val="center"/>
        <w:rPr>
          <w:rFonts w:cs="Cambria"/>
          <w:b/>
          <w:bCs/>
          <w:lang w:val="sq-AL"/>
        </w:rPr>
      </w:pPr>
    </w:p>
    <w:p w14:paraId="63BEECF2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Lista e shkurtimeve të përdorura në këtë CCU është si në vijim: </w:t>
      </w:r>
    </w:p>
    <w:p w14:paraId="2E94EB97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- ACE: Gabim i Zonës së Kontrollit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221ECB03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- ACER: Agjencia për Bashkëpunimin e Rregullatorëve të Energjisë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125EECB0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- ANES: programet e jasht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me të bashkuara të rrjeteve;</w:t>
      </w:r>
    </w:p>
    <w:p w14:paraId="5EAAD10F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- CCFR: rregullat e zakonshme të shlyerjes për Evropën Kontinentale për shkëmbimet e energjisë të synuara si rezultat i procesit të kontrollit të frekuencës dhe 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periudhës së ndryshimit (rritje/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ulje)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5A232455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- CCU: rregullat e përbashkëta të shlyerjes për Evropën Kontinentale për të gjitha shkëmbimet e energjisë të paqëllimshme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1135C2B3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- EBGL: Rregullorja e Komisionit (BE) 2017/2195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e 23 nëntorit 2017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për krijimin e një udhëzuesi mbi balancimin e energjisë elektrike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567AFD21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- Rregullorja e Energjisë Elektrike: Rregullorja (EC) 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r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.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714/2009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e Parlamentit Evropian dhe e Këshillit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e datës 13 korrik 2009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mbi kushtet për akses në rrjet për shkëmbimet ndërkufitare të energjisë elektrike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474DCC5B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- Zona LFC: zona e kontro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llit të frekuencës së ngarkesës;</w:t>
      </w:r>
    </w:p>
    <w:p w14:paraId="0EA59215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- Blloku LFC: blloku i kontrollit të frekuencës së ngarkesës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00E1ED00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- SA CE: Zona Sinkronike e Evropës Kontinentale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764DC368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lastRenderedPageBreak/>
        <w:t>- SOGL: Rregullorja (KE) nr. 2017/1485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e datës 2 gusht 2017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për krijimin e një udhëzuesi mbi operimin e sistemit të transmetimit të energjisë elektrike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204E65A5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- TSO: Operatori i Sistemit të Transmetimit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,</w:t>
      </w:r>
    </w:p>
    <w:p w14:paraId="7A9E2981" w14:textId="77777777" w:rsidR="0016646B" w:rsidRPr="008D0C28" w:rsidRDefault="0016646B" w:rsidP="0016646B">
      <w:pPr>
        <w:pStyle w:val="AAATEETE"/>
        <w:jc w:val="center"/>
        <w:rPr>
          <w:lang w:val="sq-AL"/>
        </w:rPr>
      </w:pPr>
    </w:p>
    <w:p w14:paraId="20AB2D68" w14:textId="77777777" w:rsidR="0016646B" w:rsidRPr="008D0C28" w:rsidRDefault="0016646B" w:rsidP="0016646B">
      <w:pPr>
        <w:pStyle w:val="AAATEETE"/>
        <w:jc w:val="center"/>
        <w:rPr>
          <w:lang w:val="sq-AL"/>
        </w:rPr>
      </w:pPr>
      <w:r w:rsidRPr="008D0C28">
        <w:rPr>
          <w:lang w:val="sq-AL"/>
        </w:rPr>
        <w:t>Neni 1</w:t>
      </w:r>
    </w:p>
    <w:p w14:paraId="61F9A5DA" w14:textId="77777777" w:rsidR="0016646B" w:rsidRPr="008D0C28" w:rsidRDefault="0016646B" w:rsidP="0016646B">
      <w:pPr>
        <w:pStyle w:val="AAATEETE"/>
        <w:jc w:val="center"/>
        <w:rPr>
          <w:b/>
          <w:lang w:val="sq-AL"/>
        </w:rPr>
      </w:pPr>
      <w:r w:rsidRPr="008D0C28">
        <w:rPr>
          <w:b/>
          <w:lang w:val="sq-AL"/>
        </w:rPr>
        <w:t>Objekti dhe qëllimi</w:t>
      </w:r>
    </w:p>
    <w:p w14:paraId="415C8971" w14:textId="77777777" w:rsidR="0016646B" w:rsidRPr="008D0C28" w:rsidRDefault="0016646B" w:rsidP="0016646B">
      <w:pPr>
        <w:pStyle w:val="AAATEETE"/>
        <w:jc w:val="center"/>
        <w:rPr>
          <w:lang w:val="sq-AL"/>
        </w:rPr>
      </w:pPr>
    </w:p>
    <w:p w14:paraId="16118773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1.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Rregullat e zakonshme të shlyerjes për të gjitha shkëmbimet e paqëllimshme të energjisë si rezultat i procesit të kontrollit të frekuencës dhe 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periudhës së ndryshimit (rritje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/ulje) siç përcaktohet në këtë CCFR është propozimi i përbashkët i të gjithë TSO-ve të SA CE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në përputhje me 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enin 50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(3) të EBGL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3986009F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2.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Rregullat e mëposhtme të shlyerjes janë jashtë fushëveprimit të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 xml:space="preserve"> CCFR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:</w:t>
      </w:r>
    </w:p>
    <w:p w14:paraId="64D2B64A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a) rregullat e përbashkëta të shlyerjes për shkëmbimet e qëllimshme të energjisë në pajtim me nenin 50 (1) të EBGL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02A82F9F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b) rregullat e përbashkëta të shlyerjes për shkëmbimet e qëllimshme të energjisë në pajtim me nenin 50 (4) të EBGL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0937881C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c) rregullat e përbashkëta të shlyerjes për shkëmbimin e paqëllimshëm të energjisë në përputhje me 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enin 51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(1) të EBGL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326D4722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d) rregullat e përbashkëta të shlyerjes për shkëmbimin e paqëllimshëm të energjisë në përputhje me nenin 51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(2) të EBGL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254EAD39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3.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Qeverisja, ndarja e kostos dhe vendimmarrja do të organizohen sipas kërkesave të EBGL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, por nuk janë brenda fushëveprimit të kësaj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 xml:space="preserve"> CCFR. </w:t>
      </w:r>
    </w:p>
    <w:p w14:paraId="5658320B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084B963" w14:textId="77777777" w:rsidR="0016646B" w:rsidRPr="008D0C28" w:rsidRDefault="0016646B" w:rsidP="0016646B">
      <w:pPr>
        <w:pStyle w:val="AAATEETE"/>
        <w:jc w:val="center"/>
        <w:rPr>
          <w:lang w:val="sq-AL"/>
        </w:rPr>
      </w:pPr>
      <w:r w:rsidRPr="008D0C28">
        <w:rPr>
          <w:lang w:val="sq-AL"/>
        </w:rPr>
        <w:t>Neni 2</w:t>
      </w:r>
    </w:p>
    <w:p w14:paraId="4EC8BD9E" w14:textId="77777777" w:rsidR="0016646B" w:rsidRPr="008D0C28" w:rsidRDefault="0016646B" w:rsidP="0016646B">
      <w:pPr>
        <w:pStyle w:val="AAATEETE"/>
        <w:jc w:val="center"/>
        <w:rPr>
          <w:b/>
          <w:lang w:val="sq-AL"/>
        </w:rPr>
      </w:pPr>
      <w:r w:rsidRPr="008D0C28">
        <w:rPr>
          <w:b/>
          <w:lang w:val="sq-AL"/>
        </w:rPr>
        <w:t>Përkufizime dhe interpretime</w:t>
      </w:r>
    </w:p>
    <w:p w14:paraId="061F2826" w14:textId="77777777" w:rsidR="0016646B" w:rsidRPr="008D0C28" w:rsidRDefault="0016646B" w:rsidP="0016646B">
      <w:pPr>
        <w:pStyle w:val="AAATEETE"/>
        <w:rPr>
          <w:lang w:val="sq-AL"/>
        </w:rPr>
      </w:pPr>
    </w:p>
    <w:p w14:paraId="7453F3CC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1.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Për qëllimet e kësaj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 xml:space="preserve"> CCFR-je,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termat e përdorur do të kenë përkufizimet që u janë dhënë atyre në nenin 2 të EBGL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dhe në nenin 3 të SOGL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53BCC993" w14:textId="77777777" w:rsidR="0016646B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2.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Përveç kësaj, në këtë CCFR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do të zbatohen kushtet e mëposhtme:</w:t>
      </w:r>
    </w:p>
    <w:p w14:paraId="0C8DFEF9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a) CCU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-ja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i referohet ‘Të gjitha propozimeve të TSO-ve kontinentale evropiane për rregullat e shlyerjeve të përbashkëta për të gjitha shkëmbimet e energjisë të paqëllimshme në përputhje me nenin 51 (1)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të Rregullores së Komisionit (BE) 2017/2195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të 23 nëntorit 2017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për krijimin e një udhëzuesi mbi balancimin e energjisë elektrike</w:t>
      </w:r>
    </w:p>
    <w:p w14:paraId="3E7B3F85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b) ‘Energji e procesit të kontrollit të frekuencës’ nënkupton energjinë që është importuar ose eksportuar nga çdo 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 xml:space="preserve">zonë LFC-je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për periudhën e shlyerjes 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 xml:space="preserve">TSO–TSO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në përputhje me procesin e kontrollit të frekuencës sipas nenit 142 të SOGL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. Energjia e procesit të kontrollit të frekuencës është e barabartë me integralin e gabimit të kontrollit të frekuencës sipas nenit 3 të SOGL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mbi një periudhë shlyerje TSO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–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TSO dhe korrespondon me shkëmbimet e qëllimshme të energjisë sipas nenit 50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(3)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(a) të EBGL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1940997A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c) ‘Energji e p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eriudhës së ndryshimit (rritje/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ulje)” domethënë shkëmbimet e qëllimshme të energjisë sipas nenit 50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(3)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(b) të EBGL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dhe 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enit 136 të SOGL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5E4C8DB9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d) ‘Periudha e shlyerjes TSO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–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TSO’ nënkupton, në kontekstin e kësaj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 xml:space="preserve"> CCFR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, njësinë e kohës për të cilën llogariten shkëmbimet e paqëllimshme dhe të shkëmbimeve të qëllimshme të energjisë si rezultat i procesit të kontrollit të frekuencës dhe pe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riudhës së ndryshimit (rritje/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ulje);</w:t>
      </w:r>
    </w:p>
    <w:p w14:paraId="39E5D916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e) ‘shkëmbimet e paqëllimshme të energjisë’ janë të barabarta me integralin e gabimit të zonës së kontrollit (ACE) sipas nenit 3 të SOGL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mbi periudhën e shlyerjes TSO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–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TSO.</w:t>
      </w:r>
    </w:p>
    <w:p w14:paraId="41C5E387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3.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Në këtë CCFR, me përjashtim të rastit kur konteksti kërkon të kundërtën: </w:t>
      </w:r>
    </w:p>
    <w:p w14:paraId="5FB69745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a) 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ç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mimet për shkëmbimet e qëllimshme të energjisë jepen në EUR/mwh;</w:t>
      </w:r>
    </w:p>
    <w:p w14:paraId="7AD61B1D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lastRenderedPageBreak/>
        <w:t>b) ‘Evropa Kontinentale’ dhe ‘SA CE’ nënkuptojnë Zonën Sinkronike të Evropës Kontinentale.</w:t>
      </w:r>
    </w:p>
    <w:p w14:paraId="02DB1AB4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4.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Gjithashtu, me përjashtim të rastit kur konteksti kërkon të kundërtën: </w:t>
      </w:r>
    </w:p>
    <w:p w14:paraId="2A9C25E9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a) njëjësi tregon shumësin dhe anasjelltas;</w:t>
      </w:r>
    </w:p>
    <w:p w14:paraId="4367302B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b) tabela e përmbajtjeve dhe titujt vendosen vetëm për lehtësi dhe nuk ndikojnë në interpretimin e kësaj CCFR; </w:t>
      </w:r>
    </w:p>
    <w:p w14:paraId="68AFA7E7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c) çdo referencë në legjislacion, rregullore, direktivë, urdhër, instrument, kod ose ndonjë akt tjetër do të përfshijë çdo modifi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kim, zgjatje ose ri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miratim të tij në fuqi. </w:t>
      </w:r>
    </w:p>
    <w:p w14:paraId="35C9314B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5.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Shlyerja sipas 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enit 3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(8) dhe 3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(9) të kësaj CCFR duhet të përputhet me konventën e shenjave në 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t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abelën 1:</w:t>
      </w:r>
    </w:p>
    <w:p w14:paraId="0274E510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59844FFB" w14:textId="77777777" w:rsidR="0016646B" w:rsidRPr="002B0599" w:rsidRDefault="0016646B" w:rsidP="0016646B">
      <w:pPr>
        <w:pStyle w:val="AAATEETE"/>
        <w:jc w:val="left"/>
        <w:rPr>
          <w:lang w:val="sq-AL"/>
        </w:rPr>
      </w:pPr>
      <w:r w:rsidRPr="002B0599">
        <w:rPr>
          <w:lang w:val="sq-AL"/>
        </w:rPr>
        <w:t>Tabela 1. Drejtimi i pagesës pë</w:t>
      </w:r>
      <w:r>
        <w:rPr>
          <w:lang w:val="sq-AL"/>
        </w:rPr>
        <w:t xml:space="preserve">r shlyerjen e TSO-së sipas CCFR </w:t>
      </w:r>
    </w:p>
    <w:tbl>
      <w:tblPr>
        <w:tblStyle w:val="Tabelraster1"/>
        <w:tblW w:w="0" w:type="auto"/>
        <w:tblInd w:w="421" w:type="dxa"/>
        <w:tblLook w:val="04A0" w:firstRow="1" w:lastRow="0" w:firstColumn="1" w:lastColumn="0" w:noHBand="0" w:noVBand="1"/>
      </w:tblPr>
      <w:tblGrid>
        <w:gridCol w:w="2664"/>
        <w:gridCol w:w="2864"/>
        <w:gridCol w:w="2977"/>
      </w:tblGrid>
      <w:tr w:rsidR="0016646B" w:rsidRPr="008D0C28" w14:paraId="03A9A798" w14:textId="77777777" w:rsidTr="005A0B5A"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FD40BA" w14:textId="77777777" w:rsidR="0016646B" w:rsidRPr="008D0C28" w:rsidRDefault="0016646B" w:rsidP="005A0B5A">
            <w:pPr>
              <w:jc w:val="both"/>
              <w:rPr>
                <w:rFonts w:ascii="Garamond" w:hAnsi="Garamond" w:cstheme="minorHAnsi"/>
                <w:sz w:val="20"/>
                <w:szCs w:val="24"/>
                <w:lang w:val="sq-AL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909AB" w14:textId="77777777" w:rsidR="0016646B" w:rsidRPr="008D0C28" w:rsidRDefault="0016646B" w:rsidP="005A0B5A">
            <w:pPr>
              <w:jc w:val="center"/>
              <w:rPr>
                <w:rFonts w:ascii="Garamond" w:hAnsi="Garamond" w:cstheme="minorHAnsi"/>
                <w:sz w:val="20"/>
                <w:szCs w:val="24"/>
                <w:lang w:val="sq-AL"/>
              </w:rPr>
            </w:pPr>
            <w:r w:rsidRPr="008D0C28">
              <w:rPr>
                <w:rFonts w:ascii="Garamond" w:hAnsi="Garamond" w:cstheme="minorHAnsi"/>
                <w:sz w:val="20"/>
                <w:szCs w:val="24"/>
                <w:lang w:val="sq-AL"/>
              </w:rPr>
              <w:t>Çmimi i shlyerjes TSO</w:t>
            </w:r>
            <w:r>
              <w:rPr>
                <w:rFonts w:ascii="Garamond" w:hAnsi="Garamond" w:cstheme="minorHAnsi"/>
                <w:sz w:val="20"/>
                <w:szCs w:val="24"/>
                <w:lang w:val="sq-AL"/>
              </w:rPr>
              <w:t>–</w:t>
            </w:r>
            <w:r w:rsidRPr="008D0C28">
              <w:rPr>
                <w:rFonts w:ascii="Garamond" w:hAnsi="Garamond" w:cstheme="minorHAnsi"/>
                <w:sz w:val="20"/>
                <w:szCs w:val="24"/>
                <w:lang w:val="sq-AL"/>
              </w:rPr>
              <w:t>TSO: pozitiv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4C6C1" w14:textId="77777777" w:rsidR="0016646B" w:rsidRPr="008D0C28" w:rsidRDefault="0016646B" w:rsidP="005A0B5A">
            <w:pPr>
              <w:jc w:val="center"/>
              <w:rPr>
                <w:rFonts w:ascii="Garamond" w:hAnsi="Garamond" w:cstheme="minorHAnsi"/>
                <w:sz w:val="20"/>
                <w:szCs w:val="24"/>
                <w:lang w:val="sq-AL"/>
              </w:rPr>
            </w:pPr>
            <w:r w:rsidRPr="008D0C28">
              <w:rPr>
                <w:rFonts w:ascii="Garamond" w:hAnsi="Garamond" w:cstheme="minorHAnsi"/>
                <w:sz w:val="20"/>
                <w:szCs w:val="24"/>
                <w:lang w:val="sq-AL"/>
              </w:rPr>
              <w:t>Çmimi i shlyerjes TSO</w:t>
            </w:r>
            <w:r>
              <w:rPr>
                <w:rFonts w:ascii="Garamond" w:hAnsi="Garamond" w:cstheme="minorHAnsi"/>
                <w:sz w:val="20"/>
                <w:szCs w:val="24"/>
                <w:lang w:val="sq-AL"/>
              </w:rPr>
              <w:t>–</w:t>
            </w:r>
            <w:r w:rsidRPr="008D0C28">
              <w:rPr>
                <w:rFonts w:ascii="Garamond" w:hAnsi="Garamond" w:cstheme="minorHAnsi"/>
                <w:sz w:val="20"/>
                <w:szCs w:val="24"/>
                <w:lang w:val="sq-AL"/>
              </w:rPr>
              <w:t>TSO: negativ</w:t>
            </w:r>
          </w:p>
        </w:tc>
      </w:tr>
      <w:tr w:rsidR="0016646B" w:rsidRPr="008D0C28" w14:paraId="781C9517" w14:textId="77777777" w:rsidTr="005A0B5A"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F1EA7" w14:textId="77777777" w:rsidR="0016646B" w:rsidRPr="008D0C28" w:rsidRDefault="0016646B" w:rsidP="005A0B5A">
            <w:pPr>
              <w:jc w:val="both"/>
              <w:rPr>
                <w:rFonts w:ascii="Garamond" w:hAnsi="Garamond" w:cstheme="minorHAnsi"/>
                <w:sz w:val="20"/>
                <w:szCs w:val="24"/>
                <w:lang w:val="sq-AL"/>
              </w:rPr>
            </w:pPr>
            <w:r w:rsidRPr="008D0C28">
              <w:rPr>
                <w:rFonts w:ascii="Garamond" w:hAnsi="Garamond" w:cstheme="minorHAnsi"/>
                <w:sz w:val="20"/>
                <w:szCs w:val="24"/>
                <w:lang w:val="sq-AL"/>
              </w:rPr>
              <w:t>Vëllimi i shlyerjes së TSO</w:t>
            </w:r>
            <w:r>
              <w:rPr>
                <w:rFonts w:ascii="Garamond" w:hAnsi="Garamond" w:cstheme="minorHAnsi"/>
                <w:sz w:val="20"/>
                <w:szCs w:val="24"/>
                <w:lang w:val="sq-AL"/>
              </w:rPr>
              <w:t>-ve</w:t>
            </w:r>
            <w:r w:rsidRPr="008D0C28">
              <w:rPr>
                <w:rFonts w:ascii="Garamond" w:hAnsi="Garamond" w:cstheme="minorHAnsi"/>
                <w:sz w:val="20"/>
                <w:szCs w:val="24"/>
                <w:lang w:val="sq-AL"/>
              </w:rPr>
              <w:t>: pozitiv (eksportet e TSO</w:t>
            </w:r>
            <w:r>
              <w:rPr>
                <w:rFonts w:ascii="Garamond" w:hAnsi="Garamond" w:cstheme="minorHAnsi"/>
                <w:sz w:val="20"/>
                <w:szCs w:val="24"/>
                <w:lang w:val="sq-AL"/>
              </w:rPr>
              <w:t>-ve</w:t>
            </w:r>
            <w:r w:rsidRPr="008D0C28">
              <w:rPr>
                <w:rFonts w:ascii="Garamond" w:hAnsi="Garamond" w:cstheme="minorHAnsi"/>
                <w:sz w:val="20"/>
                <w:szCs w:val="24"/>
                <w:lang w:val="sq-AL"/>
              </w:rPr>
              <w:t>)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7BB7D" w14:textId="77777777" w:rsidR="0016646B" w:rsidRPr="008D0C28" w:rsidRDefault="0016646B" w:rsidP="005A0B5A">
            <w:pPr>
              <w:jc w:val="center"/>
              <w:rPr>
                <w:rFonts w:ascii="Garamond" w:hAnsi="Garamond" w:cstheme="minorHAnsi"/>
                <w:sz w:val="20"/>
                <w:szCs w:val="24"/>
                <w:lang w:val="sq-AL"/>
              </w:rPr>
            </w:pPr>
            <w:r w:rsidRPr="008D0C28">
              <w:rPr>
                <w:rFonts w:ascii="Garamond" w:hAnsi="Garamond" w:cstheme="minorHAnsi"/>
                <w:sz w:val="20"/>
                <w:szCs w:val="24"/>
                <w:lang w:val="sq-AL"/>
              </w:rPr>
              <w:t>Pagesa për TSO</w:t>
            </w:r>
            <w:r>
              <w:rPr>
                <w:rFonts w:ascii="Garamond" w:hAnsi="Garamond" w:cstheme="minorHAnsi"/>
                <w:sz w:val="20"/>
                <w:szCs w:val="24"/>
                <w:lang w:val="sq-AL"/>
              </w:rPr>
              <w:t>-të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0ADE9" w14:textId="77777777" w:rsidR="0016646B" w:rsidRPr="008D0C28" w:rsidRDefault="0016646B" w:rsidP="005A0B5A">
            <w:pPr>
              <w:jc w:val="center"/>
              <w:rPr>
                <w:rFonts w:ascii="Garamond" w:hAnsi="Garamond" w:cstheme="minorHAnsi"/>
                <w:sz w:val="20"/>
                <w:szCs w:val="24"/>
                <w:lang w:val="sq-AL"/>
              </w:rPr>
            </w:pPr>
            <w:r w:rsidRPr="008D0C28">
              <w:rPr>
                <w:rFonts w:ascii="Garamond" w:hAnsi="Garamond" w:cstheme="minorHAnsi"/>
                <w:sz w:val="20"/>
                <w:szCs w:val="24"/>
                <w:lang w:val="sq-AL"/>
              </w:rPr>
              <w:t>Pagesa nga TSO</w:t>
            </w:r>
            <w:r>
              <w:rPr>
                <w:rFonts w:ascii="Garamond" w:hAnsi="Garamond" w:cstheme="minorHAnsi"/>
                <w:sz w:val="20"/>
                <w:szCs w:val="24"/>
                <w:lang w:val="sq-AL"/>
              </w:rPr>
              <w:t>-të</w:t>
            </w:r>
          </w:p>
        </w:tc>
      </w:tr>
      <w:tr w:rsidR="0016646B" w:rsidRPr="008D0C28" w14:paraId="36BF3F55" w14:textId="77777777" w:rsidTr="005A0B5A"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07E33" w14:textId="77777777" w:rsidR="0016646B" w:rsidRPr="008D0C28" w:rsidRDefault="0016646B" w:rsidP="005A0B5A">
            <w:pPr>
              <w:jc w:val="both"/>
              <w:rPr>
                <w:rFonts w:ascii="Garamond" w:hAnsi="Garamond" w:cstheme="minorHAnsi"/>
                <w:sz w:val="20"/>
                <w:szCs w:val="24"/>
                <w:lang w:val="sq-AL"/>
              </w:rPr>
            </w:pPr>
            <w:r w:rsidRPr="008D0C28">
              <w:rPr>
                <w:rFonts w:ascii="Garamond" w:hAnsi="Garamond" w:cstheme="minorHAnsi"/>
                <w:sz w:val="20"/>
                <w:szCs w:val="24"/>
                <w:lang w:val="sq-AL"/>
              </w:rPr>
              <w:t>Vëllimi i shlyerjes së TSO</w:t>
            </w:r>
            <w:r>
              <w:rPr>
                <w:rFonts w:ascii="Garamond" w:hAnsi="Garamond" w:cstheme="minorHAnsi"/>
                <w:sz w:val="20"/>
                <w:szCs w:val="24"/>
                <w:lang w:val="sq-AL"/>
              </w:rPr>
              <w:t>-ve</w:t>
            </w:r>
            <w:r w:rsidRPr="008D0C28">
              <w:rPr>
                <w:rFonts w:ascii="Garamond" w:hAnsi="Garamond" w:cstheme="minorHAnsi"/>
                <w:sz w:val="20"/>
                <w:szCs w:val="24"/>
                <w:lang w:val="sq-AL"/>
              </w:rPr>
              <w:t>: negativ (importet e TSO</w:t>
            </w:r>
            <w:r>
              <w:rPr>
                <w:rFonts w:ascii="Garamond" w:hAnsi="Garamond" w:cstheme="minorHAnsi"/>
                <w:sz w:val="20"/>
                <w:szCs w:val="24"/>
                <w:lang w:val="sq-AL"/>
              </w:rPr>
              <w:t>-ve</w:t>
            </w:r>
            <w:r w:rsidRPr="008D0C28">
              <w:rPr>
                <w:rFonts w:ascii="Garamond" w:hAnsi="Garamond" w:cstheme="minorHAnsi"/>
                <w:sz w:val="20"/>
                <w:szCs w:val="24"/>
                <w:lang w:val="sq-AL"/>
              </w:rPr>
              <w:t>)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66BA0" w14:textId="77777777" w:rsidR="0016646B" w:rsidRPr="008D0C28" w:rsidRDefault="0016646B" w:rsidP="005A0B5A">
            <w:pPr>
              <w:jc w:val="center"/>
              <w:rPr>
                <w:rFonts w:ascii="Garamond" w:hAnsi="Garamond" w:cstheme="minorHAnsi"/>
                <w:sz w:val="20"/>
                <w:szCs w:val="24"/>
                <w:lang w:val="sq-AL"/>
              </w:rPr>
            </w:pPr>
            <w:r w:rsidRPr="008D0C28">
              <w:rPr>
                <w:rFonts w:ascii="Garamond" w:hAnsi="Garamond" w:cstheme="minorHAnsi"/>
                <w:sz w:val="20"/>
                <w:szCs w:val="24"/>
                <w:lang w:val="sq-AL"/>
              </w:rPr>
              <w:t>Pagesa nga TSO</w:t>
            </w:r>
            <w:r>
              <w:rPr>
                <w:rFonts w:ascii="Garamond" w:hAnsi="Garamond" w:cstheme="minorHAnsi"/>
                <w:sz w:val="20"/>
                <w:szCs w:val="24"/>
                <w:lang w:val="sq-AL"/>
              </w:rPr>
              <w:t>-të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BD821" w14:textId="77777777" w:rsidR="0016646B" w:rsidRPr="008D0C28" w:rsidRDefault="0016646B" w:rsidP="005A0B5A">
            <w:pPr>
              <w:jc w:val="center"/>
              <w:rPr>
                <w:rFonts w:ascii="Garamond" w:hAnsi="Garamond" w:cstheme="minorHAnsi"/>
                <w:sz w:val="20"/>
                <w:szCs w:val="24"/>
                <w:lang w:val="sq-AL"/>
              </w:rPr>
            </w:pPr>
            <w:r w:rsidRPr="008D0C28">
              <w:rPr>
                <w:rFonts w:ascii="Garamond" w:hAnsi="Garamond" w:cstheme="minorHAnsi"/>
                <w:sz w:val="20"/>
                <w:szCs w:val="24"/>
                <w:lang w:val="sq-AL"/>
              </w:rPr>
              <w:t>Pagesa për TSO</w:t>
            </w:r>
            <w:r>
              <w:rPr>
                <w:rFonts w:ascii="Garamond" w:hAnsi="Garamond" w:cstheme="minorHAnsi"/>
                <w:sz w:val="20"/>
                <w:szCs w:val="24"/>
                <w:lang w:val="sq-AL"/>
              </w:rPr>
              <w:t>-të</w:t>
            </w:r>
          </w:p>
        </w:tc>
      </w:tr>
    </w:tbl>
    <w:p w14:paraId="61ED7572" w14:textId="77777777" w:rsidR="0016646B" w:rsidRPr="008D0C28" w:rsidRDefault="0016646B" w:rsidP="0016646B">
      <w:pPr>
        <w:pStyle w:val="AAATEETE"/>
        <w:rPr>
          <w:lang w:val="sq-AL"/>
        </w:rPr>
      </w:pPr>
    </w:p>
    <w:p w14:paraId="6DBF80E2" w14:textId="77777777" w:rsidR="0016646B" w:rsidRPr="008D0C28" w:rsidRDefault="0016646B" w:rsidP="0016646B">
      <w:pPr>
        <w:pStyle w:val="AAATEETE"/>
        <w:jc w:val="center"/>
        <w:rPr>
          <w:lang w:val="sq-AL"/>
        </w:rPr>
      </w:pPr>
      <w:r w:rsidRPr="008D0C28">
        <w:rPr>
          <w:lang w:val="sq-AL"/>
        </w:rPr>
        <w:t>Neni 3</w:t>
      </w:r>
    </w:p>
    <w:p w14:paraId="66C06293" w14:textId="77777777" w:rsidR="0016646B" w:rsidRPr="008D0C28" w:rsidRDefault="0016646B" w:rsidP="0016646B">
      <w:pPr>
        <w:pStyle w:val="AAATEETE"/>
        <w:jc w:val="center"/>
        <w:rPr>
          <w:b/>
          <w:lang w:val="sq-AL"/>
        </w:rPr>
      </w:pPr>
      <w:r w:rsidRPr="008D0C28">
        <w:rPr>
          <w:b/>
          <w:lang w:val="sq-AL"/>
        </w:rPr>
        <w:t>Projekti i nivelit të lartë për zgjidhjen e përbashkët</w:t>
      </w:r>
    </w:p>
    <w:p w14:paraId="7D9280A2" w14:textId="77777777" w:rsidR="0016646B" w:rsidRPr="008D0C28" w:rsidRDefault="0016646B" w:rsidP="0016646B">
      <w:pPr>
        <w:pStyle w:val="AAATEETE"/>
        <w:rPr>
          <w:lang w:val="sq-AL"/>
        </w:rPr>
      </w:pPr>
    </w:p>
    <w:p w14:paraId="785DC1E1" w14:textId="77777777" w:rsidR="0016646B" w:rsidRPr="008D0C28" w:rsidRDefault="0016646B" w:rsidP="0016646B">
      <w:pPr>
        <w:pStyle w:val="AAATEETE"/>
        <w:rPr>
          <w:rFonts w:cs="Cambria"/>
          <w:lang w:val="sq-AL"/>
        </w:rPr>
      </w:pPr>
      <w:r>
        <w:rPr>
          <w:rFonts w:cs="Cambria"/>
          <w:lang w:val="sq-AL"/>
        </w:rPr>
        <w:t>1.</w:t>
      </w:r>
      <w:r w:rsidRPr="008D0C28">
        <w:rPr>
          <w:rFonts w:cs="Cambria"/>
          <w:lang w:val="sq-AL"/>
        </w:rPr>
        <w:t xml:space="preserve"> Shlyerja e përbashkët e kryer nga TSO-të e SA CE në pajtim me këtë CCFR do të përbëhet nga funksioni i Llogaritjes së energjisë në kufi, funksioni i shlyerjes së</w:t>
      </w:r>
      <w:r>
        <w:rPr>
          <w:rFonts w:cs="Cambria"/>
          <w:lang w:val="sq-AL"/>
        </w:rPr>
        <w:t xml:space="preserve"> CCFR </w:t>
      </w:r>
      <w:r w:rsidRPr="008D0C28">
        <w:rPr>
          <w:rFonts w:cs="Cambria"/>
          <w:lang w:val="sq-AL"/>
        </w:rPr>
        <w:t>dhe detyra e faturimit.</w:t>
      </w:r>
    </w:p>
    <w:p w14:paraId="3FE3DED5" w14:textId="77777777" w:rsidR="0016646B" w:rsidRDefault="0016646B" w:rsidP="0016646B">
      <w:pPr>
        <w:pStyle w:val="AAATEETE"/>
        <w:rPr>
          <w:rFonts w:cs="Cambria"/>
          <w:lang w:val="sq-AL"/>
        </w:rPr>
      </w:pPr>
      <w:r>
        <w:rPr>
          <w:rFonts w:cs="Cambria"/>
          <w:lang w:val="sq-AL"/>
        </w:rPr>
        <w:t>2.</w:t>
      </w:r>
      <w:r w:rsidRPr="008D0C28">
        <w:rPr>
          <w:rFonts w:cs="Cambria"/>
          <w:lang w:val="sq-AL"/>
        </w:rPr>
        <w:t xml:space="preserve"> Njësia ose subjektet e ngarkuara me funksionin të </w:t>
      </w:r>
      <w:r>
        <w:rPr>
          <w:rFonts w:cs="Cambria"/>
          <w:lang w:val="sq-AL"/>
        </w:rPr>
        <w:t>l</w:t>
      </w:r>
      <w:r w:rsidRPr="008D0C28">
        <w:rPr>
          <w:rFonts w:cs="Cambria"/>
          <w:lang w:val="sq-AL"/>
        </w:rPr>
        <w:t>logaritjes së energjisë në kufi të</w:t>
      </w:r>
      <w:r>
        <w:rPr>
          <w:rFonts w:cs="Cambria"/>
          <w:lang w:val="sq-AL"/>
        </w:rPr>
        <w:t xml:space="preserve"> CCFR </w:t>
      </w:r>
      <w:r w:rsidRPr="008D0C28">
        <w:rPr>
          <w:rFonts w:cs="Cambria"/>
          <w:lang w:val="sq-AL"/>
        </w:rPr>
        <w:t>do të mbledhin të gjitha të dhënat e kërkuara për të llogaritur vlerat e procesit të kontrollit të frekuencës së energjisë dhe p</w:t>
      </w:r>
      <w:r>
        <w:rPr>
          <w:rFonts w:cs="Cambria"/>
          <w:lang w:val="sq-AL"/>
        </w:rPr>
        <w:t>eriudhën e ndryshimit (rritje/</w:t>
      </w:r>
      <w:r w:rsidRPr="008D0C28">
        <w:rPr>
          <w:rFonts w:cs="Cambria"/>
          <w:lang w:val="sq-AL"/>
        </w:rPr>
        <w:t>ulje) për secilën periudhë</w:t>
      </w:r>
      <w:r>
        <w:rPr>
          <w:rFonts w:cs="Cambria"/>
          <w:lang w:val="sq-AL"/>
        </w:rPr>
        <w:t xml:space="preserve"> </w:t>
      </w:r>
      <w:r w:rsidRPr="008D0C28">
        <w:rPr>
          <w:rFonts w:cs="Cambria"/>
          <w:lang w:val="sq-AL"/>
        </w:rPr>
        <w:t xml:space="preserve">shlyerje </w:t>
      </w:r>
      <w:r>
        <w:rPr>
          <w:rFonts w:cs="Cambria"/>
          <w:lang w:val="sq-AL"/>
        </w:rPr>
        <w:t>TSO–TSO</w:t>
      </w:r>
      <w:r w:rsidRPr="008D0C28">
        <w:rPr>
          <w:rFonts w:cs="Cambria"/>
          <w:lang w:val="sq-AL"/>
        </w:rPr>
        <w:t>.</w:t>
      </w:r>
    </w:p>
    <w:p w14:paraId="23E8623B" w14:textId="77777777" w:rsidR="0016646B" w:rsidRPr="008D0C28" w:rsidRDefault="0016646B" w:rsidP="0016646B">
      <w:pPr>
        <w:pStyle w:val="AAATEETE"/>
        <w:rPr>
          <w:rFonts w:cs="Cambria"/>
          <w:lang w:val="sq-AL"/>
        </w:rPr>
      </w:pPr>
      <w:r>
        <w:rPr>
          <w:rFonts w:cs="Cambria"/>
          <w:lang w:val="sq-AL"/>
        </w:rPr>
        <w:t>3.</w:t>
      </w:r>
      <w:r w:rsidRPr="008D0C28">
        <w:rPr>
          <w:rFonts w:cs="Cambria"/>
          <w:lang w:val="sq-AL"/>
        </w:rPr>
        <w:t xml:space="preserve"> Inputet në funksionin e </w:t>
      </w:r>
      <w:r>
        <w:rPr>
          <w:rFonts w:cs="Cambria"/>
          <w:lang w:val="sq-AL"/>
        </w:rPr>
        <w:t>l</w:t>
      </w:r>
      <w:r w:rsidRPr="008D0C28">
        <w:rPr>
          <w:rFonts w:cs="Cambria"/>
          <w:lang w:val="sq-AL"/>
        </w:rPr>
        <w:t>logaritjes së energjisë në kufi të CCFR do të jenë:</w:t>
      </w:r>
    </w:p>
    <w:p w14:paraId="250D2489" w14:textId="77777777" w:rsidR="0016646B" w:rsidRPr="008D0C28" w:rsidRDefault="0016646B" w:rsidP="0016646B">
      <w:pPr>
        <w:pStyle w:val="AAATEETE"/>
        <w:rPr>
          <w:rFonts w:cs="Cambria"/>
          <w:lang w:val="sq-AL"/>
        </w:rPr>
      </w:pPr>
      <w:r w:rsidRPr="008D0C28">
        <w:rPr>
          <w:rFonts w:cs="Cambria"/>
          <w:lang w:val="sq-AL"/>
        </w:rPr>
        <w:t>a) Vlera e njoftuar e faktorit-k për zonën LFC të SA CE;</w:t>
      </w:r>
    </w:p>
    <w:p w14:paraId="043F70F8" w14:textId="77777777" w:rsidR="0016646B" w:rsidRPr="008D0C28" w:rsidRDefault="0016646B" w:rsidP="0016646B">
      <w:pPr>
        <w:pStyle w:val="AAATEETE"/>
        <w:rPr>
          <w:rFonts w:cs="Cambria"/>
          <w:lang w:val="sq-AL"/>
        </w:rPr>
      </w:pPr>
      <w:r w:rsidRPr="008D0C28">
        <w:rPr>
          <w:rFonts w:cs="Cambria"/>
          <w:lang w:val="sq-AL"/>
        </w:rPr>
        <w:t xml:space="preserve">b) Devijimi mesatar i frekuencës për çdo periudhë shlyerje </w:t>
      </w:r>
      <w:r>
        <w:rPr>
          <w:rFonts w:cs="Cambria"/>
          <w:lang w:val="sq-AL"/>
        </w:rPr>
        <w:t>TSO–TSO</w:t>
      </w:r>
      <w:r w:rsidRPr="008D0C28">
        <w:rPr>
          <w:rFonts w:cs="Cambria"/>
          <w:lang w:val="sq-AL"/>
        </w:rPr>
        <w:t xml:space="preserve"> të SA CE, i cili do të përcaktohet nga TSO</w:t>
      </w:r>
      <w:r>
        <w:rPr>
          <w:rFonts w:cs="Cambria"/>
          <w:lang w:val="sq-AL"/>
        </w:rPr>
        <w:t>-të</w:t>
      </w:r>
      <w:r w:rsidRPr="008D0C28">
        <w:rPr>
          <w:rFonts w:cs="Cambria"/>
          <w:lang w:val="sq-AL"/>
        </w:rPr>
        <w:t xml:space="preserve"> e caktuar;</w:t>
      </w:r>
    </w:p>
    <w:p w14:paraId="10DD7B5D" w14:textId="77777777" w:rsidR="0016646B" w:rsidRPr="008D0C28" w:rsidRDefault="0016646B" w:rsidP="0016646B">
      <w:pPr>
        <w:pStyle w:val="AAATEETE"/>
        <w:rPr>
          <w:rFonts w:cs="Cambria"/>
          <w:lang w:val="sq-AL"/>
        </w:rPr>
      </w:pPr>
      <w:r w:rsidRPr="008D0C28">
        <w:rPr>
          <w:rFonts w:cs="Cambria"/>
          <w:lang w:val="sq-AL"/>
        </w:rPr>
        <w:t>c) të gjitha skedulet e jashtëm të netuar</w:t>
      </w:r>
      <w:r>
        <w:rPr>
          <w:rFonts w:cs="Cambria"/>
          <w:lang w:val="sq-AL"/>
        </w:rPr>
        <w:t xml:space="preserve"> </w:t>
      </w:r>
      <w:r w:rsidRPr="008D0C28">
        <w:rPr>
          <w:rFonts w:cs="Cambria"/>
          <w:lang w:val="sq-AL"/>
        </w:rPr>
        <w:t>dhe agreguar (ANES) brenda SA CE.</w:t>
      </w:r>
    </w:p>
    <w:p w14:paraId="1BD26B24" w14:textId="77777777" w:rsidR="0016646B" w:rsidRPr="008D0C28" w:rsidRDefault="0016646B" w:rsidP="0016646B">
      <w:pPr>
        <w:pStyle w:val="AAATEETE"/>
        <w:rPr>
          <w:rFonts w:cs="Cambria"/>
          <w:lang w:val="sq-AL"/>
        </w:rPr>
      </w:pPr>
      <w:r>
        <w:rPr>
          <w:rFonts w:cs="Cambria"/>
          <w:lang w:val="sq-AL"/>
        </w:rPr>
        <w:t>4.</w:t>
      </w:r>
      <w:r w:rsidRPr="008D0C28">
        <w:rPr>
          <w:rFonts w:cs="Cambria"/>
          <w:lang w:val="sq-AL"/>
        </w:rPr>
        <w:t xml:space="preserve"> Rezultati i funksionit të </w:t>
      </w:r>
      <w:r>
        <w:rPr>
          <w:rFonts w:cs="Cambria"/>
          <w:lang w:val="sq-AL"/>
        </w:rPr>
        <w:t>l</w:t>
      </w:r>
      <w:r w:rsidRPr="008D0C28">
        <w:rPr>
          <w:rFonts w:cs="Cambria"/>
          <w:lang w:val="sq-AL"/>
        </w:rPr>
        <w:t>logaritjes së energjisë në kufi të</w:t>
      </w:r>
      <w:r>
        <w:rPr>
          <w:rFonts w:cs="Cambria"/>
          <w:lang w:val="sq-AL"/>
        </w:rPr>
        <w:t xml:space="preserve"> CCFR </w:t>
      </w:r>
      <w:r w:rsidRPr="008D0C28">
        <w:rPr>
          <w:rFonts w:cs="Cambria"/>
          <w:lang w:val="sq-AL"/>
        </w:rPr>
        <w:t>do të jetë:</w:t>
      </w:r>
    </w:p>
    <w:p w14:paraId="7264FB13" w14:textId="77777777" w:rsidR="0016646B" w:rsidRPr="008D0C28" w:rsidRDefault="0016646B" w:rsidP="0016646B">
      <w:pPr>
        <w:pStyle w:val="AAATEETE"/>
        <w:rPr>
          <w:rFonts w:cs="Cambria"/>
          <w:lang w:val="sq-AL"/>
        </w:rPr>
      </w:pPr>
      <w:r w:rsidRPr="008D0C28">
        <w:rPr>
          <w:rFonts w:cs="Cambria"/>
          <w:lang w:val="sq-AL"/>
        </w:rPr>
        <w:t xml:space="preserve">a) </w:t>
      </w:r>
      <w:r>
        <w:rPr>
          <w:rFonts w:cs="Cambria"/>
          <w:lang w:val="sq-AL"/>
        </w:rPr>
        <w:t>s</w:t>
      </w:r>
      <w:r w:rsidRPr="008D0C28">
        <w:rPr>
          <w:rFonts w:cs="Cambria"/>
          <w:lang w:val="sq-AL"/>
        </w:rPr>
        <w:t>hkëmbimet e qëllimshme të energjisë si rezultat i pe</w:t>
      </w:r>
      <w:r>
        <w:rPr>
          <w:rFonts w:cs="Cambria"/>
          <w:lang w:val="sq-AL"/>
        </w:rPr>
        <w:t>riudhës së ndryshimit (rritje/</w:t>
      </w:r>
      <w:r w:rsidRPr="008D0C28">
        <w:rPr>
          <w:rFonts w:cs="Cambria"/>
          <w:lang w:val="sq-AL"/>
        </w:rPr>
        <w:t xml:space="preserve">ulje) për çdo periudhë shlyerje </w:t>
      </w:r>
      <w:r>
        <w:rPr>
          <w:rFonts w:cs="Cambria"/>
          <w:lang w:val="sq-AL"/>
        </w:rPr>
        <w:t>TSO–TSO</w:t>
      </w:r>
      <w:r w:rsidRPr="008D0C28">
        <w:rPr>
          <w:rFonts w:cs="Cambria"/>
          <w:lang w:val="sq-AL"/>
        </w:rPr>
        <w:t xml:space="preserve"> brenda SA CE;</w:t>
      </w:r>
    </w:p>
    <w:p w14:paraId="2700EE2E" w14:textId="77777777" w:rsidR="0016646B" w:rsidRPr="008D0C28" w:rsidRDefault="0016646B" w:rsidP="0016646B">
      <w:pPr>
        <w:pStyle w:val="AAATEETE"/>
        <w:rPr>
          <w:rFonts w:cs="Cambria"/>
          <w:lang w:val="sq-AL"/>
        </w:rPr>
      </w:pPr>
      <w:r w:rsidRPr="008D0C28">
        <w:rPr>
          <w:rFonts w:cs="Cambria"/>
          <w:lang w:val="sq-AL"/>
        </w:rPr>
        <w:t xml:space="preserve">b) </w:t>
      </w:r>
      <w:r>
        <w:rPr>
          <w:rFonts w:cs="Cambria"/>
          <w:lang w:val="sq-AL"/>
        </w:rPr>
        <w:t>s</w:t>
      </w:r>
      <w:r w:rsidRPr="008D0C28">
        <w:rPr>
          <w:rFonts w:cs="Cambria"/>
          <w:lang w:val="sq-AL"/>
        </w:rPr>
        <w:t>hkëmbimet e qëllimshme të energjisë si rezultat i procesit të kontrollit të frekuencës</w:t>
      </w:r>
      <w:r>
        <w:rPr>
          <w:rFonts w:cs="Cambria"/>
          <w:lang w:val="sq-AL"/>
        </w:rPr>
        <w:t xml:space="preserve"> </w:t>
      </w:r>
      <w:r w:rsidRPr="008D0C28">
        <w:rPr>
          <w:rFonts w:cs="Cambria"/>
          <w:lang w:val="sq-AL"/>
        </w:rPr>
        <w:t xml:space="preserve">për çdo periudhë shlyerje </w:t>
      </w:r>
      <w:r>
        <w:rPr>
          <w:rFonts w:cs="Cambria"/>
          <w:lang w:val="sq-AL"/>
        </w:rPr>
        <w:t>TSO–TSO</w:t>
      </w:r>
      <w:r w:rsidRPr="008D0C28">
        <w:rPr>
          <w:rFonts w:cs="Cambria"/>
          <w:lang w:val="sq-AL"/>
        </w:rPr>
        <w:t xml:space="preserve"> brenda SA CE.</w:t>
      </w:r>
    </w:p>
    <w:p w14:paraId="69BE324D" w14:textId="77777777" w:rsidR="0016646B" w:rsidRPr="008D0C28" w:rsidRDefault="0016646B" w:rsidP="0016646B">
      <w:pPr>
        <w:pStyle w:val="AAATEETE"/>
        <w:rPr>
          <w:rFonts w:cs="Cambria"/>
          <w:lang w:val="sq-AL"/>
        </w:rPr>
      </w:pPr>
      <w:r>
        <w:rPr>
          <w:rFonts w:cs="Cambria"/>
          <w:lang w:val="sq-AL"/>
        </w:rPr>
        <w:t>5.</w:t>
      </w:r>
      <w:r w:rsidRPr="008D0C28">
        <w:rPr>
          <w:rFonts w:cs="Cambria"/>
          <w:lang w:val="sq-AL"/>
        </w:rPr>
        <w:t xml:space="preserve"> Njësia ose njësitë të cilave u është besuar funksioni i shlyerjes CCFR do të mbledhë të gjitha të dhënat e kërkuara për të llogaritur një çmim të shkëmbimit të procesit të kontrollit të frekuencës së energjisë dhe pe</w:t>
      </w:r>
      <w:r>
        <w:rPr>
          <w:rFonts w:cs="Cambria"/>
          <w:lang w:val="sq-AL"/>
        </w:rPr>
        <w:t>riudhës së ndryshimit (rritje/</w:t>
      </w:r>
      <w:r w:rsidRPr="008D0C28">
        <w:rPr>
          <w:rFonts w:cs="Cambria"/>
          <w:lang w:val="sq-AL"/>
        </w:rPr>
        <w:t xml:space="preserve">ulje) për çdo periudhë shlyerje </w:t>
      </w:r>
      <w:r>
        <w:rPr>
          <w:rFonts w:cs="Cambria"/>
          <w:lang w:val="sq-AL"/>
        </w:rPr>
        <w:t>TSO–TSO</w:t>
      </w:r>
      <w:r w:rsidRPr="008D0C28">
        <w:rPr>
          <w:rFonts w:cs="Cambria"/>
          <w:lang w:val="sq-AL"/>
        </w:rPr>
        <w:t xml:space="preserve"> dhe do të llogarisë rezultatin financiar </w:t>
      </w:r>
      <w:r>
        <w:rPr>
          <w:rFonts w:cs="Cambria"/>
          <w:lang w:val="sq-AL"/>
        </w:rPr>
        <w:t>dhe fluksin financiar për</w:t>
      </w:r>
      <w:r w:rsidRPr="008D0C28">
        <w:rPr>
          <w:rFonts w:cs="Cambria"/>
          <w:lang w:val="sq-AL"/>
        </w:rPr>
        <w:t xml:space="preserve"> çdo </w:t>
      </w:r>
      <w:r>
        <w:rPr>
          <w:rFonts w:cs="Cambria"/>
          <w:lang w:val="sq-AL"/>
        </w:rPr>
        <w:t xml:space="preserve">bllok LFC-je </w:t>
      </w:r>
      <w:r w:rsidRPr="008D0C28">
        <w:rPr>
          <w:rFonts w:cs="Cambria"/>
          <w:lang w:val="sq-AL"/>
        </w:rPr>
        <w:t xml:space="preserve">ose </w:t>
      </w:r>
      <w:r>
        <w:rPr>
          <w:rFonts w:cs="Cambria"/>
          <w:lang w:val="sq-AL"/>
        </w:rPr>
        <w:t>zonë LFC-je</w:t>
      </w:r>
      <w:r w:rsidRPr="008D0C28">
        <w:rPr>
          <w:rFonts w:cs="Cambria"/>
          <w:lang w:val="sq-AL"/>
        </w:rPr>
        <w:t>.</w:t>
      </w:r>
    </w:p>
    <w:p w14:paraId="409C9AC6" w14:textId="77777777" w:rsidR="0016646B" w:rsidRPr="008D0C28" w:rsidRDefault="0016646B" w:rsidP="0016646B">
      <w:pPr>
        <w:pStyle w:val="AAATEETE"/>
        <w:rPr>
          <w:rFonts w:cs="Cambria"/>
          <w:lang w:val="sq-AL"/>
        </w:rPr>
      </w:pPr>
      <w:r>
        <w:rPr>
          <w:rFonts w:cs="Cambria"/>
          <w:lang w:val="sq-AL"/>
        </w:rPr>
        <w:t>6.</w:t>
      </w:r>
      <w:r w:rsidRPr="008D0C28">
        <w:rPr>
          <w:rFonts w:cs="Cambria"/>
          <w:lang w:val="sq-AL"/>
        </w:rPr>
        <w:t xml:space="preserve"> Inputi i funksionit të shlyerjes CCFR do të jetë:</w:t>
      </w:r>
    </w:p>
    <w:p w14:paraId="52EA7FDC" w14:textId="77777777" w:rsidR="0016646B" w:rsidRPr="008D0C28" w:rsidRDefault="0016646B" w:rsidP="0016646B">
      <w:pPr>
        <w:pStyle w:val="AAATEETE"/>
        <w:rPr>
          <w:rFonts w:cs="Cambria"/>
          <w:lang w:val="sq-AL"/>
        </w:rPr>
      </w:pPr>
      <w:r w:rsidRPr="008D0C28">
        <w:rPr>
          <w:rFonts w:cs="Cambria"/>
          <w:lang w:val="sq-AL"/>
        </w:rPr>
        <w:t>a) vëllimet e shkëmbimit të energjisë të qëllimshme si rezultat i procesit të kontrollit së frekuencës dhe pe</w:t>
      </w:r>
      <w:r>
        <w:rPr>
          <w:rFonts w:cs="Cambria"/>
          <w:lang w:val="sq-AL"/>
        </w:rPr>
        <w:t>riudhës së ndryshimit (rritje/</w:t>
      </w:r>
      <w:r w:rsidRPr="008D0C28">
        <w:rPr>
          <w:rFonts w:cs="Cambria"/>
          <w:lang w:val="sq-AL"/>
        </w:rPr>
        <w:t>ulje) në përputhje me nenin 7 të CCU;</w:t>
      </w:r>
    </w:p>
    <w:p w14:paraId="09380446" w14:textId="77777777" w:rsidR="0016646B" w:rsidRPr="008D0C28" w:rsidRDefault="0016646B" w:rsidP="0016646B">
      <w:pPr>
        <w:pStyle w:val="AAATEETE"/>
        <w:rPr>
          <w:rFonts w:cs="Cambria"/>
          <w:lang w:val="sq-AL"/>
        </w:rPr>
      </w:pPr>
      <w:r w:rsidRPr="008D0C28">
        <w:rPr>
          <w:rFonts w:cs="Cambria"/>
          <w:lang w:val="sq-AL"/>
        </w:rPr>
        <w:t xml:space="preserve">b) çmimin e tregut për ditën e ardhshme të çdo </w:t>
      </w:r>
      <w:r>
        <w:rPr>
          <w:rFonts w:cs="Cambria"/>
          <w:lang w:val="sq-AL"/>
        </w:rPr>
        <w:t>b</w:t>
      </w:r>
      <w:r w:rsidRPr="008D0C28">
        <w:rPr>
          <w:rFonts w:cs="Cambria"/>
          <w:lang w:val="sq-AL"/>
        </w:rPr>
        <w:t>lloku LFC në SA CE në përputhje me nenin 8</w:t>
      </w:r>
      <w:r>
        <w:rPr>
          <w:rFonts w:cs="Cambria"/>
          <w:lang w:val="sq-AL"/>
        </w:rPr>
        <w:t xml:space="preserve"> </w:t>
      </w:r>
      <w:r w:rsidRPr="008D0C28">
        <w:rPr>
          <w:rFonts w:cs="Cambria"/>
          <w:lang w:val="sq-AL"/>
        </w:rPr>
        <w:t>(2)</w:t>
      </w:r>
      <w:r>
        <w:rPr>
          <w:rFonts w:cs="Cambria"/>
          <w:lang w:val="sq-AL"/>
        </w:rPr>
        <w:t xml:space="preserve"> </w:t>
      </w:r>
      <w:r w:rsidRPr="008D0C28">
        <w:rPr>
          <w:rFonts w:cs="Cambria"/>
          <w:lang w:val="sq-AL"/>
        </w:rPr>
        <w:t>(a) të kësaj CCFR;</w:t>
      </w:r>
    </w:p>
    <w:p w14:paraId="4508B3BE" w14:textId="77777777" w:rsidR="0016646B" w:rsidRPr="008D0C28" w:rsidRDefault="0016646B" w:rsidP="0016646B">
      <w:pPr>
        <w:pStyle w:val="AAATEETE"/>
        <w:rPr>
          <w:rFonts w:cs="Cambria"/>
          <w:lang w:val="sq-AL"/>
        </w:rPr>
      </w:pPr>
      <w:r w:rsidRPr="008D0C28">
        <w:rPr>
          <w:rFonts w:cs="Cambria"/>
          <w:lang w:val="sq-AL"/>
        </w:rPr>
        <w:t xml:space="preserve">c) devijimin mesatar të frekuencës për secilën periudhë të shlyerjes </w:t>
      </w:r>
      <w:r>
        <w:rPr>
          <w:rFonts w:cs="Cambria"/>
          <w:lang w:val="sq-AL"/>
        </w:rPr>
        <w:t>TSO–TSO</w:t>
      </w:r>
      <w:r w:rsidRPr="008D0C28">
        <w:rPr>
          <w:rFonts w:cs="Cambria"/>
          <w:lang w:val="sq-AL"/>
        </w:rPr>
        <w:t xml:space="preserve"> të SA CE e cila përcaktohet nga një TSO e caktuar;</w:t>
      </w:r>
    </w:p>
    <w:p w14:paraId="79E45058" w14:textId="77777777" w:rsidR="0016646B" w:rsidRPr="008D0C28" w:rsidRDefault="0016646B" w:rsidP="0016646B">
      <w:pPr>
        <w:pStyle w:val="AAATEETE"/>
        <w:rPr>
          <w:rFonts w:cs="Cambria"/>
          <w:lang w:val="sq-AL"/>
        </w:rPr>
      </w:pPr>
      <w:r w:rsidRPr="008D0C28">
        <w:rPr>
          <w:rFonts w:cs="Cambria"/>
          <w:lang w:val="sq-AL"/>
        </w:rPr>
        <w:t>d) volumet e shkëmbimeve të paqëllimshme në përputhje me nenin 7 të kësaj CCFR.</w:t>
      </w:r>
    </w:p>
    <w:p w14:paraId="46EB3562" w14:textId="77777777" w:rsidR="0016646B" w:rsidRPr="008D0C28" w:rsidRDefault="0016646B" w:rsidP="0016646B">
      <w:pPr>
        <w:pStyle w:val="AAATEETE"/>
        <w:rPr>
          <w:rFonts w:cs="Cambria"/>
          <w:lang w:val="sq-AL"/>
        </w:rPr>
      </w:pPr>
      <w:r>
        <w:rPr>
          <w:rFonts w:cs="Cambria"/>
          <w:lang w:val="sq-AL"/>
        </w:rPr>
        <w:lastRenderedPageBreak/>
        <w:t xml:space="preserve">7. </w:t>
      </w:r>
      <w:r w:rsidRPr="008D0C28">
        <w:rPr>
          <w:rFonts w:cs="Cambria"/>
          <w:lang w:val="sq-AL"/>
        </w:rPr>
        <w:t>Funksioni i shlyerjes CCFR do të llogarisë rezultatet vijuese:</w:t>
      </w:r>
    </w:p>
    <w:p w14:paraId="486BBC5B" w14:textId="77777777" w:rsidR="0016646B" w:rsidRPr="008D0C28" w:rsidRDefault="0016646B" w:rsidP="0016646B">
      <w:pPr>
        <w:pStyle w:val="AAATEETE"/>
        <w:rPr>
          <w:rFonts w:cs="Cambria"/>
          <w:lang w:val="sq-AL"/>
        </w:rPr>
      </w:pPr>
      <w:r w:rsidRPr="008D0C28">
        <w:rPr>
          <w:rFonts w:cs="Cambria"/>
          <w:lang w:val="sq-AL"/>
        </w:rPr>
        <w:t xml:space="preserve">a) Çmimin për shkëmbimet e qëllimshme të energjisë si rezultat i procesit të kontrollit të frekuencës për çdo periudhë shlyerje </w:t>
      </w:r>
      <w:r>
        <w:rPr>
          <w:rFonts w:cs="Cambria"/>
          <w:lang w:val="sq-AL"/>
        </w:rPr>
        <w:t>TSO–TSO</w:t>
      </w:r>
      <w:r w:rsidRPr="008D0C28">
        <w:rPr>
          <w:rFonts w:cs="Cambria"/>
          <w:lang w:val="sq-AL"/>
        </w:rPr>
        <w:t>;</w:t>
      </w:r>
    </w:p>
    <w:p w14:paraId="6825BB09" w14:textId="77777777" w:rsidR="0016646B" w:rsidRDefault="0016646B" w:rsidP="0016646B">
      <w:pPr>
        <w:pStyle w:val="AAATEETE"/>
        <w:rPr>
          <w:rFonts w:cs="Cambria"/>
          <w:lang w:val="sq-AL"/>
        </w:rPr>
      </w:pPr>
      <w:r w:rsidRPr="008D0C28">
        <w:rPr>
          <w:rFonts w:cs="Cambria"/>
          <w:lang w:val="sq-AL"/>
        </w:rPr>
        <w:t>b) flukset financiare ndërmjet të gjitha blloqeve LFC ose zonave të LFC</w:t>
      </w:r>
      <w:r>
        <w:rPr>
          <w:rFonts w:cs="Cambria"/>
          <w:lang w:val="sq-AL"/>
        </w:rPr>
        <w:t>-së</w:t>
      </w:r>
      <w:r w:rsidRPr="008D0C28">
        <w:rPr>
          <w:rFonts w:cs="Cambria"/>
          <w:lang w:val="sq-AL"/>
        </w:rPr>
        <w:t xml:space="preserve"> në SA CE si rezultat i shkëmbimit të qëllimshme të energjisë së procesit të kontrollit të frekuencës për çdo periudhë shlyerje </w:t>
      </w:r>
      <w:r>
        <w:rPr>
          <w:rFonts w:cs="Cambria"/>
          <w:lang w:val="sq-AL"/>
        </w:rPr>
        <w:t>TSO–TSO</w:t>
      </w:r>
      <w:r w:rsidRPr="008D0C28">
        <w:rPr>
          <w:rFonts w:cs="Cambria"/>
          <w:lang w:val="sq-AL"/>
        </w:rPr>
        <w:t>.</w:t>
      </w:r>
    </w:p>
    <w:p w14:paraId="0A852928" w14:textId="77777777" w:rsidR="0016646B" w:rsidRPr="008D0C28" w:rsidRDefault="0016646B" w:rsidP="0016646B">
      <w:pPr>
        <w:pStyle w:val="AAATEETE"/>
        <w:rPr>
          <w:rFonts w:cs="Cambria"/>
          <w:lang w:val="sq-AL"/>
        </w:rPr>
      </w:pPr>
      <w:r>
        <w:rPr>
          <w:rFonts w:cs="Cambria"/>
          <w:lang w:val="sq-AL"/>
        </w:rPr>
        <w:t>8.</w:t>
      </w:r>
      <w:r w:rsidRPr="008D0C28">
        <w:rPr>
          <w:rFonts w:cs="Cambria"/>
          <w:lang w:val="sq-AL"/>
        </w:rPr>
        <w:t xml:space="preserve"> Të gjitha vëllimet e energjisë së pe</w:t>
      </w:r>
      <w:r>
        <w:rPr>
          <w:rFonts w:cs="Cambria"/>
          <w:lang w:val="sq-AL"/>
        </w:rPr>
        <w:t>riudhës së ndryshimit (rritje/</w:t>
      </w:r>
      <w:r w:rsidRPr="008D0C28">
        <w:rPr>
          <w:rFonts w:cs="Cambria"/>
          <w:lang w:val="sq-AL"/>
        </w:rPr>
        <w:t xml:space="preserve">ulje) të llogaritura për çdo </w:t>
      </w:r>
      <w:r>
        <w:rPr>
          <w:rFonts w:cs="Cambria"/>
          <w:lang w:val="sq-AL"/>
        </w:rPr>
        <w:t xml:space="preserve">bllok LFC-je </w:t>
      </w:r>
      <w:r w:rsidRPr="008D0C28">
        <w:rPr>
          <w:rFonts w:cs="Cambria"/>
          <w:lang w:val="sq-AL"/>
        </w:rPr>
        <w:t xml:space="preserve">ose </w:t>
      </w:r>
      <w:r>
        <w:rPr>
          <w:rFonts w:cs="Cambria"/>
          <w:lang w:val="sq-AL"/>
        </w:rPr>
        <w:t xml:space="preserve">zonë LFC-je </w:t>
      </w:r>
      <w:r w:rsidRPr="008D0C28">
        <w:rPr>
          <w:rFonts w:cs="Cambria"/>
          <w:lang w:val="sq-AL"/>
        </w:rPr>
        <w:t xml:space="preserve">për çdo periudhë shlyerje </w:t>
      </w:r>
      <w:r>
        <w:rPr>
          <w:rFonts w:cs="Cambria"/>
          <w:lang w:val="sq-AL"/>
        </w:rPr>
        <w:t>TSO–TSO</w:t>
      </w:r>
      <w:r w:rsidRPr="008D0C28">
        <w:rPr>
          <w:rFonts w:cs="Cambria"/>
          <w:lang w:val="sq-AL"/>
        </w:rPr>
        <w:t xml:space="preserve">, në përputhje me nenin 7 të kësaj CCFR, do të shlyhen me të njëjtin çmim të llogaritur për atë periudhë shlyerje </w:t>
      </w:r>
      <w:r>
        <w:rPr>
          <w:rFonts w:cs="Cambria"/>
          <w:lang w:val="sq-AL"/>
        </w:rPr>
        <w:t>TSO–TSO</w:t>
      </w:r>
      <w:r w:rsidRPr="008D0C28">
        <w:rPr>
          <w:rFonts w:cs="Cambria"/>
          <w:lang w:val="sq-AL"/>
        </w:rPr>
        <w:t>, në përputhje me nenin 8</w:t>
      </w:r>
      <w:r>
        <w:rPr>
          <w:rFonts w:cs="Cambria"/>
          <w:lang w:val="sq-AL"/>
        </w:rPr>
        <w:t xml:space="preserve"> </w:t>
      </w:r>
      <w:r w:rsidRPr="008D0C28">
        <w:rPr>
          <w:rFonts w:cs="Cambria"/>
          <w:lang w:val="sq-AL"/>
        </w:rPr>
        <w:t>(1) të kësaj CCFR.</w:t>
      </w:r>
    </w:p>
    <w:p w14:paraId="318891B0" w14:textId="77777777" w:rsidR="0016646B" w:rsidRPr="008D0C28" w:rsidRDefault="0016646B" w:rsidP="0016646B">
      <w:pPr>
        <w:pStyle w:val="AAATEETE"/>
        <w:rPr>
          <w:rFonts w:cs="Cambria"/>
          <w:lang w:val="sq-AL"/>
        </w:rPr>
      </w:pPr>
      <w:r>
        <w:rPr>
          <w:rFonts w:cs="Cambria"/>
          <w:lang w:val="sq-AL"/>
        </w:rPr>
        <w:t>9.</w:t>
      </w:r>
      <w:r w:rsidRPr="008D0C28">
        <w:rPr>
          <w:rFonts w:cs="Cambria"/>
          <w:lang w:val="sq-AL"/>
        </w:rPr>
        <w:t xml:space="preserve"> Të gjitha vëllimet e energjisë të procesit të kontrollit të frekuencës të llogaritura</w:t>
      </w:r>
      <w:r>
        <w:rPr>
          <w:rFonts w:cs="Cambria"/>
          <w:lang w:val="sq-AL"/>
        </w:rPr>
        <w:t xml:space="preserve"> për çdo bllok LFC-je ose zonë LFC-je </w:t>
      </w:r>
      <w:r w:rsidRPr="008D0C28">
        <w:rPr>
          <w:rFonts w:cs="Cambria"/>
          <w:lang w:val="sq-AL"/>
        </w:rPr>
        <w:t xml:space="preserve">për çdo periudhë shlyerje </w:t>
      </w:r>
      <w:r>
        <w:rPr>
          <w:rFonts w:cs="Cambria"/>
          <w:lang w:val="sq-AL"/>
        </w:rPr>
        <w:t>TSO–TSO</w:t>
      </w:r>
      <w:r w:rsidRPr="008D0C28">
        <w:rPr>
          <w:rFonts w:cs="Cambria"/>
          <w:lang w:val="sq-AL"/>
        </w:rPr>
        <w:t>, në përputhje me nenin 7 të kësaj CCFR</w:t>
      </w:r>
      <w:r>
        <w:rPr>
          <w:rFonts w:cs="Cambria"/>
          <w:lang w:val="sq-AL"/>
        </w:rPr>
        <w:t>-je</w:t>
      </w:r>
      <w:r w:rsidRPr="008D0C28">
        <w:rPr>
          <w:rFonts w:cs="Cambria"/>
          <w:lang w:val="sq-AL"/>
        </w:rPr>
        <w:t xml:space="preserve">, do të shlyhen me të njëjtin çmim të llogaritur për atë periudhë shlyerje </w:t>
      </w:r>
      <w:r>
        <w:rPr>
          <w:rFonts w:cs="Cambria"/>
          <w:lang w:val="sq-AL"/>
        </w:rPr>
        <w:t xml:space="preserve">TSO–TSO, </w:t>
      </w:r>
      <w:r w:rsidRPr="008D0C28">
        <w:rPr>
          <w:rFonts w:cs="Cambria"/>
          <w:lang w:val="sq-AL"/>
        </w:rPr>
        <w:t>në përputhje me nenin 8</w:t>
      </w:r>
      <w:r>
        <w:rPr>
          <w:rFonts w:cs="Cambria"/>
          <w:lang w:val="sq-AL"/>
        </w:rPr>
        <w:t xml:space="preserve"> </w:t>
      </w:r>
      <w:r w:rsidRPr="008D0C28">
        <w:rPr>
          <w:rFonts w:cs="Cambria"/>
          <w:lang w:val="sq-AL"/>
        </w:rPr>
        <w:t>(2) të kësaj CCFR.</w:t>
      </w:r>
    </w:p>
    <w:p w14:paraId="5F49E294" w14:textId="77777777" w:rsidR="0016646B" w:rsidRPr="008D0C28" w:rsidRDefault="0016646B" w:rsidP="0016646B">
      <w:pPr>
        <w:pStyle w:val="AAATEETE"/>
        <w:rPr>
          <w:rFonts w:cs="Cambria"/>
          <w:lang w:val="sq-AL"/>
        </w:rPr>
      </w:pPr>
      <w:r>
        <w:rPr>
          <w:rFonts w:cs="Cambria"/>
          <w:lang w:val="sq-AL"/>
        </w:rPr>
        <w:t>10.</w:t>
      </w:r>
      <w:r w:rsidRPr="008D0C28">
        <w:rPr>
          <w:rFonts w:cs="Cambria"/>
          <w:lang w:val="sq-AL"/>
        </w:rPr>
        <w:t xml:space="preserve"> Shlyerja do të realizohet në nivelin e zonave LFC përveç nëse:</w:t>
      </w:r>
    </w:p>
    <w:p w14:paraId="30863935" w14:textId="77777777" w:rsidR="0016646B" w:rsidRPr="008D0C28" w:rsidRDefault="0016646B" w:rsidP="0016646B">
      <w:pPr>
        <w:pStyle w:val="AAATEETE"/>
        <w:rPr>
          <w:rFonts w:cs="Cambria"/>
          <w:lang w:val="sq-AL"/>
        </w:rPr>
      </w:pPr>
      <w:r w:rsidRPr="008D0C28">
        <w:rPr>
          <w:rFonts w:cs="Cambria"/>
          <w:lang w:val="sq-AL"/>
        </w:rPr>
        <w:t>a) t</w:t>
      </w:r>
      <w:r>
        <w:rPr>
          <w:rFonts w:cs="Cambria"/>
          <w:lang w:val="sq-AL"/>
        </w:rPr>
        <w:t>ë gjitha TSO</w:t>
      </w:r>
      <w:r w:rsidRPr="008D0C28">
        <w:rPr>
          <w:rFonts w:cs="Cambria"/>
          <w:lang w:val="sq-AL"/>
        </w:rPr>
        <w:t>-të e një blloku të vetë</w:t>
      </w:r>
      <w:r>
        <w:rPr>
          <w:rFonts w:cs="Cambria"/>
          <w:lang w:val="sq-AL"/>
        </w:rPr>
        <w:t>m</w:t>
      </w:r>
      <w:r w:rsidRPr="008D0C28">
        <w:rPr>
          <w:rFonts w:cs="Cambria"/>
          <w:lang w:val="sq-AL"/>
        </w:rPr>
        <w:t xml:space="preserve"> LFC</w:t>
      </w:r>
      <w:r>
        <w:rPr>
          <w:rFonts w:cs="Cambria"/>
          <w:lang w:val="sq-AL"/>
        </w:rPr>
        <w:t>-je</w:t>
      </w:r>
      <w:r w:rsidRPr="008D0C28">
        <w:rPr>
          <w:rFonts w:cs="Cambria"/>
          <w:lang w:val="sq-AL"/>
        </w:rPr>
        <w:t xml:space="preserve"> bien dakord për shlyerje në nivel të bllokut LFC; ose</w:t>
      </w:r>
    </w:p>
    <w:p w14:paraId="284D803F" w14:textId="77777777" w:rsidR="0016646B" w:rsidRPr="008D0C28" w:rsidRDefault="0016646B" w:rsidP="0016646B">
      <w:pPr>
        <w:pStyle w:val="AAATEETE"/>
        <w:rPr>
          <w:rFonts w:cs="Cambria"/>
          <w:lang w:val="sq-AL"/>
        </w:rPr>
      </w:pPr>
      <w:r w:rsidRPr="008D0C28">
        <w:rPr>
          <w:rFonts w:cs="Cambria"/>
          <w:lang w:val="sq-AL"/>
        </w:rPr>
        <w:t>b) disa TSO</w:t>
      </w:r>
      <w:r>
        <w:rPr>
          <w:rFonts w:cs="Cambria"/>
          <w:lang w:val="sq-AL"/>
        </w:rPr>
        <w:t xml:space="preserve"> </w:t>
      </w:r>
      <w:r w:rsidRPr="008D0C28">
        <w:rPr>
          <w:rFonts w:cs="Cambria"/>
          <w:lang w:val="sq-AL"/>
        </w:rPr>
        <w:t>të një blloku të vetëm LFC</w:t>
      </w:r>
      <w:r>
        <w:rPr>
          <w:rFonts w:cs="Cambria"/>
          <w:lang w:val="sq-AL"/>
        </w:rPr>
        <w:t>-je</w:t>
      </w:r>
      <w:r w:rsidRPr="008D0C28">
        <w:rPr>
          <w:rFonts w:cs="Cambria"/>
          <w:lang w:val="sq-AL"/>
        </w:rPr>
        <w:t xml:space="preserve"> bien dakord për shlyerjen e përbashkët të zonës së tyre LFC.</w:t>
      </w:r>
    </w:p>
    <w:p w14:paraId="403DAA22" w14:textId="77777777" w:rsidR="0016646B" w:rsidRPr="008D0C28" w:rsidRDefault="0016646B" w:rsidP="0016646B">
      <w:pPr>
        <w:pStyle w:val="AAATEETE"/>
        <w:rPr>
          <w:rFonts w:cs="Cambria"/>
          <w:lang w:val="sq-AL"/>
        </w:rPr>
      </w:pPr>
      <w:r>
        <w:rPr>
          <w:rFonts w:cs="Cambria"/>
          <w:lang w:val="sq-AL"/>
        </w:rPr>
        <w:t>11.</w:t>
      </w:r>
      <w:r w:rsidRPr="008D0C28">
        <w:rPr>
          <w:rFonts w:cs="Cambria"/>
          <w:lang w:val="sq-AL"/>
        </w:rPr>
        <w:t xml:space="preserve"> Njësia ose njësitë</w:t>
      </w:r>
      <w:r>
        <w:rPr>
          <w:rFonts w:cs="Cambria"/>
          <w:lang w:val="sq-AL"/>
        </w:rPr>
        <w:t xml:space="preserve"> </w:t>
      </w:r>
      <w:r w:rsidRPr="008D0C28">
        <w:rPr>
          <w:rFonts w:cs="Cambria"/>
          <w:lang w:val="sq-AL"/>
        </w:rPr>
        <w:t>të cilave u është besuar detyra e faturimit duhet t</w:t>
      </w:r>
      <w:r>
        <w:rPr>
          <w:rFonts w:cs="Cambria"/>
          <w:lang w:val="sq-AL"/>
        </w:rPr>
        <w:t>’</w:t>
      </w:r>
      <w:r w:rsidRPr="008D0C28">
        <w:rPr>
          <w:rFonts w:cs="Cambria"/>
          <w:lang w:val="sq-AL"/>
        </w:rPr>
        <w:t>i faturojnë TSO-ve SA CE sipas rezultateve të funksionit të zgjidhjes CCFR.</w:t>
      </w:r>
    </w:p>
    <w:p w14:paraId="18B4AB80" w14:textId="77777777" w:rsidR="0016646B" w:rsidRPr="008D0C28" w:rsidRDefault="0016646B" w:rsidP="0016646B">
      <w:pPr>
        <w:pStyle w:val="AAATEETE"/>
        <w:rPr>
          <w:rFonts w:cs="Cambria"/>
          <w:lang w:val="sq-AL"/>
        </w:rPr>
      </w:pPr>
      <w:r>
        <w:rPr>
          <w:rFonts w:cs="Cambria"/>
          <w:lang w:val="sq-AL"/>
        </w:rPr>
        <w:t>12.</w:t>
      </w:r>
      <w:r w:rsidRPr="008D0C28">
        <w:rPr>
          <w:rFonts w:cs="Cambria"/>
          <w:lang w:val="sq-AL"/>
        </w:rPr>
        <w:t xml:space="preserve"> Të gjitha TSO</w:t>
      </w:r>
      <w:r>
        <w:rPr>
          <w:rFonts w:cs="Cambria"/>
          <w:lang w:val="sq-AL"/>
        </w:rPr>
        <w:t>-të</w:t>
      </w:r>
      <w:r w:rsidRPr="008D0C28">
        <w:rPr>
          <w:rFonts w:cs="Cambria"/>
          <w:lang w:val="sq-AL"/>
        </w:rPr>
        <w:t xml:space="preserve"> e SA CE pranojnë flukset financiare dhe janë të detyruar të paguajnë sipas tyre. Flukset financiare duhet të rishikohen në rast se gjendet një gabim në llogaritjet ose në të dhënat e vendosura në llogaritje.</w:t>
      </w:r>
    </w:p>
    <w:p w14:paraId="66241C79" w14:textId="77777777" w:rsidR="0016646B" w:rsidRPr="008D0C28" w:rsidRDefault="0016646B" w:rsidP="0016646B">
      <w:pPr>
        <w:pStyle w:val="AAATEETE"/>
        <w:jc w:val="center"/>
        <w:rPr>
          <w:lang w:val="sq-AL"/>
        </w:rPr>
      </w:pPr>
    </w:p>
    <w:p w14:paraId="12653908" w14:textId="77777777" w:rsidR="0016646B" w:rsidRPr="008D0C28" w:rsidRDefault="0016646B" w:rsidP="0016646B">
      <w:pPr>
        <w:pStyle w:val="AAATEETE"/>
        <w:jc w:val="center"/>
        <w:rPr>
          <w:rFonts w:cs="Cambria"/>
          <w:lang w:val="sq-AL"/>
        </w:rPr>
      </w:pPr>
      <w:r w:rsidRPr="008D0C28">
        <w:rPr>
          <w:rFonts w:cs="Cambria"/>
          <w:lang w:val="sq-AL"/>
        </w:rPr>
        <w:t>Neni 4</w:t>
      </w:r>
    </w:p>
    <w:p w14:paraId="5049B109" w14:textId="77777777" w:rsidR="0016646B" w:rsidRPr="008D0C28" w:rsidRDefault="0016646B" w:rsidP="0016646B">
      <w:pPr>
        <w:pStyle w:val="AAATEETE"/>
        <w:jc w:val="center"/>
        <w:rPr>
          <w:rFonts w:cs="Cambria"/>
          <w:b/>
          <w:lang w:val="sq-AL"/>
        </w:rPr>
      </w:pPr>
      <w:r w:rsidRPr="008D0C28">
        <w:rPr>
          <w:rFonts w:cs="Cambria"/>
          <w:b/>
          <w:lang w:val="sq-AL"/>
        </w:rPr>
        <w:t>Zbatimi i zgjidhjes së përbashkët</w:t>
      </w:r>
    </w:p>
    <w:p w14:paraId="36198AE6" w14:textId="77777777" w:rsidR="0016646B" w:rsidRPr="008D0C28" w:rsidRDefault="0016646B" w:rsidP="0016646B">
      <w:pPr>
        <w:pStyle w:val="AAATEETE"/>
        <w:rPr>
          <w:lang w:val="sq-AL"/>
        </w:rPr>
      </w:pPr>
    </w:p>
    <w:p w14:paraId="0CF27139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1.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Të gjitha TSO-të e SA CE zbatojnë rregullat e përbashkëta të shlyerjes brenda 12 muajve pas miratimit të kësaj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 xml:space="preserve"> CCFR,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në përputhje me nenin 5 (5) të EBGL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4BEE5F1D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2.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Hapat e mëposhtëm dhe afatet kohore do të përdoren si udhërrëfyes për zbatimin e rregullave të përbashkëta të shlyerjes:</w:t>
      </w:r>
    </w:p>
    <w:p w14:paraId="12C3B959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a) adaptimi i të gjithë matësve: të gjithë TSO-të e SA CE kanë ndryshuar pajisjet matëse të tyre dhe janë në gjendje të matin shkëmbimet e energjisë në periudhën e shlyerjes 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TSO–TSO;</w:t>
      </w:r>
    </w:p>
    <w:p w14:paraId="79AA4EB0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b) emërimi i subjekteve: funksioni i llogaritjes së energjisë në kufi të CCFR, funksioni i zgjidhjes së CCU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dhe detyrat e faturimit janë emëruar në një ose disa njësi sipas nenit 3 të CCU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-së;</w:t>
      </w:r>
    </w:p>
    <w:p w14:paraId="1599C175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c) zbatimi i funksionit të llogaritjes së energjisë në kufi të CCFR: Njësia ose njësitë të cilave u është besuar funksioni i llogaritjes së energjisë në kufi të CCFR. Të gjithë TSO-të e SA CE do të zbatojnë ndërfaqet e tyre me funksionin e llogaritjes së energjisë në kufi të CCFR nëse është e nevojshme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469F615F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d) zbatimi i funksionit të shlyerjes së CCFR: Njësia ose njësitë të cilave u është besuar funksioni i shlyerjes së CCFR duhet të zbatojnë funksionin e shlyerjes CCFR. Të gjithë TSO-të e SA CE do të zbatojnë ndërfaqet e tyre me funksionin e shlyerjes të CCFR nëse është e nevojshme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6B67585E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e) zbatimi i detyrave të faturimit të CCFR: Njësia ose njësitë të cilave u është besuar detyra e faturimit të CCFR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duhet të zbatojnë detyrat e faturimit të CCFR. Do të konfigurohen të gjitha ndërfaqet e nevojshme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76B60CB3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f) testimi: 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t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ë gjitha TSO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-të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e SA CE do të testojnë ndërfaqet në Llogaritjen e energjisë në kufi CCFR, funksionin e shlyerjes CCFR dhe, nëse është e zbatueshme, në detyrat e faturimit CCU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4112274A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lastRenderedPageBreak/>
        <w:t>g) kohë reale: nëse të gjitha testimet në përputhje me nen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 xml:space="preserve">in 4 (2)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(f) të kësaj CCFR do të jenë të suksesshme, shlyerja e përbashk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ët do të vazhdojë në kohë reale;</w:t>
      </w:r>
    </w:p>
    <w:p w14:paraId="707A09E3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h) mekanizmi i rishikimit: pas implementimit të këtyre rregullave të përbashkëta të shlyerjes, një mekanizëm shqyrtimi fillon nga fundi i vitit 2022, në të cilin TSO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-të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e SA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CE do të shqyrtojnë CCFR. Një rishikim do të bëhet të paktën çdo tre vjet pas shqyrtimit të parë të duhur deri në fund të vitit 2022. Në mekanizmin e rishikimit, do të vlerësohet mundësia për evoluimin e çmimeve të balancimit në vend të çmimeve të tregut të ditës së ardhshme. Përveç kësaj, mekanizmi i rishikimit mund të prekë, për shembull, parametrat e rregullave të çmimeve të përshkruara në nenin 8 të kësaj CCFR, por edhe detaje teknike si grumbullimi i të dhënave. Çdo ndryshim në CCFR duhet të dorëzohet nga autoritetet përkatëse rregullatore për miratim.</w:t>
      </w:r>
    </w:p>
    <w:p w14:paraId="14DA38A9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3.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Të gjitha funksionet e shlyerjes në pajtim me nenet 19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–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22 të EBGL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do të marrin parasysh se vëllimet e shkëmbimeve të qëllimshme energjisë mund të duhet të dorëzohen në një zgjidhje tjetër kohore nëse ndryshohet periudha e shlyerjes 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TSO–TSO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për energjinë e procesit të kontrollit të fr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ekuencës dhe ndryshimit (rritje/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ulje) të energjisë.</w:t>
      </w:r>
    </w:p>
    <w:p w14:paraId="12BC7427" w14:textId="77777777" w:rsidR="0016646B" w:rsidRPr="008D0C28" w:rsidRDefault="0016646B" w:rsidP="0016646B">
      <w:pPr>
        <w:pStyle w:val="AAATEETE"/>
        <w:jc w:val="center"/>
        <w:rPr>
          <w:lang w:val="sq-AL"/>
        </w:rPr>
      </w:pPr>
    </w:p>
    <w:p w14:paraId="62C0BDF4" w14:textId="77777777" w:rsidR="0016646B" w:rsidRPr="008D0C28" w:rsidRDefault="0016646B" w:rsidP="0016646B">
      <w:pPr>
        <w:pStyle w:val="AAATEETE"/>
        <w:jc w:val="center"/>
        <w:rPr>
          <w:lang w:val="sq-AL"/>
        </w:rPr>
      </w:pPr>
      <w:r w:rsidRPr="008D0C28">
        <w:rPr>
          <w:lang w:val="sq-AL"/>
        </w:rPr>
        <w:t>Neni 5</w:t>
      </w:r>
    </w:p>
    <w:p w14:paraId="174425EA" w14:textId="77777777" w:rsidR="0016646B" w:rsidRPr="008D0C28" w:rsidRDefault="0016646B" w:rsidP="0016646B">
      <w:pPr>
        <w:pStyle w:val="AAATEETE"/>
        <w:jc w:val="center"/>
        <w:rPr>
          <w:b/>
          <w:lang w:val="sq-AL"/>
        </w:rPr>
      </w:pPr>
      <w:r w:rsidRPr="008D0C28">
        <w:rPr>
          <w:b/>
          <w:lang w:val="sq-AL"/>
        </w:rPr>
        <w:t>Funksionet e shlyerjes së përbashkët</w:t>
      </w:r>
    </w:p>
    <w:p w14:paraId="2C6F478B" w14:textId="77777777" w:rsidR="0016646B" w:rsidRPr="008D0C28" w:rsidRDefault="0016646B" w:rsidP="0016646B">
      <w:pPr>
        <w:pStyle w:val="AAATEETE"/>
        <w:jc w:val="center"/>
        <w:rPr>
          <w:lang w:val="sq-AL"/>
        </w:rPr>
      </w:pPr>
    </w:p>
    <w:p w14:paraId="4418688D" w14:textId="77777777" w:rsidR="0016646B" w:rsidRPr="008D0C28" w:rsidRDefault="0016646B" w:rsidP="0016646B">
      <w:pPr>
        <w:pStyle w:val="AAATEETE"/>
        <w:rPr>
          <w:lang w:val="sq-AL"/>
        </w:rPr>
      </w:pPr>
      <w:r>
        <w:rPr>
          <w:lang w:val="sq-AL"/>
        </w:rPr>
        <w:t>1.</w:t>
      </w:r>
      <w:r w:rsidRPr="008D0C28">
        <w:rPr>
          <w:lang w:val="sq-AL"/>
        </w:rPr>
        <w:t xml:space="preserve"> Shlyerja e përbashkët në pajtim me këtë CCFR do të përbëhet nga funksioni i </w:t>
      </w:r>
      <w:r>
        <w:rPr>
          <w:lang w:val="sq-AL"/>
        </w:rPr>
        <w:t>l</w:t>
      </w:r>
      <w:r w:rsidRPr="008D0C28">
        <w:rPr>
          <w:lang w:val="sq-AL"/>
        </w:rPr>
        <w:t>logaritjes së energjisë në kufi i CCFR dhe funksioni i shlyerjes së CCFR.</w:t>
      </w:r>
    </w:p>
    <w:p w14:paraId="776FC6E1" w14:textId="77777777" w:rsidR="0016646B" w:rsidRPr="008D0C28" w:rsidRDefault="0016646B" w:rsidP="0016646B">
      <w:pPr>
        <w:pStyle w:val="AAATEETE"/>
        <w:rPr>
          <w:lang w:val="sq-AL"/>
        </w:rPr>
      </w:pPr>
      <w:r>
        <w:rPr>
          <w:lang w:val="sq-AL"/>
        </w:rPr>
        <w:t>2.</w:t>
      </w:r>
      <w:r w:rsidRPr="008D0C28">
        <w:rPr>
          <w:lang w:val="sq-AL"/>
        </w:rPr>
        <w:t xml:space="preserve"> Qëllimi i funksionit të Llogaritjes së energjisë në kufi të CCFR do të jetë llogaritja e shkëmbimeve të qëllimshme të energjisë si rezultat i pe</w:t>
      </w:r>
      <w:r>
        <w:rPr>
          <w:lang w:val="sq-AL"/>
        </w:rPr>
        <w:t>riudhës së ndryshimit (rritje/</w:t>
      </w:r>
      <w:r w:rsidRPr="008D0C28">
        <w:rPr>
          <w:lang w:val="sq-AL"/>
        </w:rPr>
        <w:t xml:space="preserve">ulje) dhe procesit të kontrollit të frekuencës, për çdo periudhë shlyerje </w:t>
      </w:r>
      <w:r>
        <w:rPr>
          <w:lang w:val="sq-AL"/>
        </w:rPr>
        <w:t>TSO–TSO</w:t>
      </w:r>
      <w:r w:rsidRPr="008D0C28">
        <w:rPr>
          <w:lang w:val="sq-AL"/>
        </w:rPr>
        <w:t xml:space="preserve"> brenda SA CE, në përputhje me nenin 3 të kësaj CCFR.</w:t>
      </w:r>
    </w:p>
    <w:p w14:paraId="162DA7E4" w14:textId="77777777" w:rsidR="0016646B" w:rsidRPr="008D0C28" w:rsidRDefault="0016646B" w:rsidP="0016646B">
      <w:pPr>
        <w:pStyle w:val="AAATEETE"/>
        <w:rPr>
          <w:lang w:val="sq-AL"/>
        </w:rPr>
      </w:pPr>
      <w:r>
        <w:rPr>
          <w:lang w:val="sq-AL"/>
        </w:rPr>
        <w:t>3.</w:t>
      </w:r>
      <w:r w:rsidRPr="008D0C28">
        <w:rPr>
          <w:lang w:val="sq-AL"/>
        </w:rPr>
        <w:t xml:space="preserve"> Qëllimi i funksionit të shlyerjes së CCFR është llogaritja e çmimit të shkëmbimeve të qëllimshme të energjisë si rezultat i procesit të kontrollit të frekuencës për çdo periudhë të shlyerjes </w:t>
      </w:r>
      <w:r>
        <w:rPr>
          <w:lang w:val="sq-AL"/>
        </w:rPr>
        <w:t>TSO–TSO</w:t>
      </w:r>
      <w:r w:rsidRPr="008D0C28">
        <w:rPr>
          <w:lang w:val="sq-AL"/>
        </w:rPr>
        <w:t xml:space="preserve"> dhe të flukseve financiare midis të gjitha blloqeve LFC ose zonave LFC në SA CE si rezultat i shkëmbimeve të qëllimshme të energjisë së procesit të kontrollit të frekuencës, në përputhje me nenin 3 të kësaj CCFR.</w:t>
      </w:r>
    </w:p>
    <w:p w14:paraId="708E9CEF" w14:textId="77777777" w:rsidR="0016646B" w:rsidRPr="008D0C28" w:rsidRDefault="0016646B" w:rsidP="0016646B">
      <w:pPr>
        <w:pStyle w:val="AAATEETE"/>
        <w:rPr>
          <w:b/>
          <w:bCs/>
          <w:lang w:val="sq-AL"/>
        </w:rPr>
      </w:pPr>
    </w:p>
    <w:p w14:paraId="2A276520" w14:textId="77777777" w:rsidR="0016646B" w:rsidRPr="008D0C28" w:rsidRDefault="0016646B" w:rsidP="0016646B">
      <w:pPr>
        <w:pStyle w:val="AAATEETE"/>
        <w:jc w:val="center"/>
        <w:rPr>
          <w:bCs/>
          <w:lang w:val="sq-AL"/>
        </w:rPr>
      </w:pPr>
      <w:r w:rsidRPr="008D0C28">
        <w:rPr>
          <w:bCs/>
          <w:lang w:val="sq-AL"/>
        </w:rPr>
        <w:t>Neni 6</w:t>
      </w:r>
    </w:p>
    <w:p w14:paraId="445F5078" w14:textId="77777777" w:rsidR="0016646B" w:rsidRPr="008D0C28" w:rsidRDefault="0016646B" w:rsidP="0016646B">
      <w:pPr>
        <w:pStyle w:val="AAATEETE"/>
        <w:jc w:val="center"/>
        <w:rPr>
          <w:b/>
          <w:bCs/>
          <w:lang w:val="sq-AL"/>
        </w:rPr>
      </w:pPr>
      <w:r w:rsidRPr="008D0C28">
        <w:rPr>
          <w:b/>
          <w:bCs/>
          <w:lang w:val="sq-AL"/>
        </w:rPr>
        <w:t>Periudha e shlyerjes</w:t>
      </w:r>
    </w:p>
    <w:p w14:paraId="179EEF40" w14:textId="77777777" w:rsidR="0016646B" w:rsidRPr="008D0C28" w:rsidRDefault="0016646B" w:rsidP="0016646B">
      <w:pPr>
        <w:pStyle w:val="AAATEETE"/>
        <w:rPr>
          <w:b/>
          <w:bCs/>
          <w:lang w:val="sq-AL"/>
        </w:rPr>
      </w:pPr>
    </w:p>
    <w:p w14:paraId="474D340E" w14:textId="77777777" w:rsidR="0016646B" w:rsidRPr="008D0C28" w:rsidRDefault="0016646B" w:rsidP="0016646B">
      <w:pPr>
        <w:pStyle w:val="AAATEETE"/>
        <w:rPr>
          <w:rFonts w:cs="Calibri"/>
          <w:lang w:val="sq-AL"/>
        </w:rPr>
      </w:pPr>
      <w:r>
        <w:rPr>
          <w:rFonts w:cs="Calibri"/>
          <w:lang w:val="sq-AL"/>
        </w:rPr>
        <w:t>1.</w:t>
      </w:r>
      <w:r w:rsidRPr="008D0C28">
        <w:rPr>
          <w:rFonts w:cs="Calibri"/>
          <w:lang w:val="sq-AL"/>
        </w:rPr>
        <w:t xml:space="preserve"> </w:t>
      </w:r>
      <w:r>
        <w:rPr>
          <w:rFonts w:cs="Calibri"/>
          <w:lang w:val="sq-AL"/>
        </w:rPr>
        <w:t>Periudha e shlyerjes TSO–</w:t>
      </w:r>
      <w:r w:rsidRPr="008D0C28">
        <w:rPr>
          <w:rFonts w:cs="Calibri"/>
          <w:lang w:val="sq-AL"/>
        </w:rPr>
        <w:t>TSO është caktuar të jetë 15 minuta.</w:t>
      </w:r>
    </w:p>
    <w:p w14:paraId="77D2D3B3" w14:textId="77777777" w:rsidR="0016646B" w:rsidRPr="008D0C28" w:rsidRDefault="0016646B" w:rsidP="0016646B">
      <w:pPr>
        <w:pStyle w:val="AAATEETE"/>
        <w:rPr>
          <w:rFonts w:cs="Calibri"/>
          <w:lang w:val="sq-AL"/>
        </w:rPr>
      </w:pPr>
      <w:r>
        <w:rPr>
          <w:rFonts w:cs="Calibri"/>
          <w:lang w:val="sq-AL"/>
        </w:rPr>
        <w:t>2.</w:t>
      </w:r>
      <w:r w:rsidRPr="008D0C28">
        <w:rPr>
          <w:rFonts w:cs="Calibri"/>
          <w:lang w:val="sq-AL"/>
        </w:rPr>
        <w:t xml:space="preserve"> Periudha e shlyerjes </w:t>
      </w:r>
      <w:r>
        <w:rPr>
          <w:rFonts w:cs="Calibri"/>
          <w:lang w:val="sq-AL"/>
        </w:rPr>
        <w:t>TSO–TSO</w:t>
      </w:r>
      <w:r w:rsidRPr="008D0C28">
        <w:rPr>
          <w:rFonts w:cs="Calibri"/>
          <w:lang w:val="sq-AL"/>
        </w:rPr>
        <w:t xml:space="preserve"> të çdo dite fillon menjëherë pas orës 00:00. Periudhat e shlyerjes </w:t>
      </w:r>
      <w:r>
        <w:rPr>
          <w:rFonts w:cs="Calibri"/>
          <w:lang w:val="sq-AL"/>
        </w:rPr>
        <w:t>TSO–TSO</w:t>
      </w:r>
      <w:r w:rsidRPr="008D0C28">
        <w:rPr>
          <w:rFonts w:cs="Calibri"/>
          <w:lang w:val="sq-AL"/>
        </w:rPr>
        <w:t xml:space="preserve"> do të jenë të njëpasnjëshme dhe jo të mbivendosura.</w:t>
      </w:r>
    </w:p>
    <w:p w14:paraId="6E107954" w14:textId="77777777" w:rsidR="0016646B" w:rsidRPr="008D0C28" w:rsidRDefault="0016646B" w:rsidP="0016646B">
      <w:pPr>
        <w:pStyle w:val="AAATEETE"/>
        <w:rPr>
          <w:lang w:val="sq-AL"/>
        </w:rPr>
      </w:pPr>
    </w:p>
    <w:p w14:paraId="090B7CBC" w14:textId="77777777" w:rsidR="0016646B" w:rsidRDefault="0016646B" w:rsidP="0016646B">
      <w:pPr>
        <w:pStyle w:val="AAATEETE"/>
        <w:jc w:val="center"/>
        <w:rPr>
          <w:rFonts w:cs="Cambria"/>
          <w:lang w:val="sq-AL"/>
        </w:rPr>
      </w:pPr>
    </w:p>
    <w:p w14:paraId="18BCFD75" w14:textId="77777777" w:rsidR="0016646B" w:rsidRDefault="0016646B" w:rsidP="0016646B">
      <w:pPr>
        <w:pStyle w:val="AAATEETE"/>
        <w:jc w:val="center"/>
        <w:rPr>
          <w:rFonts w:cs="Cambria"/>
          <w:lang w:val="sq-AL"/>
        </w:rPr>
      </w:pPr>
    </w:p>
    <w:p w14:paraId="25543E15" w14:textId="77777777" w:rsidR="0016646B" w:rsidRDefault="0016646B" w:rsidP="0016646B">
      <w:pPr>
        <w:pStyle w:val="AAATEETE"/>
        <w:jc w:val="center"/>
        <w:rPr>
          <w:rFonts w:cs="Cambria"/>
          <w:lang w:val="sq-AL"/>
        </w:rPr>
      </w:pPr>
    </w:p>
    <w:p w14:paraId="2BDE7788" w14:textId="77777777" w:rsidR="0016646B" w:rsidRPr="008D0C28" w:rsidRDefault="0016646B" w:rsidP="0016646B">
      <w:pPr>
        <w:pStyle w:val="AAATEETE"/>
        <w:jc w:val="center"/>
        <w:rPr>
          <w:rFonts w:cs="Cambria"/>
          <w:lang w:val="sq-AL"/>
        </w:rPr>
      </w:pPr>
      <w:r w:rsidRPr="008D0C28">
        <w:rPr>
          <w:rFonts w:cs="Cambria"/>
          <w:lang w:val="sq-AL"/>
        </w:rPr>
        <w:t>Neni 7</w:t>
      </w:r>
    </w:p>
    <w:p w14:paraId="109C7653" w14:textId="77777777" w:rsidR="0016646B" w:rsidRPr="008D0C28" w:rsidRDefault="0016646B" w:rsidP="0016646B">
      <w:pPr>
        <w:pStyle w:val="AAATEETE"/>
        <w:jc w:val="center"/>
        <w:rPr>
          <w:rFonts w:cs="Cambria"/>
          <w:b/>
          <w:lang w:val="sq-AL"/>
        </w:rPr>
      </w:pPr>
      <w:r w:rsidRPr="008D0C28">
        <w:rPr>
          <w:rFonts w:cs="Cambria"/>
          <w:b/>
          <w:lang w:val="sq-AL"/>
        </w:rPr>
        <w:t>Përcaktimi i volumit për periudhën e shlyerjes TSO</w:t>
      </w:r>
      <w:r>
        <w:rPr>
          <w:rFonts w:cs="Cambria"/>
          <w:b/>
          <w:lang w:val="sq-AL"/>
        </w:rPr>
        <w:t>–</w:t>
      </w:r>
      <w:r w:rsidRPr="008D0C28">
        <w:rPr>
          <w:rFonts w:cs="Cambria"/>
          <w:b/>
          <w:lang w:val="sq-AL"/>
        </w:rPr>
        <w:t>TSO</w:t>
      </w:r>
    </w:p>
    <w:p w14:paraId="5D74006E" w14:textId="77777777" w:rsidR="0016646B" w:rsidRPr="008D0C28" w:rsidRDefault="0016646B" w:rsidP="0016646B">
      <w:pPr>
        <w:pStyle w:val="AAATEETE"/>
        <w:jc w:val="center"/>
        <w:rPr>
          <w:rFonts w:cs="Cambria"/>
          <w:lang w:val="sq-AL"/>
        </w:rPr>
      </w:pPr>
    </w:p>
    <w:p w14:paraId="4641513B" w14:textId="77777777" w:rsidR="0016646B" w:rsidRPr="008D0C28" w:rsidRDefault="0016646B" w:rsidP="0016646B">
      <w:pPr>
        <w:pStyle w:val="AAATEETE"/>
        <w:rPr>
          <w:rFonts w:cs="Cambria"/>
          <w:lang w:val="sq-AL"/>
        </w:rPr>
      </w:pPr>
      <w:r>
        <w:rPr>
          <w:rFonts w:cs="Cambria"/>
          <w:lang w:val="sq-AL"/>
        </w:rPr>
        <w:t>1.</w:t>
      </w:r>
      <w:r w:rsidRPr="008D0C28">
        <w:rPr>
          <w:rFonts w:cs="Cambria"/>
          <w:lang w:val="sq-AL"/>
        </w:rPr>
        <w:t xml:space="preserve"> Vëllimet e shkëmbimeve të qëllimshme të energjisë si rezultat i procesit të kontrollit të frekuencës sipas </w:t>
      </w:r>
      <w:r>
        <w:rPr>
          <w:rFonts w:cs="Cambria"/>
          <w:lang w:val="sq-AL"/>
        </w:rPr>
        <w:t>n</w:t>
      </w:r>
      <w:r w:rsidRPr="008D0C28">
        <w:rPr>
          <w:rFonts w:cs="Cambria"/>
          <w:lang w:val="sq-AL"/>
        </w:rPr>
        <w:t>enit 50</w:t>
      </w:r>
      <w:r>
        <w:rPr>
          <w:rFonts w:cs="Cambria"/>
          <w:lang w:val="sq-AL"/>
        </w:rPr>
        <w:t xml:space="preserve"> </w:t>
      </w:r>
      <w:r w:rsidRPr="008D0C28">
        <w:rPr>
          <w:rFonts w:cs="Cambria"/>
          <w:lang w:val="sq-AL"/>
        </w:rPr>
        <w:t>(3)</w:t>
      </w:r>
      <w:r>
        <w:rPr>
          <w:rFonts w:cs="Cambria"/>
          <w:lang w:val="sq-AL"/>
        </w:rPr>
        <w:t xml:space="preserve"> </w:t>
      </w:r>
      <w:r w:rsidRPr="008D0C28">
        <w:rPr>
          <w:rFonts w:cs="Cambria"/>
          <w:lang w:val="sq-AL"/>
        </w:rPr>
        <w:t>(a) të EBGL</w:t>
      </w:r>
      <w:r>
        <w:rPr>
          <w:rFonts w:cs="Cambria"/>
          <w:lang w:val="sq-AL"/>
        </w:rPr>
        <w:t>-së,</w:t>
      </w:r>
      <w:r w:rsidRPr="008D0C28">
        <w:rPr>
          <w:rFonts w:cs="Cambria"/>
          <w:lang w:val="sq-AL"/>
        </w:rPr>
        <w:t xml:space="preserve"> llogariten nga funksioni i </w:t>
      </w:r>
      <w:r>
        <w:rPr>
          <w:rFonts w:cs="Cambria"/>
          <w:lang w:val="sq-AL"/>
        </w:rPr>
        <w:t>l</w:t>
      </w:r>
      <w:r w:rsidRPr="008D0C28">
        <w:rPr>
          <w:rFonts w:cs="Cambria"/>
          <w:lang w:val="sq-AL"/>
        </w:rPr>
        <w:t xml:space="preserve">logaritjes së energjisë në kufi i CCFR, për secilin </w:t>
      </w:r>
      <w:r>
        <w:rPr>
          <w:rFonts w:cs="Cambria"/>
          <w:lang w:val="sq-AL"/>
        </w:rPr>
        <w:t>bllok LFC-je</w:t>
      </w:r>
      <w:r w:rsidRPr="008D0C28">
        <w:rPr>
          <w:rFonts w:cs="Cambria"/>
          <w:lang w:val="sq-AL"/>
        </w:rPr>
        <w:t xml:space="preserve"> ose </w:t>
      </w:r>
      <w:r>
        <w:rPr>
          <w:rFonts w:cs="Cambria"/>
          <w:lang w:val="sq-AL"/>
        </w:rPr>
        <w:t>zonë LFC-je</w:t>
      </w:r>
      <w:r w:rsidRPr="008D0C28">
        <w:rPr>
          <w:rFonts w:cs="Cambria"/>
          <w:lang w:val="sq-AL"/>
        </w:rPr>
        <w:t xml:space="preserve"> për çdo periudhë shlyerje </w:t>
      </w:r>
      <w:r>
        <w:rPr>
          <w:rFonts w:cs="Cambria"/>
          <w:lang w:val="sq-AL"/>
        </w:rPr>
        <w:t>TSO–TSO</w:t>
      </w:r>
      <w:r w:rsidRPr="008D0C28">
        <w:rPr>
          <w:rFonts w:cs="Cambria"/>
          <w:lang w:val="sq-AL"/>
        </w:rPr>
        <w:t xml:space="preserve">, si produkt i faktorit k të njohur dhe devijimit mesatar të frekuencës për atë periudhë shlyerje </w:t>
      </w:r>
      <w:r>
        <w:rPr>
          <w:rFonts w:cs="Cambria"/>
          <w:lang w:val="sq-AL"/>
        </w:rPr>
        <w:t xml:space="preserve">TSO–TSO, </w:t>
      </w:r>
      <w:r w:rsidRPr="008D0C28">
        <w:rPr>
          <w:rFonts w:cs="Cambria"/>
          <w:lang w:val="sq-AL"/>
        </w:rPr>
        <w:t>në përputhje me nenin 3 të kësaj CCFR</w:t>
      </w:r>
      <w:r>
        <w:rPr>
          <w:rFonts w:cs="Cambria"/>
          <w:lang w:val="sq-AL"/>
        </w:rPr>
        <w:t>-je</w:t>
      </w:r>
      <w:r w:rsidRPr="008D0C28">
        <w:rPr>
          <w:rFonts w:cs="Cambria"/>
          <w:lang w:val="sq-AL"/>
        </w:rPr>
        <w:t>.</w:t>
      </w:r>
    </w:p>
    <w:p w14:paraId="52D61308" w14:textId="77777777" w:rsidR="0016646B" w:rsidRPr="008D0C28" w:rsidRDefault="0016646B" w:rsidP="0016646B">
      <w:pPr>
        <w:pStyle w:val="AAATEETE"/>
        <w:rPr>
          <w:rFonts w:cs="Cambria"/>
          <w:lang w:val="sq-AL"/>
        </w:rPr>
      </w:pPr>
      <w:r>
        <w:rPr>
          <w:rFonts w:cs="Cambria"/>
          <w:lang w:val="sq-AL"/>
        </w:rPr>
        <w:lastRenderedPageBreak/>
        <w:t>2.</w:t>
      </w:r>
      <w:r w:rsidRPr="008D0C28">
        <w:rPr>
          <w:rFonts w:cs="Cambria"/>
          <w:lang w:val="sq-AL"/>
        </w:rPr>
        <w:t xml:space="preserve"> Vëllimet e shkëmbimeve të qëllimshme të energjisë si rezultat i </w:t>
      </w:r>
      <w:r>
        <w:rPr>
          <w:rFonts w:cs="Cambria"/>
          <w:lang w:val="sq-AL"/>
        </w:rPr>
        <w:t>periudhës së ndryshimit (rritje/</w:t>
      </w:r>
      <w:r w:rsidRPr="008D0C28">
        <w:rPr>
          <w:rFonts w:cs="Cambria"/>
          <w:lang w:val="sq-AL"/>
        </w:rPr>
        <w:t>ulje) sipas nenit 50</w:t>
      </w:r>
      <w:r>
        <w:rPr>
          <w:rFonts w:cs="Cambria"/>
          <w:lang w:val="sq-AL"/>
        </w:rPr>
        <w:t xml:space="preserve"> </w:t>
      </w:r>
      <w:r w:rsidRPr="008D0C28">
        <w:rPr>
          <w:rFonts w:cs="Cambria"/>
          <w:lang w:val="sq-AL"/>
        </w:rPr>
        <w:t>(3)</w:t>
      </w:r>
      <w:r>
        <w:rPr>
          <w:rFonts w:cs="Cambria"/>
          <w:lang w:val="sq-AL"/>
        </w:rPr>
        <w:t xml:space="preserve"> </w:t>
      </w:r>
      <w:r w:rsidRPr="008D0C28">
        <w:rPr>
          <w:rFonts w:cs="Cambria"/>
          <w:lang w:val="sq-AL"/>
        </w:rPr>
        <w:t>(b) të EBGL</w:t>
      </w:r>
      <w:r>
        <w:rPr>
          <w:rFonts w:cs="Cambria"/>
          <w:lang w:val="sq-AL"/>
        </w:rPr>
        <w:t>-së</w:t>
      </w:r>
      <w:r w:rsidRPr="008D0C28">
        <w:rPr>
          <w:rFonts w:cs="Cambria"/>
          <w:lang w:val="sq-AL"/>
        </w:rPr>
        <w:t xml:space="preserve"> dhe nenit 136 të SOGL</w:t>
      </w:r>
      <w:r>
        <w:rPr>
          <w:rFonts w:cs="Cambria"/>
          <w:lang w:val="sq-AL"/>
        </w:rPr>
        <w:t>-së,</w:t>
      </w:r>
      <w:r w:rsidRPr="008D0C28">
        <w:rPr>
          <w:rFonts w:cs="Cambria"/>
          <w:lang w:val="sq-AL"/>
        </w:rPr>
        <w:t xml:space="preserve"> llogariten me anë të funksionit të Llogaritjes së energjisë në kufi të CCFR</w:t>
      </w:r>
      <w:r>
        <w:rPr>
          <w:rFonts w:cs="Cambria"/>
          <w:lang w:val="sq-AL"/>
        </w:rPr>
        <w:t xml:space="preserve">-së për çdo bllok LFC-je ose zonë LFC-je </w:t>
      </w:r>
      <w:r w:rsidRPr="008D0C28">
        <w:rPr>
          <w:rFonts w:cs="Cambria"/>
          <w:lang w:val="sq-AL"/>
        </w:rPr>
        <w:t xml:space="preserve">dhe për periudhën e shlyerjes </w:t>
      </w:r>
      <w:r>
        <w:rPr>
          <w:rFonts w:cs="Cambria"/>
          <w:lang w:val="sq-AL"/>
        </w:rPr>
        <w:t>TSO–TSO</w:t>
      </w:r>
      <w:r w:rsidRPr="008D0C28">
        <w:rPr>
          <w:rFonts w:cs="Cambria"/>
          <w:lang w:val="sq-AL"/>
        </w:rPr>
        <w:t>, në përputhje me nenin 136 të SOGL</w:t>
      </w:r>
      <w:r>
        <w:rPr>
          <w:rFonts w:cs="Cambria"/>
          <w:lang w:val="sq-AL"/>
        </w:rPr>
        <w:t>-së</w:t>
      </w:r>
      <w:r w:rsidRPr="008D0C28">
        <w:rPr>
          <w:rFonts w:cs="Cambria"/>
          <w:lang w:val="sq-AL"/>
        </w:rPr>
        <w:t>.</w:t>
      </w:r>
    </w:p>
    <w:p w14:paraId="79A5087F" w14:textId="77777777" w:rsidR="0016646B" w:rsidRPr="008D0C28" w:rsidRDefault="0016646B" w:rsidP="0016646B">
      <w:pPr>
        <w:pStyle w:val="AAATEETE"/>
        <w:rPr>
          <w:lang w:val="sq-AL"/>
        </w:rPr>
      </w:pPr>
      <w:r>
        <w:rPr>
          <w:lang w:val="sq-AL"/>
        </w:rPr>
        <w:t>3.</w:t>
      </w:r>
      <w:r w:rsidRPr="008D0C28">
        <w:rPr>
          <w:lang w:val="sq-AL"/>
        </w:rPr>
        <w:t xml:space="preserve"> Vëllimet e shkëmbimeve të paqëllimshme sipas nenit 51</w:t>
      </w:r>
      <w:r>
        <w:rPr>
          <w:lang w:val="sq-AL"/>
        </w:rPr>
        <w:t xml:space="preserve"> </w:t>
      </w:r>
      <w:r w:rsidRPr="008D0C28">
        <w:rPr>
          <w:lang w:val="sq-AL"/>
        </w:rPr>
        <w:t>(1) të EBGL</w:t>
      </w:r>
      <w:r>
        <w:rPr>
          <w:lang w:val="sq-AL"/>
        </w:rPr>
        <w:t>-së,</w:t>
      </w:r>
      <w:r w:rsidRPr="008D0C28">
        <w:rPr>
          <w:lang w:val="sq-AL"/>
        </w:rPr>
        <w:t xml:space="preserve"> llogaritet me anë të funksionit të </w:t>
      </w:r>
      <w:r>
        <w:rPr>
          <w:lang w:val="sq-AL"/>
        </w:rPr>
        <w:t>l</w:t>
      </w:r>
      <w:r w:rsidRPr="008D0C28">
        <w:rPr>
          <w:lang w:val="sq-AL"/>
        </w:rPr>
        <w:t>logaritjes së energjisë në kufi CCU,</w:t>
      </w:r>
      <w:r>
        <w:rPr>
          <w:lang w:val="sq-AL"/>
        </w:rPr>
        <w:t xml:space="preserve"> për çdo bllok LFC-je ose zonë LFC-je </w:t>
      </w:r>
      <w:r w:rsidRPr="008D0C28">
        <w:rPr>
          <w:lang w:val="sq-AL"/>
        </w:rPr>
        <w:t xml:space="preserve">dhe për periudhën e shlyerjes </w:t>
      </w:r>
      <w:r>
        <w:rPr>
          <w:lang w:val="sq-AL"/>
        </w:rPr>
        <w:t>TSO–TSO</w:t>
      </w:r>
      <w:r w:rsidRPr="008D0C28">
        <w:rPr>
          <w:lang w:val="sq-AL"/>
        </w:rPr>
        <w:t>, në përputhje me CCU</w:t>
      </w:r>
      <w:r>
        <w:rPr>
          <w:lang w:val="sq-AL"/>
        </w:rPr>
        <w:t>-në</w:t>
      </w:r>
      <w:r w:rsidRPr="008D0C28">
        <w:rPr>
          <w:lang w:val="sq-AL"/>
        </w:rPr>
        <w:t>.</w:t>
      </w:r>
    </w:p>
    <w:p w14:paraId="4B43F43C" w14:textId="77777777" w:rsidR="0016646B" w:rsidRPr="008D0C28" w:rsidRDefault="0016646B" w:rsidP="0016646B">
      <w:pPr>
        <w:pStyle w:val="AAATEETE"/>
        <w:rPr>
          <w:lang w:val="sq-AL"/>
        </w:rPr>
      </w:pPr>
    </w:p>
    <w:p w14:paraId="08FD84A2" w14:textId="77777777" w:rsidR="0016646B" w:rsidRPr="008D0C28" w:rsidRDefault="0016646B" w:rsidP="0016646B">
      <w:pPr>
        <w:pStyle w:val="AAATEETE"/>
        <w:jc w:val="center"/>
        <w:rPr>
          <w:rFonts w:cs="Cambria"/>
          <w:lang w:val="sq-AL"/>
        </w:rPr>
      </w:pPr>
      <w:r w:rsidRPr="008D0C28">
        <w:rPr>
          <w:rFonts w:cs="Cambria"/>
          <w:lang w:val="sq-AL"/>
        </w:rPr>
        <w:t>Neni 8</w:t>
      </w:r>
    </w:p>
    <w:p w14:paraId="00D5DE5F" w14:textId="77777777" w:rsidR="0016646B" w:rsidRPr="008D0C28" w:rsidRDefault="0016646B" w:rsidP="0016646B">
      <w:pPr>
        <w:pStyle w:val="AAATEETE"/>
        <w:jc w:val="center"/>
        <w:rPr>
          <w:rFonts w:cs="Cambria"/>
          <w:b/>
          <w:lang w:val="sq-AL"/>
        </w:rPr>
      </w:pPr>
      <w:r w:rsidRPr="008D0C28">
        <w:rPr>
          <w:rFonts w:cs="Cambria"/>
          <w:b/>
          <w:lang w:val="sq-AL"/>
        </w:rPr>
        <w:t>Rregullat e tarifimit për shkëmbimet TSO</w:t>
      </w:r>
      <w:r>
        <w:rPr>
          <w:rFonts w:cs="Cambria"/>
          <w:b/>
          <w:lang w:val="sq-AL"/>
        </w:rPr>
        <w:t>–</w:t>
      </w:r>
      <w:r w:rsidRPr="008D0C28">
        <w:rPr>
          <w:rFonts w:cs="Cambria"/>
          <w:b/>
          <w:lang w:val="sq-AL"/>
        </w:rPr>
        <w:t>TSO</w:t>
      </w:r>
      <w:r>
        <w:rPr>
          <w:rFonts w:cs="Cambria"/>
          <w:b/>
          <w:lang w:val="sq-AL"/>
        </w:rPr>
        <w:t xml:space="preserve"> </w:t>
      </w:r>
      <w:r w:rsidRPr="008D0C28">
        <w:rPr>
          <w:rFonts w:cs="Cambria"/>
          <w:b/>
          <w:lang w:val="sq-AL"/>
        </w:rPr>
        <w:t>brenda SA CE</w:t>
      </w:r>
    </w:p>
    <w:p w14:paraId="27C099BC" w14:textId="77777777" w:rsidR="0016646B" w:rsidRPr="008D0C28" w:rsidRDefault="0016646B" w:rsidP="0016646B">
      <w:pPr>
        <w:pStyle w:val="AAATEETE"/>
        <w:rPr>
          <w:rFonts w:cs="Cambria"/>
          <w:lang w:val="sq-AL"/>
        </w:rPr>
      </w:pPr>
    </w:p>
    <w:p w14:paraId="22D6961E" w14:textId="77777777" w:rsidR="0016646B" w:rsidRPr="008D0C28" w:rsidRDefault="0016646B" w:rsidP="0016646B">
      <w:pPr>
        <w:pStyle w:val="AAATEETE"/>
        <w:rPr>
          <w:rFonts w:cs="Cambria"/>
          <w:lang w:val="sq-AL"/>
        </w:rPr>
      </w:pPr>
      <w:r>
        <w:rPr>
          <w:rFonts w:cs="Cambria"/>
          <w:lang w:val="sq-AL"/>
        </w:rPr>
        <w:t>1.</w:t>
      </w:r>
      <w:r w:rsidRPr="008D0C28">
        <w:rPr>
          <w:rFonts w:cs="Cambria"/>
          <w:lang w:val="sq-AL"/>
        </w:rPr>
        <w:t xml:space="preserve"> Çmimi për shkëmbimet e qëllimshme të energjisë si rezultat i </w:t>
      </w:r>
      <w:r>
        <w:rPr>
          <w:rFonts w:cs="Cambria"/>
          <w:lang w:val="sq-AL"/>
        </w:rPr>
        <w:t xml:space="preserve">periudhës së ndryshimit (rritje/ </w:t>
      </w:r>
      <w:r w:rsidRPr="008D0C28">
        <w:rPr>
          <w:rFonts w:cs="Cambria"/>
          <w:lang w:val="sq-AL"/>
        </w:rPr>
        <w:t>ulje) sipas nenit 50</w:t>
      </w:r>
      <w:r>
        <w:rPr>
          <w:rFonts w:cs="Cambria"/>
          <w:lang w:val="sq-AL"/>
        </w:rPr>
        <w:t xml:space="preserve"> </w:t>
      </w:r>
      <w:r w:rsidRPr="008D0C28">
        <w:rPr>
          <w:rFonts w:cs="Cambria"/>
          <w:lang w:val="sq-AL"/>
        </w:rPr>
        <w:t>(3)</w:t>
      </w:r>
      <w:r>
        <w:rPr>
          <w:rFonts w:cs="Cambria"/>
          <w:lang w:val="sq-AL"/>
        </w:rPr>
        <w:t xml:space="preserve"> </w:t>
      </w:r>
      <w:r w:rsidRPr="008D0C28">
        <w:rPr>
          <w:rFonts w:cs="Cambria"/>
          <w:lang w:val="sq-AL"/>
        </w:rPr>
        <w:t>(b) të EBGL</w:t>
      </w:r>
      <w:r>
        <w:rPr>
          <w:rFonts w:cs="Cambria"/>
          <w:lang w:val="sq-AL"/>
        </w:rPr>
        <w:t>-së</w:t>
      </w:r>
      <w:r w:rsidRPr="008D0C28">
        <w:rPr>
          <w:rFonts w:cs="Cambria"/>
          <w:lang w:val="sq-AL"/>
        </w:rPr>
        <w:t xml:space="preserve"> është zero (0)</w:t>
      </w:r>
      <w:r>
        <w:rPr>
          <w:rFonts w:cs="Cambria"/>
          <w:lang w:val="sq-AL"/>
        </w:rPr>
        <w:t xml:space="preserve"> </w:t>
      </w:r>
      <w:r w:rsidRPr="008D0C28">
        <w:rPr>
          <w:rFonts w:cs="Cambria"/>
          <w:lang w:val="sq-AL"/>
        </w:rPr>
        <w:t>EUR/mwh.</w:t>
      </w:r>
    </w:p>
    <w:p w14:paraId="1D49D38E" w14:textId="77777777" w:rsidR="0016646B" w:rsidRPr="008D0C28" w:rsidRDefault="0016646B" w:rsidP="0016646B">
      <w:pPr>
        <w:pStyle w:val="AAATEETE"/>
        <w:rPr>
          <w:rFonts w:cs="Cambria"/>
          <w:lang w:val="sq-AL"/>
        </w:rPr>
      </w:pPr>
      <w:r>
        <w:rPr>
          <w:rFonts w:cs="Cambria"/>
          <w:lang w:val="sq-AL"/>
        </w:rPr>
        <w:t>2.</w:t>
      </w:r>
      <w:r w:rsidRPr="008D0C28">
        <w:rPr>
          <w:rFonts w:cs="Cambria"/>
          <w:lang w:val="sq-AL"/>
        </w:rPr>
        <w:t xml:space="preserve"> Çmimi për shkëmbimet e qëllimshme të energjisë në përputhje me nenin 50</w:t>
      </w:r>
      <w:r>
        <w:rPr>
          <w:rFonts w:cs="Cambria"/>
          <w:lang w:val="sq-AL"/>
        </w:rPr>
        <w:t xml:space="preserve"> </w:t>
      </w:r>
      <w:r w:rsidRPr="008D0C28">
        <w:rPr>
          <w:rFonts w:cs="Cambria"/>
          <w:lang w:val="sq-AL"/>
        </w:rPr>
        <w:t>(3)</w:t>
      </w:r>
      <w:r>
        <w:rPr>
          <w:rFonts w:cs="Cambria"/>
          <w:lang w:val="sq-AL"/>
        </w:rPr>
        <w:t xml:space="preserve"> </w:t>
      </w:r>
      <w:r w:rsidRPr="008D0C28">
        <w:rPr>
          <w:rFonts w:cs="Cambria"/>
          <w:lang w:val="sq-AL"/>
        </w:rPr>
        <w:t>(a) të EBGL</w:t>
      </w:r>
      <w:r>
        <w:rPr>
          <w:rFonts w:cs="Cambria"/>
          <w:lang w:val="sq-AL"/>
        </w:rPr>
        <w:t>-së</w:t>
      </w:r>
      <w:r w:rsidRPr="008D0C28">
        <w:rPr>
          <w:rFonts w:cs="Cambria"/>
          <w:lang w:val="sq-AL"/>
        </w:rPr>
        <w:t xml:space="preserve"> do të llogaritet nga njësia të cilës i është besuar funksioni i shlyerjes CCFR si shumë e elementeve vijuese në EUR/mwh, për periudhën e shlyerjes </w:t>
      </w:r>
      <w:r>
        <w:rPr>
          <w:rFonts w:cs="Cambria"/>
          <w:lang w:val="sq-AL"/>
        </w:rPr>
        <w:t>TSO–TSO</w:t>
      </w:r>
      <w:r w:rsidRPr="008D0C28">
        <w:rPr>
          <w:rFonts w:cs="Cambria"/>
          <w:lang w:val="sq-AL"/>
        </w:rPr>
        <w:t>:</w:t>
      </w:r>
    </w:p>
    <w:p w14:paraId="3445B7D4" w14:textId="77777777" w:rsidR="0016646B" w:rsidRPr="008D0C28" w:rsidRDefault="0016646B" w:rsidP="0016646B">
      <w:pPr>
        <w:pStyle w:val="AAATEETE"/>
        <w:rPr>
          <w:rFonts w:cs="Cambria"/>
          <w:lang w:val="sq-AL"/>
        </w:rPr>
      </w:pPr>
      <w:r w:rsidRPr="008D0C28">
        <w:rPr>
          <w:rFonts w:cs="Cambria"/>
          <w:lang w:val="sq-AL"/>
        </w:rPr>
        <w:t xml:space="preserve">a) </w:t>
      </w:r>
      <w:r>
        <w:rPr>
          <w:rFonts w:cs="Cambria"/>
          <w:lang w:val="sq-AL"/>
        </w:rPr>
        <w:t>n</w:t>
      </w:r>
      <w:r w:rsidRPr="008D0C28">
        <w:rPr>
          <w:rFonts w:cs="Cambria"/>
          <w:lang w:val="sq-AL"/>
        </w:rPr>
        <w:t xml:space="preserve">jë komponent i çmimit referues i llogaritur për çdo periudhë të caktuar të shlyerjes </w:t>
      </w:r>
      <w:r>
        <w:rPr>
          <w:rFonts w:cs="Cambria"/>
          <w:lang w:val="sq-AL"/>
        </w:rPr>
        <w:t>TSO–TSO</w:t>
      </w:r>
      <w:r w:rsidRPr="008D0C28">
        <w:rPr>
          <w:rFonts w:cs="Cambria"/>
          <w:lang w:val="sq-AL"/>
        </w:rPr>
        <w:t xml:space="preserve"> si çmim mesatar i ponderuar i tregut të ditës së mëparshme të të gjitha blloqeve LFC brenda SA CE për atë periudhë të shlyerjes </w:t>
      </w:r>
      <w:r>
        <w:rPr>
          <w:rFonts w:cs="Cambria"/>
          <w:lang w:val="sq-AL"/>
        </w:rPr>
        <w:t>TSO–TSO</w:t>
      </w:r>
      <w:r w:rsidRPr="008D0C28">
        <w:rPr>
          <w:rFonts w:cs="Cambria"/>
          <w:lang w:val="sq-AL"/>
        </w:rPr>
        <w:t>, e matur me vlerën absolute të shumës së shkëmbimeve të qëllimshme të energjisë në përputhje me nenin 50 (3) (a) të EBGL</w:t>
      </w:r>
      <w:r>
        <w:rPr>
          <w:rFonts w:cs="Cambria"/>
          <w:lang w:val="sq-AL"/>
        </w:rPr>
        <w:t>-së</w:t>
      </w:r>
      <w:r w:rsidRPr="008D0C28">
        <w:rPr>
          <w:rFonts w:cs="Cambria"/>
          <w:lang w:val="sq-AL"/>
        </w:rPr>
        <w:t xml:space="preserve"> dhe shkëmbimeve të paqëllimshme të energjisë sipas nenit 51 (1) të EBGL</w:t>
      </w:r>
      <w:r>
        <w:rPr>
          <w:rFonts w:cs="Cambria"/>
          <w:lang w:val="sq-AL"/>
        </w:rPr>
        <w:t>-së, të secilit bllok LFC-je;</w:t>
      </w:r>
    </w:p>
    <w:p w14:paraId="71AA1BEA" w14:textId="77777777" w:rsidR="0016646B" w:rsidRPr="008D0C28" w:rsidRDefault="0016646B" w:rsidP="0016646B">
      <w:pPr>
        <w:pStyle w:val="AAATEETE"/>
        <w:rPr>
          <w:rFonts w:cs="Cambria"/>
          <w:lang w:val="sq-AL"/>
        </w:rPr>
      </w:pPr>
      <w:r w:rsidRPr="00C605D6">
        <w:rPr>
          <w:rFonts w:cs="Cambria"/>
          <w:lang w:val="sq-AL"/>
        </w:rPr>
        <w:t>b)</w:t>
      </w:r>
      <w:r w:rsidRPr="008D0C28">
        <w:rPr>
          <w:rFonts w:cs="Cambria"/>
          <w:lang w:val="sq-AL"/>
        </w:rPr>
        <w:t xml:space="preserve"> </w:t>
      </w:r>
      <w:r>
        <w:rPr>
          <w:rFonts w:cs="Cambria"/>
          <w:lang w:val="sq-AL"/>
        </w:rPr>
        <w:t>d</w:t>
      </w:r>
      <w:r w:rsidRPr="008D0C28">
        <w:rPr>
          <w:rFonts w:cs="Cambria"/>
          <w:lang w:val="sq-AL"/>
        </w:rPr>
        <w:t>o të zbatohen rregullat e mëposhtme:</w:t>
      </w:r>
    </w:p>
    <w:p w14:paraId="25FDC4AD" w14:textId="77777777" w:rsidR="0016646B" w:rsidRPr="008D0C28" w:rsidRDefault="0016646B" w:rsidP="0016646B">
      <w:pPr>
        <w:pStyle w:val="AAATEETE"/>
        <w:rPr>
          <w:rFonts w:cs="Calibri"/>
          <w:lang w:val="sq-AL"/>
        </w:rPr>
      </w:pPr>
      <w:r w:rsidRPr="008D0C28">
        <w:rPr>
          <w:rFonts w:cs="Calibri"/>
          <w:lang w:val="sq-AL"/>
        </w:rPr>
        <w:t xml:space="preserve">i. </w:t>
      </w:r>
      <w:r>
        <w:rPr>
          <w:rFonts w:cs="Calibri"/>
          <w:lang w:val="sq-AL"/>
        </w:rPr>
        <w:t>n</w:t>
      </w:r>
      <w:r w:rsidRPr="008D0C28">
        <w:rPr>
          <w:rFonts w:cs="Calibri"/>
          <w:lang w:val="sq-AL"/>
        </w:rPr>
        <w:t xml:space="preserve">ë rast se ka më shumë se një çmim të tregut të një ditë më parë për bllokun LFC për atë periudhë të shlyerje </w:t>
      </w:r>
      <w:r>
        <w:rPr>
          <w:rFonts w:cs="Calibri"/>
          <w:lang w:val="sq-AL"/>
        </w:rPr>
        <w:t>TSO–TSO</w:t>
      </w:r>
      <w:r w:rsidRPr="008D0C28">
        <w:rPr>
          <w:rFonts w:cs="Calibri"/>
          <w:lang w:val="sq-AL"/>
        </w:rPr>
        <w:t>, çmimi mesatar i ponderuar llogaritet nga njësia së cilës i është besuar funksioni i shlyerjes dhe përdoret në 8</w:t>
      </w:r>
      <w:r>
        <w:rPr>
          <w:rFonts w:cs="Calibri"/>
          <w:lang w:val="sq-AL"/>
        </w:rPr>
        <w:t xml:space="preserve"> </w:t>
      </w:r>
      <w:r w:rsidRPr="008D0C28">
        <w:rPr>
          <w:rFonts w:cs="Calibri"/>
          <w:lang w:val="sq-AL"/>
        </w:rPr>
        <w:t>(2)</w:t>
      </w:r>
      <w:r>
        <w:rPr>
          <w:rFonts w:cs="Calibri"/>
          <w:lang w:val="sq-AL"/>
        </w:rPr>
        <w:t xml:space="preserve"> </w:t>
      </w:r>
      <w:r w:rsidRPr="008D0C28">
        <w:rPr>
          <w:rFonts w:cs="Calibri"/>
          <w:lang w:val="sq-AL"/>
        </w:rPr>
        <w:t xml:space="preserve">(a) për bllokun përkatës LFC. Çmimi mesatar i ponderuar i një blloku LFC llogaritet duke ponderuar çmimet e tregut të ditës së mëparshme të zonave LFC në atë </w:t>
      </w:r>
      <w:r>
        <w:rPr>
          <w:rFonts w:cs="Calibri"/>
          <w:lang w:val="sq-AL"/>
        </w:rPr>
        <w:t xml:space="preserve">bllok LFC-je </w:t>
      </w:r>
      <w:r w:rsidRPr="008D0C28">
        <w:rPr>
          <w:rFonts w:cs="Calibri"/>
          <w:lang w:val="sq-AL"/>
        </w:rPr>
        <w:t xml:space="preserve">me faktorin përkatës k të njoftuar të secilës </w:t>
      </w:r>
      <w:r>
        <w:rPr>
          <w:rFonts w:cs="Calibri"/>
          <w:lang w:val="sq-AL"/>
        </w:rPr>
        <w:t>zonë LFC-je</w:t>
      </w:r>
      <w:r w:rsidRPr="008D0C28">
        <w:rPr>
          <w:rFonts w:cs="Calibri"/>
          <w:lang w:val="sq-AL"/>
        </w:rPr>
        <w:t xml:space="preserve">. Nëse nuk ka çmim të tregut për një ditë më parë në një </w:t>
      </w:r>
      <w:r>
        <w:rPr>
          <w:rFonts w:cs="Calibri"/>
          <w:lang w:val="sq-AL"/>
        </w:rPr>
        <w:t xml:space="preserve">zonë LFC-je </w:t>
      </w:r>
      <w:r w:rsidRPr="008D0C28">
        <w:rPr>
          <w:rFonts w:cs="Calibri"/>
          <w:lang w:val="sq-AL"/>
        </w:rPr>
        <w:t xml:space="preserve">brenda bllokut LFC, kjo </w:t>
      </w:r>
      <w:r>
        <w:rPr>
          <w:rFonts w:cs="Calibri"/>
          <w:lang w:val="sq-AL"/>
        </w:rPr>
        <w:t xml:space="preserve">zonë LFC-je </w:t>
      </w:r>
      <w:r w:rsidRPr="008D0C28">
        <w:rPr>
          <w:rFonts w:cs="Calibri"/>
          <w:lang w:val="sq-AL"/>
        </w:rPr>
        <w:t>nuk konsiderohet për llogaritjen e çmimit mesatar të ponderuar të bllokut LFC</w:t>
      </w:r>
      <w:r>
        <w:rPr>
          <w:rFonts w:cs="Calibri"/>
          <w:lang w:val="sq-AL"/>
        </w:rPr>
        <w:t>;</w:t>
      </w:r>
    </w:p>
    <w:p w14:paraId="136EE8DB" w14:textId="77777777" w:rsidR="0016646B" w:rsidRPr="008D0C28" w:rsidRDefault="0016646B" w:rsidP="0016646B">
      <w:pPr>
        <w:pStyle w:val="AAATEETE"/>
        <w:rPr>
          <w:rFonts w:cs="Calibri"/>
          <w:lang w:val="sq-AL"/>
        </w:rPr>
      </w:pPr>
      <w:r w:rsidRPr="008D0C28">
        <w:rPr>
          <w:rFonts w:cs="Calibri"/>
          <w:lang w:val="sq-AL"/>
        </w:rPr>
        <w:t xml:space="preserve">ii. </w:t>
      </w:r>
      <w:r>
        <w:rPr>
          <w:rFonts w:cs="Calibri"/>
          <w:lang w:val="sq-AL"/>
        </w:rPr>
        <w:t>n</w:t>
      </w:r>
      <w:r w:rsidRPr="008D0C28">
        <w:rPr>
          <w:rFonts w:cs="Calibri"/>
          <w:lang w:val="sq-AL"/>
        </w:rPr>
        <w:t>ë rast se ka më shumë se një çmim të tregut të një dite më parë</w:t>
      </w:r>
      <w:r>
        <w:rPr>
          <w:rFonts w:cs="Calibri"/>
          <w:lang w:val="sq-AL"/>
        </w:rPr>
        <w:t xml:space="preserve"> në një zonë LFC-je </w:t>
      </w:r>
      <w:r w:rsidRPr="008D0C28">
        <w:rPr>
          <w:rFonts w:cs="Calibri"/>
          <w:lang w:val="sq-AL"/>
        </w:rPr>
        <w:t xml:space="preserve">për atë periudhë të shlyerjes </w:t>
      </w:r>
      <w:r>
        <w:rPr>
          <w:rFonts w:cs="Calibri"/>
          <w:lang w:val="sq-AL"/>
        </w:rPr>
        <w:t>TSO–TSO</w:t>
      </w:r>
      <w:r w:rsidRPr="008D0C28">
        <w:rPr>
          <w:rFonts w:cs="Calibri"/>
          <w:lang w:val="sq-AL"/>
        </w:rPr>
        <w:t>, TSO</w:t>
      </w:r>
      <w:r>
        <w:rPr>
          <w:rFonts w:cs="Calibri"/>
          <w:lang w:val="sq-AL"/>
        </w:rPr>
        <w:t>-të</w:t>
      </w:r>
      <w:r w:rsidRPr="008D0C28">
        <w:rPr>
          <w:rFonts w:cs="Calibri"/>
          <w:lang w:val="sq-AL"/>
        </w:rPr>
        <w:t xml:space="preserve"> që vepron në zonën LFC mund të vendosë se cilin çmim ose çmime do të përdorë për përcaktimin e çmimit të tregut të ditës së mëparshme të zonës LFC</w:t>
      </w:r>
      <w:r>
        <w:rPr>
          <w:rFonts w:cs="Calibri"/>
          <w:lang w:val="sq-AL"/>
        </w:rPr>
        <w:t>;</w:t>
      </w:r>
    </w:p>
    <w:p w14:paraId="20E7E264" w14:textId="77777777" w:rsidR="0016646B" w:rsidRPr="008D0C28" w:rsidRDefault="0016646B" w:rsidP="0016646B">
      <w:pPr>
        <w:pStyle w:val="AAATEETE"/>
        <w:rPr>
          <w:rFonts w:cs="Calibri"/>
          <w:lang w:val="sq-AL"/>
        </w:rPr>
      </w:pPr>
      <w:r w:rsidRPr="008D0C28">
        <w:rPr>
          <w:rFonts w:cs="Calibri"/>
          <w:lang w:val="sq-AL"/>
        </w:rPr>
        <w:t xml:space="preserve">iii. </w:t>
      </w:r>
      <w:r>
        <w:rPr>
          <w:rFonts w:cs="Calibri"/>
          <w:lang w:val="sq-AL"/>
        </w:rPr>
        <w:t>n</w:t>
      </w:r>
      <w:r w:rsidRPr="008D0C28">
        <w:rPr>
          <w:rFonts w:cs="Calibri"/>
          <w:lang w:val="sq-AL"/>
        </w:rPr>
        <w:t xml:space="preserve">ë rast se nuk ka një çmim të tregu të ditës së mëparshme në një </w:t>
      </w:r>
      <w:r>
        <w:rPr>
          <w:rFonts w:cs="Calibri"/>
          <w:lang w:val="sq-AL"/>
        </w:rPr>
        <w:t>bllok LFC-je</w:t>
      </w:r>
      <w:r w:rsidRPr="008D0C28">
        <w:rPr>
          <w:rFonts w:cs="Calibri"/>
          <w:lang w:val="sq-AL"/>
        </w:rPr>
        <w:t xml:space="preserve"> për atë periu</w:t>
      </w:r>
      <w:r>
        <w:rPr>
          <w:rFonts w:cs="Calibri"/>
          <w:lang w:val="sq-AL"/>
        </w:rPr>
        <w:t>dhë të caktuar të shlyerjes TSO–</w:t>
      </w:r>
      <w:r w:rsidRPr="008D0C28">
        <w:rPr>
          <w:rFonts w:cs="Calibri"/>
          <w:lang w:val="sq-AL"/>
        </w:rPr>
        <w:t xml:space="preserve">TSO, çmimi i shlyerjes së disbalancave për atë </w:t>
      </w:r>
      <w:r>
        <w:rPr>
          <w:rFonts w:cs="Calibri"/>
          <w:lang w:val="sq-AL"/>
        </w:rPr>
        <w:t>bllok LFC-je</w:t>
      </w:r>
      <w:r w:rsidRPr="008D0C28">
        <w:rPr>
          <w:rFonts w:cs="Calibri"/>
          <w:lang w:val="sq-AL"/>
        </w:rPr>
        <w:t xml:space="preserve"> për atë periudhë të caktuar të shlyerjes </w:t>
      </w:r>
      <w:r>
        <w:rPr>
          <w:rFonts w:cs="Calibri"/>
          <w:lang w:val="sq-AL"/>
        </w:rPr>
        <w:t>TSO–TSO</w:t>
      </w:r>
      <w:r w:rsidRPr="008D0C28">
        <w:rPr>
          <w:rFonts w:cs="Calibri"/>
          <w:lang w:val="sq-AL"/>
        </w:rPr>
        <w:t xml:space="preserve"> përdoret në </w:t>
      </w:r>
      <w:r>
        <w:rPr>
          <w:rFonts w:cs="Calibri"/>
          <w:lang w:val="sq-AL"/>
        </w:rPr>
        <w:t>n</w:t>
      </w:r>
      <w:r w:rsidRPr="008D0C28">
        <w:rPr>
          <w:rFonts w:cs="Calibri"/>
          <w:lang w:val="sq-AL"/>
        </w:rPr>
        <w:t>enin</w:t>
      </w:r>
      <w:r>
        <w:rPr>
          <w:rFonts w:cs="Calibri"/>
          <w:lang w:val="sq-AL"/>
        </w:rPr>
        <w:t xml:space="preserve"> </w:t>
      </w:r>
      <w:r w:rsidRPr="008D0C28">
        <w:rPr>
          <w:rFonts w:cs="Calibri"/>
          <w:lang w:val="sq-AL"/>
        </w:rPr>
        <w:t>8</w:t>
      </w:r>
      <w:r>
        <w:rPr>
          <w:rFonts w:cs="Calibri"/>
          <w:lang w:val="sq-AL"/>
        </w:rPr>
        <w:t xml:space="preserve"> </w:t>
      </w:r>
      <w:r w:rsidRPr="008D0C28">
        <w:rPr>
          <w:rFonts w:cs="Calibri"/>
          <w:lang w:val="sq-AL"/>
        </w:rPr>
        <w:t>(2)</w:t>
      </w:r>
      <w:r>
        <w:rPr>
          <w:rFonts w:cs="Calibri"/>
          <w:lang w:val="sq-AL"/>
        </w:rPr>
        <w:t xml:space="preserve"> </w:t>
      </w:r>
      <w:r w:rsidRPr="008D0C28">
        <w:rPr>
          <w:rFonts w:cs="Calibri"/>
          <w:lang w:val="sq-AL"/>
        </w:rPr>
        <w:t>(a) në vend të një çmimi të tregut për një ditë më parë. Në rastin e çmimeve të dyfishta, llogaritet një çmim mesatar</w:t>
      </w:r>
      <w:r>
        <w:rPr>
          <w:rFonts w:cs="Calibri"/>
          <w:lang w:val="sq-AL"/>
        </w:rPr>
        <w:t>;</w:t>
      </w:r>
      <w:r w:rsidRPr="008D0C28">
        <w:rPr>
          <w:rFonts w:cs="Calibri"/>
          <w:lang w:val="sq-AL"/>
        </w:rPr>
        <w:t xml:space="preserve"> </w:t>
      </w:r>
    </w:p>
    <w:p w14:paraId="7AE4DF15" w14:textId="77777777" w:rsidR="0016646B" w:rsidRPr="008D0C28" w:rsidRDefault="0016646B" w:rsidP="0016646B">
      <w:pPr>
        <w:pStyle w:val="AAATEETE"/>
        <w:rPr>
          <w:rFonts w:cs="Calibri"/>
          <w:lang w:val="sq-AL"/>
        </w:rPr>
      </w:pPr>
      <w:r w:rsidRPr="00C605D6">
        <w:rPr>
          <w:rFonts w:cs="Calibri"/>
          <w:lang w:val="sq-AL"/>
        </w:rPr>
        <w:t>b)</w:t>
      </w:r>
      <w:r w:rsidRPr="008D0C28">
        <w:rPr>
          <w:rFonts w:cs="Calibri"/>
          <w:lang w:val="sq-AL"/>
        </w:rPr>
        <w:t xml:space="preserve"> </w:t>
      </w:r>
      <w:r>
        <w:rPr>
          <w:rFonts w:cs="Calibri"/>
          <w:lang w:val="sq-AL"/>
        </w:rPr>
        <w:t>n</w:t>
      </w:r>
      <w:r w:rsidRPr="008D0C28">
        <w:rPr>
          <w:rFonts w:cs="Calibri"/>
          <w:lang w:val="sq-AL"/>
        </w:rPr>
        <w:t xml:space="preserve">jë komponent i varur nga frekuenca, i zbatueshëm vetëm nëse vlera absolute e devijimit mesatar të frekuencës mbi periudhën e shlyerjes </w:t>
      </w:r>
      <w:r>
        <w:rPr>
          <w:rFonts w:cs="Calibri"/>
          <w:lang w:val="sq-AL"/>
        </w:rPr>
        <w:t>TSO–TSO</w:t>
      </w:r>
      <w:r w:rsidRPr="008D0C28">
        <w:rPr>
          <w:rFonts w:cs="Calibri"/>
          <w:lang w:val="sq-AL"/>
        </w:rPr>
        <w:t xml:space="preserve"> tejkalon vlerën absolute të vlerës minimale të pragut (20 mHz). Komponenti i varur nga frekuenca llogaritet si funksion i devijimit mesatar të frekuencës për secilën periudhë të shlyerjes </w:t>
      </w:r>
      <w:r>
        <w:rPr>
          <w:rFonts w:cs="Calibri"/>
          <w:lang w:val="sq-AL"/>
        </w:rPr>
        <w:t>TSO–TSO</w:t>
      </w:r>
      <w:r w:rsidRPr="008D0C28">
        <w:rPr>
          <w:rFonts w:cs="Calibri"/>
          <w:lang w:val="sq-AL"/>
        </w:rPr>
        <w:t>, duke përdorur një gradient ndërmjet kufirit minimal dhe pragut maksimal (dy (2) EUR/mwh/mHz). Do të zbatohen rregullat e mëposhtme:</w:t>
      </w:r>
    </w:p>
    <w:p w14:paraId="394F10C8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i. vlera absolute e vlerës minimale të pragut është 20 mHz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29438EB7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ii. vlera absolute e vlerës maksimale të pragut është 100 mHz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1FC6D5F4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iii. gra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dienti është dy (2) EUR/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mwh /mHz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2A0AB275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iv. në rast të një devijimi mesatar pozitiv të frekuencës që tejkalon vlerën minimale të pragut në drejtim pozitiv (+20 mHz), por që nuk tejkalon vlerën maksimale të pragut në drejtim pozitiv (+100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lastRenderedPageBreak/>
        <w:t>mHz), ky funksion zbatohet për devijimin mesatar të frekuencës të zvogëluar me vlerën absolute të vlerës minimale të pragut (20 mHz)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776CEA8C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v. në rast të një devijimi mesatar negativ të frekuencës që tejkalon vlerën minimale të pragut në drejtim negativ (-20 mHz), por që nuk tejkalon vlerën maksimale të pragut në drejtim negativ (- 100 mHz), ky funksion aplikohet në devijimin e frekuencës të rritur me vlerën absolute të vlerës minimale të pragut (20 mHz)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286EF7F8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vi. në rastin e një devijimi mesatar pozitiv të frekuencës që tejkalon pragun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 xml:space="preserve"> maksimal në drejtim pozitiv (+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100 mHz), komponenti i varur nga frekuenca vendoset si komponent i varur nga frekuenca e llogaritur në një devijim të frekuencës së vlerës maksimale 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të pragut në drejtim pozitiv (+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100 mHz)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442BA95A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vii. në rastin e një devijimi negativ të frekuencës që tejkalon pragun maksimal në drejtim negativ (-100 mHz), komponenti i varur nga frekuenca përcaktohet si komponent i varur nga frekuenca e llogaritur në një devijim të frekuencës së vlerës së pragut maksima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l në drejtim negativ (-100 mHz);</w:t>
      </w:r>
    </w:p>
    <w:p w14:paraId="5A0CCDBE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viii. në rastin e një sistemi HVDC që lidh dy TSO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 xml:space="preserve">-të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SA CE, komponenti i varur nga frekuenca mund të mos jetë i zbatueshëm.</w:t>
      </w:r>
    </w:p>
    <w:p w14:paraId="383DC904" w14:textId="77777777" w:rsidR="0016646B" w:rsidRPr="008D0C28" w:rsidRDefault="0016646B" w:rsidP="0016646B">
      <w:pPr>
        <w:pStyle w:val="AAATEETE"/>
        <w:rPr>
          <w:lang w:val="sq-AL"/>
        </w:rPr>
      </w:pPr>
      <w:r>
        <w:rPr>
          <w:lang w:val="sq-AL"/>
        </w:rPr>
        <w:t>3.</w:t>
      </w:r>
      <w:r w:rsidRPr="008D0C28">
        <w:rPr>
          <w:lang w:val="sq-AL"/>
        </w:rPr>
        <w:t xml:space="preserve"> Në rast se një ndarje të rrjetit me më shumë se një </w:t>
      </w:r>
      <w:r>
        <w:rPr>
          <w:lang w:val="sq-AL"/>
        </w:rPr>
        <w:t>bllok LFC-je</w:t>
      </w:r>
      <w:r w:rsidRPr="008D0C28">
        <w:rPr>
          <w:lang w:val="sq-AL"/>
        </w:rPr>
        <w:t xml:space="preserve"> shkëputet, komponenti i varur nga frekuenca përcaktohet për çdo periudhë shlyerje </w:t>
      </w:r>
      <w:r>
        <w:rPr>
          <w:lang w:val="sq-AL"/>
        </w:rPr>
        <w:t>TSO–TSO</w:t>
      </w:r>
      <w:r w:rsidRPr="008D0C28">
        <w:rPr>
          <w:lang w:val="sq-AL"/>
        </w:rPr>
        <w:t xml:space="preserve"> gjatë asaj ndarje në zero (0) EUR/mwh/mHz për periudhën e shlyerjes TSO-TSO.</w:t>
      </w:r>
    </w:p>
    <w:p w14:paraId="355573DF" w14:textId="77777777" w:rsidR="0016646B" w:rsidRPr="008D0C28" w:rsidRDefault="0016646B" w:rsidP="0016646B">
      <w:pPr>
        <w:pStyle w:val="AAATEETE"/>
        <w:rPr>
          <w:lang w:val="sq-AL"/>
        </w:rPr>
      </w:pPr>
    </w:p>
    <w:p w14:paraId="2A4B0E8D" w14:textId="77777777" w:rsidR="0016646B" w:rsidRPr="008D0C28" w:rsidRDefault="0016646B" w:rsidP="0016646B">
      <w:pPr>
        <w:pStyle w:val="AAATEETE"/>
        <w:jc w:val="center"/>
        <w:rPr>
          <w:rFonts w:cs="Cambria"/>
          <w:bCs/>
          <w:lang w:val="sq-AL"/>
        </w:rPr>
      </w:pPr>
      <w:r w:rsidRPr="008D0C28">
        <w:rPr>
          <w:rFonts w:cs="Cambria"/>
          <w:bCs/>
          <w:lang w:val="sq-AL"/>
        </w:rPr>
        <w:t>Neni 9</w:t>
      </w:r>
    </w:p>
    <w:p w14:paraId="1C79F737" w14:textId="77777777" w:rsidR="0016646B" w:rsidRPr="008D0C28" w:rsidRDefault="0016646B" w:rsidP="0016646B">
      <w:pPr>
        <w:pStyle w:val="AAATEETE"/>
        <w:jc w:val="center"/>
        <w:rPr>
          <w:rFonts w:cs="Cambria"/>
          <w:b/>
          <w:bCs/>
          <w:lang w:val="sq-AL"/>
        </w:rPr>
      </w:pPr>
      <w:r w:rsidRPr="008D0C28">
        <w:rPr>
          <w:rFonts w:cs="Cambria"/>
          <w:b/>
          <w:bCs/>
          <w:lang w:val="sq-AL"/>
        </w:rPr>
        <w:t>Botimi dhe zbatimi i CCFR</w:t>
      </w:r>
    </w:p>
    <w:p w14:paraId="0E0DB11B" w14:textId="77777777" w:rsidR="0016646B" w:rsidRPr="008D0C28" w:rsidRDefault="0016646B" w:rsidP="0016646B">
      <w:pPr>
        <w:pStyle w:val="AAATEETE"/>
        <w:rPr>
          <w:rFonts w:cs="Cambria"/>
          <w:lang w:val="sq-AL"/>
        </w:rPr>
      </w:pPr>
    </w:p>
    <w:p w14:paraId="3E500E28" w14:textId="77777777" w:rsidR="0016646B" w:rsidRPr="008D0C28" w:rsidRDefault="0016646B" w:rsidP="0016646B">
      <w:pPr>
        <w:pStyle w:val="AAATEETE"/>
        <w:rPr>
          <w:lang w:val="sq-AL"/>
        </w:rPr>
      </w:pPr>
      <w:r>
        <w:rPr>
          <w:lang w:val="sq-AL"/>
        </w:rPr>
        <w:t>1.</w:t>
      </w:r>
      <w:r w:rsidRPr="008D0C28">
        <w:rPr>
          <w:lang w:val="sq-AL"/>
        </w:rPr>
        <w:t xml:space="preserve"> Të gjithë TSO-të e SA CE do të publikojnë CCFR</w:t>
      </w:r>
      <w:r>
        <w:rPr>
          <w:lang w:val="sq-AL"/>
        </w:rPr>
        <w:t>-në</w:t>
      </w:r>
      <w:r w:rsidRPr="008D0C28">
        <w:rPr>
          <w:lang w:val="sq-AL"/>
        </w:rPr>
        <w:t xml:space="preserve"> pa vonesa të panevojshme pasi të gjitha autoritetet rregullatore relevante të SA CE të kenë miratuar CCFR e propozuar ose është marrë një vendim nga ACER</w:t>
      </w:r>
      <w:r>
        <w:rPr>
          <w:lang w:val="sq-AL"/>
        </w:rPr>
        <w:t>-i,</w:t>
      </w:r>
      <w:r w:rsidRPr="008D0C28">
        <w:rPr>
          <w:lang w:val="sq-AL"/>
        </w:rPr>
        <w:t xml:space="preserve"> në përputhje me </w:t>
      </w:r>
      <w:r>
        <w:rPr>
          <w:lang w:val="sq-AL"/>
        </w:rPr>
        <w:t>n</w:t>
      </w:r>
      <w:r w:rsidRPr="008D0C28">
        <w:rPr>
          <w:lang w:val="sq-AL"/>
        </w:rPr>
        <w:t>enet 5 (7), 6 (1) dhe 6 (2) të EBGL</w:t>
      </w:r>
      <w:r>
        <w:rPr>
          <w:lang w:val="sq-AL"/>
        </w:rPr>
        <w:t>-së.</w:t>
      </w:r>
    </w:p>
    <w:p w14:paraId="203BFAF6" w14:textId="77777777" w:rsidR="0016646B" w:rsidRPr="008D0C28" w:rsidRDefault="0016646B" w:rsidP="0016646B">
      <w:pPr>
        <w:pStyle w:val="AAATEETE"/>
        <w:rPr>
          <w:lang w:val="sq-AL"/>
        </w:rPr>
      </w:pPr>
      <w:r>
        <w:rPr>
          <w:lang w:val="sq-AL"/>
        </w:rPr>
        <w:t>2.</w:t>
      </w:r>
      <w:r w:rsidRPr="008D0C28">
        <w:rPr>
          <w:lang w:val="sq-AL"/>
        </w:rPr>
        <w:t xml:space="preserve"> Të gjitha TSO-të e SA CE duhet të zbatojnë CCFR</w:t>
      </w:r>
      <w:r>
        <w:rPr>
          <w:lang w:val="sq-AL"/>
        </w:rPr>
        <w:t>-në</w:t>
      </w:r>
      <w:r w:rsidRPr="008D0C28">
        <w:rPr>
          <w:lang w:val="sq-AL"/>
        </w:rPr>
        <w:t xml:space="preserve"> në përputhje me nenin 4 të kësaj CCFR</w:t>
      </w:r>
      <w:r>
        <w:rPr>
          <w:lang w:val="sq-AL"/>
        </w:rPr>
        <w:t>-në</w:t>
      </w:r>
      <w:r w:rsidRPr="008D0C28">
        <w:rPr>
          <w:lang w:val="sq-AL"/>
        </w:rPr>
        <w:t>.</w:t>
      </w:r>
    </w:p>
    <w:p w14:paraId="38176E75" w14:textId="77777777" w:rsidR="0016646B" w:rsidRPr="008D0C28" w:rsidRDefault="0016646B" w:rsidP="0016646B">
      <w:pPr>
        <w:pStyle w:val="AAATEETE"/>
        <w:rPr>
          <w:rFonts w:cs="Cambria"/>
          <w:b/>
          <w:bCs/>
          <w:lang w:val="sq-AL"/>
        </w:rPr>
      </w:pPr>
    </w:p>
    <w:p w14:paraId="75F55618" w14:textId="77777777" w:rsidR="0016646B" w:rsidRPr="008D0C28" w:rsidRDefault="0016646B" w:rsidP="0016646B">
      <w:pPr>
        <w:pStyle w:val="AAATEETE"/>
        <w:jc w:val="center"/>
        <w:rPr>
          <w:rFonts w:cs="Cambria"/>
          <w:bCs/>
          <w:lang w:val="sq-AL"/>
        </w:rPr>
      </w:pPr>
      <w:r w:rsidRPr="008D0C28">
        <w:rPr>
          <w:rFonts w:cs="Cambria"/>
          <w:bCs/>
          <w:lang w:val="sq-AL"/>
        </w:rPr>
        <w:t>Neni 10</w:t>
      </w:r>
    </w:p>
    <w:p w14:paraId="5FF4BD85" w14:textId="77777777" w:rsidR="0016646B" w:rsidRPr="008D0C28" w:rsidRDefault="0016646B" w:rsidP="0016646B">
      <w:pPr>
        <w:pStyle w:val="AAATEETE"/>
        <w:jc w:val="center"/>
        <w:rPr>
          <w:rFonts w:cs="Cambria"/>
          <w:b/>
          <w:bCs/>
          <w:lang w:val="sq-AL"/>
        </w:rPr>
      </w:pPr>
      <w:r w:rsidRPr="008D0C28">
        <w:rPr>
          <w:rFonts w:cs="Cambria"/>
          <w:b/>
          <w:bCs/>
          <w:lang w:val="sq-AL"/>
        </w:rPr>
        <w:t>Gjuha</w:t>
      </w:r>
    </w:p>
    <w:p w14:paraId="4B17793F" w14:textId="77777777" w:rsidR="0016646B" w:rsidRPr="008D0C28" w:rsidRDefault="0016646B" w:rsidP="0016646B">
      <w:pPr>
        <w:pStyle w:val="AAATEETE"/>
        <w:rPr>
          <w:lang w:val="sq-AL"/>
        </w:rPr>
      </w:pPr>
    </w:p>
    <w:p w14:paraId="5E934F3C" w14:textId="77777777" w:rsidR="0016646B" w:rsidRPr="008D0C28" w:rsidRDefault="0016646B" w:rsidP="0016646B">
      <w:pPr>
        <w:pStyle w:val="AAATEETE"/>
        <w:rPr>
          <w:lang w:val="sq-AL"/>
        </w:rPr>
      </w:pPr>
      <w:r w:rsidRPr="008D0C28">
        <w:rPr>
          <w:lang w:val="sq-AL"/>
        </w:rPr>
        <w:t>Gjuha e referencës për këtë propozim do të jetë gjuha angleze. Për shmangien e dyshimit, kur TSO-të duhet të përkthejnë këtë propozim në gjuhën e tyre kombëtare, në rast të mospërputhjeve midis versionit anglisht të botuar nga TSO-të</w:t>
      </w:r>
      <w:r>
        <w:rPr>
          <w:lang w:val="sq-AL"/>
        </w:rPr>
        <w:t>,</w:t>
      </w:r>
      <w:r w:rsidRPr="008D0C28">
        <w:rPr>
          <w:lang w:val="sq-AL"/>
        </w:rPr>
        <w:t xml:space="preserve"> në përputhje me nenin 7 të EBGL</w:t>
      </w:r>
      <w:r>
        <w:rPr>
          <w:lang w:val="sq-AL"/>
        </w:rPr>
        <w:t>-së,</w:t>
      </w:r>
      <w:r w:rsidRPr="008D0C28">
        <w:rPr>
          <w:lang w:val="sq-AL"/>
        </w:rPr>
        <w:t xml:space="preserve"> dhe çdo versioni në një gjuhë tjetër, TSO-të, në përputhje me legjislacionin kombëtar, do t’u sigurojnë autoriteteve përkatëse kombëtare rregullatore një përkthim të përditësuar të propozimit.</w:t>
      </w:r>
    </w:p>
    <w:p w14:paraId="54539979" w14:textId="77777777" w:rsidR="0016646B" w:rsidRPr="008D0C28" w:rsidRDefault="0016646B" w:rsidP="0016646B">
      <w:pPr>
        <w:pStyle w:val="AAATEETE"/>
        <w:rPr>
          <w:lang w:val="sq-AL"/>
        </w:rPr>
      </w:pPr>
    </w:p>
    <w:p w14:paraId="26338748" w14:textId="77777777" w:rsidR="0016646B" w:rsidRPr="008D0C28" w:rsidRDefault="0016646B" w:rsidP="0016646B">
      <w:pPr>
        <w:tabs>
          <w:tab w:val="left" w:pos="9524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1D9A435" w14:textId="77777777" w:rsidR="0016646B" w:rsidRDefault="0016646B" w:rsidP="0016646B">
      <w:pPr>
        <w:tabs>
          <w:tab w:val="left" w:pos="9524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57D50EF" w14:textId="77777777" w:rsidR="0016646B" w:rsidRDefault="0016646B" w:rsidP="0016646B">
      <w:pPr>
        <w:tabs>
          <w:tab w:val="left" w:pos="9524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396A5D6" w14:textId="77777777" w:rsidR="0016646B" w:rsidRPr="008D0C28" w:rsidRDefault="0016646B" w:rsidP="0016646B">
      <w:pPr>
        <w:tabs>
          <w:tab w:val="left" w:pos="9524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Të gjitha propozimet e TSO-ve kontinentale evropiane për rregullat e shlyerjeve të përbashkëta, për të gjitha shkëmbimet e energjisë të paqëllimshme, në përputhje me nenin 51 (1), të 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</w:t>
      </w:r>
      <w:r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regullores së Komisionit (BE) 2017/2195, të 23 nëntorit 2017, për krijimin e një udhëzuesi mbi balancimin e energjisë elektrike</w:t>
      </w:r>
    </w:p>
    <w:p w14:paraId="6564C161" w14:textId="77777777" w:rsidR="0016646B" w:rsidRPr="008D0C28" w:rsidRDefault="0016646B" w:rsidP="0016646B">
      <w:pPr>
        <w:tabs>
          <w:tab w:val="left" w:pos="9524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55BA0BE" w14:textId="77777777" w:rsidR="0016646B" w:rsidRPr="008D0C28" w:rsidRDefault="0016646B" w:rsidP="0016646B">
      <w:pPr>
        <w:tabs>
          <w:tab w:val="left" w:pos="9524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b/>
          <w:color w:val="000000"/>
          <w:sz w:val="24"/>
          <w:szCs w:val="24"/>
          <w:lang w:val="sq-AL"/>
        </w:rPr>
        <w:t>9 maj 2019</w:t>
      </w:r>
    </w:p>
    <w:p w14:paraId="0732988E" w14:textId="77777777" w:rsidR="0016646B" w:rsidRPr="008D0C28" w:rsidRDefault="0016646B" w:rsidP="0016646B">
      <w:pPr>
        <w:pStyle w:val="AAATEETE"/>
        <w:rPr>
          <w:color w:val="auto"/>
          <w:lang w:val="sq-AL"/>
        </w:rPr>
      </w:pPr>
    </w:p>
    <w:p w14:paraId="3B1338E8" w14:textId="77777777" w:rsidR="0016646B" w:rsidRPr="00EB624B" w:rsidRDefault="0016646B" w:rsidP="0016646B">
      <w:pPr>
        <w:pStyle w:val="AAATEETE"/>
        <w:rPr>
          <w:bCs/>
          <w:color w:val="auto"/>
          <w:lang w:val="sq-AL"/>
        </w:rPr>
      </w:pPr>
      <w:r w:rsidRPr="00EB624B">
        <w:rPr>
          <w:bCs/>
          <w:color w:val="auto"/>
          <w:lang w:val="sq-AL"/>
        </w:rPr>
        <w:t>Përmbajtja</w:t>
      </w:r>
    </w:p>
    <w:p w14:paraId="6B7AF465" w14:textId="77777777" w:rsidR="0016646B" w:rsidRPr="008D0C28" w:rsidRDefault="0016646B" w:rsidP="0016646B">
      <w:pPr>
        <w:pStyle w:val="AAATEETE"/>
        <w:rPr>
          <w:rFonts w:cs="Calibri"/>
          <w:color w:val="auto"/>
          <w:lang w:val="sq-AL"/>
        </w:rPr>
      </w:pPr>
      <w:r w:rsidRPr="008D0C28">
        <w:rPr>
          <w:color w:val="auto"/>
          <w:lang w:val="sq-AL"/>
        </w:rPr>
        <w:lastRenderedPageBreak/>
        <w:t>Parathënie</w:t>
      </w:r>
      <w:r w:rsidRPr="008D0C28">
        <w:rPr>
          <w:rFonts w:cs="Calibri"/>
          <w:color w:val="auto"/>
          <w:lang w:val="sq-AL"/>
        </w:rPr>
        <w:t xml:space="preserve"> </w:t>
      </w:r>
    </w:p>
    <w:p w14:paraId="66FEB7E8" w14:textId="77777777" w:rsidR="0016646B" w:rsidRPr="008D0C28" w:rsidRDefault="0016646B" w:rsidP="0016646B">
      <w:pPr>
        <w:pStyle w:val="AAATEETE"/>
        <w:rPr>
          <w:rFonts w:cs="Calibri"/>
          <w:color w:val="auto"/>
          <w:lang w:val="sq-AL"/>
        </w:rPr>
      </w:pPr>
      <w:r w:rsidRPr="008D0C28">
        <w:rPr>
          <w:color w:val="auto"/>
          <w:lang w:val="sq-AL"/>
        </w:rPr>
        <w:t>Shkurtime</w:t>
      </w:r>
      <w:r w:rsidRPr="008D0C28">
        <w:rPr>
          <w:rFonts w:cs="Calibri"/>
          <w:color w:val="auto"/>
          <w:lang w:val="sq-AL"/>
        </w:rPr>
        <w:t xml:space="preserve"> </w:t>
      </w:r>
    </w:p>
    <w:p w14:paraId="54E22ACD" w14:textId="77777777" w:rsidR="0016646B" w:rsidRPr="008D0C28" w:rsidRDefault="0016646B" w:rsidP="0016646B">
      <w:pPr>
        <w:pStyle w:val="AAATEETE"/>
        <w:rPr>
          <w:rFonts w:cs="Calibri"/>
          <w:color w:val="auto"/>
          <w:lang w:val="sq-AL"/>
        </w:rPr>
      </w:pPr>
      <w:r w:rsidRPr="008D0C28">
        <w:rPr>
          <w:color w:val="auto"/>
          <w:lang w:val="sq-AL"/>
        </w:rPr>
        <w:t>Neni 1</w:t>
      </w:r>
      <w:r>
        <w:rPr>
          <w:color w:val="auto"/>
          <w:lang w:val="sq-AL"/>
        </w:rPr>
        <w:t>:</w:t>
      </w:r>
      <w:r w:rsidRPr="008D0C28">
        <w:rPr>
          <w:color w:val="auto"/>
          <w:lang w:val="sq-AL"/>
        </w:rPr>
        <w:t xml:space="preserve"> Objekti dhe qëllimi</w:t>
      </w:r>
    </w:p>
    <w:p w14:paraId="0390ED6B" w14:textId="77777777" w:rsidR="0016646B" w:rsidRPr="008D0C28" w:rsidRDefault="0016646B" w:rsidP="0016646B">
      <w:pPr>
        <w:pStyle w:val="AAATEETE"/>
        <w:rPr>
          <w:rFonts w:cs="Calibri"/>
          <w:color w:val="auto"/>
          <w:lang w:val="sq-AL"/>
        </w:rPr>
      </w:pPr>
      <w:r w:rsidRPr="008D0C28">
        <w:rPr>
          <w:color w:val="auto"/>
          <w:lang w:val="sq-AL"/>
        </w:rPr>
        <w:t>Neni 2</w:t>
      </w:r>
      <w:r>
        <w:rPr>
          <w:color w:val="auto"/>
          <w:lang w:val="sq-AL"/>
        </w:rPr>
        <w:t>:</w:t>
      </w:r>
      <w:r w:rsidRPr="008D0C28">
        <w:rPr>
          <w:color w:val="auto"/>
          <w:lang w:val="sq-AL"/>
        </w:rPr>
        <w:t xml:space="preserve"> Përkufizime dhe interpretime</w:t>
      </w:r>
    </w:p>
    <w:p w14:paraId="69F0C768" w14:textId="77777777" w:rsidR="0016646B" w:rsidRPr="008D0C28" w:rsidRDefault="0016646B" w:rsidP="0016646B">
      <w:pPr>
        <w:pStyle w:val="AAATEETE"/>
        <w:rPr>
          <w:rFonts w:cs="Calibri"/>
          <w:color w:val="auto"/>
          <w:lang w:val="sq-AL"/>
        </w:rPr>
      </w:pPr>
      <w:r w:rsidRPr="008D0C28">
        <w:rPr>
          <w:color w:val="auto"/>
          <w:lang w:val="sq-AL"/>
        </w:rPr>
        <w:t>Neni 3</w:t>
      </w:r>
      <w:r>
        <w:rPr>
          <w:color w:val="auto"/>
          <w:lang w:val="sq-AL"/>
        </w:rPr>
        <w:t>:</w:t>
      </w:r>
      <w:r w:rsidRPr="008D0C28">
        <w:rPr>
          <w:color w:val="auto"/>
          <w:lang w:val="sq-AL"/>
        </w:rPr>
        <w:t xml:space="preserve"> Projekti i nivelit të lartë për zgjidhjen e përbashkët</w:t>
      </w:r>
    </w:p>
    <w:p w14:paraId="551EE10F" w14:textId="77777777" w:rsidR="0016646B" w:rsidRPr="008D0C28" w:rsidRDefault="0016646B" w:rsidP="0016646B">
      <w:pPr>
        <w:pStyle w:val="AAATEETE"/>
        <w:rPr>
          <w:rFonts w:cs="Calibri"/>
          <w:color w:val="auto"/>
          <w:lang w:val="sq-AL"/>
        </w:rPr>
      </w:pPr>
      <w:r w:rsidRPr="008D0C28">
        <w:rPr>
          <w:color w:val="auto"/>
          <w:lang w:val="sq-AL"/>
        </w:rPr>
        <w:t>Neni 4</w:t>
      </w:r>
      <w:r>
        <w:rPr>
          <w:color w:val="auto"/>
          <w:lang w:val="sq-AL"/>
        </w:rPr>
        <w:t>:</w:t>
      </w:r>
      <w:r w:rsidRPr="008D0C28">
        <w:rPr>
          <w:color w:val="auto"/>
          <w:lang w:val="sq-AL"/>
        </w:rPr>
        <w:t xml:space="preserve"> Zbatimi i zgjidhjes së përbashkët</w:t>
      </w:r>
    </w:p>
    <w:p w14:paraId="1CACD518" w14:textId="77777777" w:rsidR="0016646B" w:rsidRPr="008D0C28" w:rsidRDefault="0016646B" w:rsidP="0016646B">
      <w:pPr>
        <w:pStyle w:val="AAATEETE"/>
        <w:rPr>
          <w:rFonts w:cs="Calibri"/>
          <w:color w:val="auto"/>
          <w:lang w:val="sq-AL"/>
        </w:rPr>
      </w:pPr>
      <w:r w:rsidRPr="008D0C28">
        <w:rPr>
          <w:color w:val="auto"/>
          <w:lang w:val="sq-AL"/>
        </w:rPr>
        <w:t>Neni 5</w:t>
      </w:r>
      <w:r>
        <w:rPr>
          <w:color w:val="auto"/>
          <w:lang w:val="sq-AL"/>
        </w:rPr>
        <w:t>:</w:t>
      </w:r>
      <w:r w:rsidRPr="008D0C28">
        <w:rPr>
          <w:color w:val="auto"/>
          <w:lang w:val="sq-AL"/>
        </w:rPr>
        <w:t xml:space="preserve"> Funksionet e shlyerjes së përbashkët</w:t>
      </w:r>
    </w:p>
    <w:p w14:paraId="2D77A8A0" w14:textId="77777777" w:rsidR="0016646B" w:rsidRPr="008D0C28" w:rsidRDefault="0016646B" w:rsidP="0016646B">
      <w:pPr>
        <w:pStyle w:val="AAATEETE"/>
        <w:rPr>
          <w:rFonts w:cs="Calibri"/>
          <w:color w:val="auto"/>
          <w:lang w:val="sq-AL"/>
        </w:rPr>
      </w:pPr>
      <w:r w:rsidRPr="008D0C28">
        <w:rPr>
          <w:color w:val="auto"/>
          <w:lang w:val="sq-AL"/>
        </w:rPr>
        <w:t>Neni 6</w:t>
      </w:r>
      <w:r>
        <w:rPr>
          <w:color w:val="auto"/>
          <w:lang w:val="sq-AL"/>
        </w:rPr>
        <w:t>:</w:t>
      </w:r>
      <w:r w:rsidRPr="008D0C28">
        <w:rPr>
          <w:color w:val="auto"/>
          <w:lang w:val="sq-AL"/>
        </w:rPr>
        <w:t xml:space="preserve"> Periudha e shlyerjes</w:t>
      </w:r>
    </w:p>
    <w:p w14:paraId="628CD0B9" w14:textId="77777777" w:rsidR="0016646B" w:rsidRPr="008D0C28" w:rsidRDefault="0016646B" w:rsidP="0016646B">
      <w:pPr>
        <w:pStyle w:val="AAATEETE"/>
        <w:rPr>
          <w:rFonts w:cs="Calibri"/>
          <w:color w:val="auto"/>
          <w:lang w:val="sq-AL"/>
        </w:rPr>
      </w:pPr>
      <w:r w:rsidRPr="008D0C28">
        <w:rPr>
          <w:color w:val="auto"/>
          <w:lang w:val="sq-AL"/>
        </w:rPr>
        <w:t>Neni 7</w:t>
      </w:r>
      <w:r>
        <w:rPr>
          <w:color w:val="auto"/>
          <w:lang w:val="sq-AL"/>
        </w:rPr>
        <w:t>:</w:t>
      </w:r>
      <w:r w:rsidRPr="008D0C28">
        <w:rPr>
          <w:color w:val="auto"/>
          <w:lang w:val="sq-AL"/>
        </w:rPr>
        <w:t xml:space="preserve"> Përcaktimi i volumit për periudhën e shlyerjes TSO–TSO</w:t>
      </w:r>
      <w:r w:rsidRPr="008D0C28">
        <w:rPr>
          <w:rFonts w:cs="Calibri"/>
          <w:color w:val="auto"/>
          <w:lang w:val="sq-AL"/>
        </w:rPr>
        <w:t xml:space="preserve"> </w:t>
      </w:r>
    </w:p>
    <w:p w14:paraId="4F3037CD" w14:textId="77777777" w:rsidR="0016646B" w:rsidRPr="008D0C28" w:rsidRDefault="0016646B" w:rsidP="0016646B">
      <w:pPr>
        <w:pStyle w:val="AAATEETE"/>
        <w:rPr>
          <w:rFonts w:cs="Calibri"/>
          <w:color w:val="auto"/>
          <w:lang w:val="sq-AL"/>
        </w:rPr>
      </w:pPr>
      <w:r w:rsidRPr="008D0C28">
        <w:rPr>
          <w:color w:val="auto"/>
          <w:lang w:val="sq-AL"/>
        </w:rPr>
        <w:t>Neni 8</w:t>
      </w:r>
      <w:r>
        <w:rPr>
          <w:color w:val="auto"/>
          <w:lang w:val="sq-AL"/>
        </w:rPr>
        <w:t>:</w:t>
      </w:r>
      <w:r w:rsidRPr="008D0C28">
        <w:rPr>
          <w:color w:val="auto"/>
          <w:lang w:val="sq-AL"/>
        </w:rPr>
        <w:t xml:space="preserve"> Rregullat e tarifimit për shkëmbimet TSO–TSO brenda SA CE</w:t>
      </w:r>
    </w:p>
    <w:p w14:paraId="07D99136" w14:textId="77777777" w:rsidR="0016646B" w:rsidRPr="008D0C28" w:rsidRDefault="0016646B" w:rsidP="0016646B">
      <w:pPr>
        <w:pStyle w:val="AAATEETE"/>
        <w:rPr>
          <w:rFonts w:cs="Calibri"/>
          <w:color w:val="auto"/>
          <w:lang w:val="sq-AL"/>
        </w:rPr>
      </w:pPr>
      <w:r w:rsidRPr="008D0C28">
        <w:rPr>
          <w:color w:val="auto"/>
          <w:lang w:val="sq-AL"/>
        </w:rPr>
        <w:t>Neni 9</w:t>
      </w:r>
      <w:r>
        <w:rPr>
          <w:color w:val="auto"/>
          <w:lang w:val="sq-AL"/>
        </w:rPr>
        <w:t>:</w:t>
      </w:r>
      <w:r w:rsidRPr="008D0C28">
        <w:rPr>
          <w:color w:val="auto"/>
          <w:lang w:val="sq-AL"/>
        </w:rPr>
        <w:t xml:space="preserve"> Botimi dhe zbatimi i CCU</w:t>
      </w:r>
      <w:r w:rsidRPr="008D0C28">
        <w:rPr>
          <w:rFonts w:cs="Calibri"/>
          <w:color w:val="auto"/>
          <w:lang w:val="sq-AL"/>
        </w:rPr>
        <w:t xml:space="preserve"> </w:t>
      </w:r>
    </w:p>
    <w:p w14:paraId="40A48102" w14:textId="77777777" w:rsidR="0016646B" w:rsidRPr="008D0C28" w:rsidRDefault="0016646B" w:rsidP="0016646B">
      <w:pPr>
        <w:pStyle w:val="AAATEETE"/>
        <w:rPr>
          <w:rFonts w:cs="Calibri"/>
          <w:color w:val="auto"/>
          <w:lang w:val="sq-AL"/>
        </w:rPr>
      </w:pPr>
      <w:r w:rsidRPr="008D0C28">
        <w:rPr>
          <w:color w:val="auto"/>
          <w:lang w:val="sq-AL"/>
        </w:rPr>
        <w:t>Neni 10</w:t>
      </w:r>
      <w:r>
        <w:rPr>
          <w:color w:val="auto"/>
          <w:lang w:val="sq-AL"/>
        </w:rPr>
        <w:t>:</w:t>
      </w:r>
      <w:r w:rsidRPr="008D0C28">
        <w:rPr>
          <w:color w:val="auto"/>
          <w:lang w:val="sq-AL"/>
        </w:rPr>
        <w:t xml:space="preserve"> Gjuha</w:t>
      </w:r>
      <w:r w:rsidRPr="008D0C28">
        <w:rPr>
          <w:rFonts w:cs="Calibri"/>
          <w:color w:val="auto"/>
          <w:lang w:val="sq-AL"/>
        </w:rPr>
        <w:t xml:space="preserve"> </w:t>
      </w:r>
    </w:p>
    <w:p w14:paraId="01F61301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843C8B5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 gjitha TSO-të e Evropës Kontinentale, marrin në konsideratë sa më poshtë vijon:</w:t>
      </w:r>
    </w:p>
    <w:p w14:paraId="3B779C33" w14:textId="77777777" w:rsidR="0016646B" w:rsidRPr="008D0C28" w:rsidRDefault="0016646B" w:rsidP="0016646B">
      <w:pPr>
        <w:pStyle w:val="AAATEETE"/>
        <w:rPr>
          <w:lang w:val="sq-AL"/>
        </w:rPr>
      </w:pPr>
    </w:p>
    <w:p w14:paraId="76B03634" w14:textId="77777777" w:rsidR="0016646B" w:rsidRPr="008D0C28" w:rsidRDefault="0016646B" w:rsidP="0016646B">
      <w:pPr>
        <w:pStyle w:val="AAATEETE"/>
        <w:jc w:val="center"/>
        <w:rPr>
          <w:b/>
          <w:lang w:val="sq-AL"/>
        </w:rPr>
      </w:pPr>
      <w:r w:rsidRPr="008D0C28">
        <w:rPr>
          <w:b/>
          <w:lang w:val="sq-AL"/>
        </w:rPr>
        <w:t>Parathënie</w:t>
      </w:r>
    </w:p>
    <w:p w14:paraId="611C5563" w14:textId="77777777" w:rsidR="0016646B" w:rsidRPr="008D0C28" w:rsidRDefault="0016646B" w:rsidP="0016646B">
      <w:pPr>
        <w:pStyle w:val="AAATEETE"/>
        <w:rPr>
          <w:lang w:val="sq-AL"/>
        </w:rPr>
      </w:pPr>
    </w:p>
    <w:p w14:paraId="17049168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1. Ky dokument është një propozim i përbashkët i zhvilluar nga të gjithë Operatorët e Sistemit të Transmisionit në Zonën Sinkronike të Evropës Kontinentale (në vijim referuar si “TSO-të e CE-së”) në lidhje me zhvillimin e rregullave të përbashkëta të shlyerjes për të gjitha shkëmbimet e energjisë të paqëllimshme (në tekstin e mëposhtëm “shkëmbime të paqëllimshme”) në përputhje me nenin 51 (1) të rregullores së Komisionit (BE) 2017/2195, të 23 nëntorit 2017, për krijimin e një udhëzuesi mbi balancimin e energjisë elektrike (në tekstin e mëposhtëm “</w:t>
      </w:r>
      <w:r w:rsidRPr="008D0C2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EBGL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”). Ky propozim më poshtë quhet “</w:t>
      </w:r>
      <w:r w:rsidRPr="008D0C2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CCU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”, i cili nënkupton ‘rregullat e përbashkëta të shlyerjes për Evropën Kontinentale për të gjitha shkëmbimet e paqëllimshme të energjisë’</w:t>
      </w:r>
    </w:p>
    <w:p w14:paraId="254AFF7A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2. K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jo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CCU merr parasysh parimet dhe qëllimet e përgjithshme të përcaktuara në EBGL, si dhe Rregulloren (EC) nr. 714/2009 të Parlamentit Evropian dhe të Këshillit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datës 13 korrik 2009, mbi kushtet e aksesit në rrjet për shkëmbimet ndër-kufitare të energjisë elektrike (më poshtë “</w:t>
      </w:r>
      <w:r w:rsidRPr="008D0C2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Rregullorja për Energjinë Elektrike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”)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Rregullorja (KE) nr. 2017/1485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datës 2 gusht 2017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krijimin e një udhëzuesi mbi operimin e sistemit të transmetimit të energjisë elektrike (më poshtë referuar si “</w:t>
      </w:r>
      <w:r w:rsidRPr="008D0C2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SOGL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”). Qëllimi i EBGL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integrimi i tregjeve të balancimit të energjisë. Integrimi i tregjeve të balancimit të energjisë duhet të lehtësohet me krijimin e platformave të përbashkëta evropiane për operimin e procesit të netimit të disbalancave dhe mundësimin e shkëmbimit të energjisë balancuese nga rezervat e restaurimit të frekuencave dhe rezervat zëvendësuese. Bashkëpunimi midis TSO-ve duhet të kufizohet rreptësisht në atë që është e nevojshme për projektimin, zbatimin dhe funksionimin efikas dhe të sigurt të këtyre platformave Evropiane.</w:t>
      </w:r>
    </w:p>
    <w:p w14:paraId="4937A3BE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3. Nenet 51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(1), 51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(3) dhe 51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(4) përcakton afatin për dorëzimin e CCU-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tek autoritetet përkatëse rregullatore dhe disa kërkesa specifike për përmbajtjen e tyre:</w:t>
      </w:r>
    </w:p>
    <w:p w14:paraId="7691813E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</w:t>
      </w:r>
      <w:r w:rsidRPr="00B40A8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1.</w:t>
      </w:r>
      <w:r w:rsidRPr="008D0C2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Deri në tetëmbëdhjetë muaj pas hyrjes në fuqi të kësaj Rregulloreje, të gjithë TSO-të e një zone sinkron do të zhvillojnë një propozim për rregullat e përbashkëta të shlyerjes të zbatueshme për të gjitha shkëmbimet e energjisë e paqëllimshme. Propozimi duhet të përfshijë kërkesat e mëposhtme:</w:t>
      </w:r>
    </w:p>
    <w:p w14:paraId="471823D4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a) çmimi për shkëmbimet e paqëllimshme të energjisë të tërhequr nga zona sinkron do të pasqyrojë çmimet për energjinë balancuese të aktivizuar lart për procesin e restaurimit të frekuencave ose procesin e zëvendësimit të rezervës për këtë zonë sinkron;</w:t>
      </w:r>
    </w:p>
    <w:p w14:paraId="0423630C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b) çmimi për shkëmbimet e paqëllimshme të energjisë të injektuara në zonën sinkron do të pasqyrojë çmimet për energjinë balancuese të aktivizuar në rënie për procesin e restaurimit të frekuencës ose procesin e zëvendësimit të rezervës për këtë zonë sinkron;</w:t>
      </w:r>
    </w:p>
    <w:p w14:paraId="5C9B6D78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lastRenderedPageBreak/>
        <w:t>2. Propozimet e rregullave të përbashkëta të shlyerjes së shkëmbimeve të paqëllimshme të energjisë ndërmjet TSO-ve do të sigurojnë shpërndarje të drejtë dhe të barabartë të kostove dhe përfitimeve ndërmjet tyre.</w:t>
      </w:r>
    </w:p>
    <w:p w14:paraId="51C37194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3. Të gjitha TSO-të do të krijojnë një mekanizëm të koordinuar për rregullimet e shlyerjeve ndërmjet tyre.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”.</w:t>
      </w:r>
    </w:p>
    <w:p w14:paraId="51E92490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4. CCU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kontribuon në objektivin e mosdiskriminimit dhe transparencës në balancimin e tregjeve në pajtim me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nenin 3 (1) (a) dhe nenet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3 (2) (a) dhe 3 (2) (b) të EBGL-së, të njëjtat rregulla të shlyerjes do të zbatohen në të gjithë Zonën Sinkronike të Evropës Kontinentale dhe ato do të jenë në dispozicion të publikut.</w:t>
      </w:r>
    </w:p>
    <w:p w14:paraId="782C946E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5. CCU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kontribuon në objektivin e rritjes së efikasitetit të tregjeve Evropiane dhe kombëtare të balancimit, në përputhje me nenin 3 (1) (b) të EBGL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 duke qenë se programi i kompensimit zëvendësohet me rregullat e përbashkëta të shlyerjes të zbatueshme për të gjithë Zonën Sinkronike të Evropës Kontinentale.</w:t>
      </w:r>
    </w:p>
    <w:p w14:paraId="61474448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6. CCU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shërben kërkesës së nenit 3 (2) (h) të EBGL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duke qenë se kuadri teknik i propozuar bazohet në standardet evropiane të miratuara që tashmë janë në veprim.</w:t>
      </w:r>
    </w:p>
    <w:p w14:paraId="061375F8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7. CCU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u zhvillua duke marrë parasysh konsistencën me rregullat e shlyerjes së shkëmbimeve të energjisë të synuara si rezultat i procesit të kontrollit të frekuencave dhe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periudhës së ndryshimit (rritje/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ulje) brenda Zonës Sinkronike të Evropës Kontinentale në përputhje me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enin 50 (3) të EBGL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33A16F94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8. CCU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u zhvillua duke marrë parasysh konsistencën me rregullat e shlyerjes së shkëmbimeve të synuara midis zonave sinkronike në përputhje me nenin 50 (4) të EBGL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shkëmbimet e paqëllimshme në përputhje me nenin 51 (2) të EBGL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53425B5A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9. Në përfundim, CCU-ja kontribuon në objektivat e përgjithshme të EBGL-së.</w:t>
      </w:r>
    </w:p>
    <w:p w14:paraId="33B77CB0" w14:textId="77777777" w:rsidR="0016646B" w:rsidRPr="008D0C28" w:rsidRDefault="0016646B" w:rsidP="0016646B">
      <w:pPr>
        <w:pStyle w:val="AAATEETE"/>
        <w:jc w:val="center"/>
        <w:rPr>
          <w:lang w:val="sq-AL"/>
        </w:rPr>
      </w:pPr>
    </w:p>
    <w:p w14:paraId="2137427B" w14:textId="77777777" w:rsidR="0016646B" w:rsidRPr="008D0C28" w:rsidRDefault="0016646B" w:rsidP="0016646B">
      <w:pPr>
        <w:pStyle w:val="AAATEETE"/>
        <w:jc w:val="center"/>
        <w:rPr>
          <w:b/>
          <w:bCs/>
          <w:lang w:val="sq-AL"/>
        </w:rPr>
      </w:pPr>
      <w:r w:rsidRPr="008D0C28">
        <w:rPr>
          <w:b/>
          <w:bCs/>
          <w:lang w:val="sq-AL"/>
        </w:rPr>
        <w:t>Shkurtime</w:t>
      </w:r>
    </w:p>
    <w:p w14:paraId="5FFE3AA7" w14:textId="77777777" w:rsidR="0016646B" w:rsidRPr="008D0C28" w:rsidRDefault="0016646B" w:rsidP="0016646B">
      <w:pPr>
        <w:pStyle w:val="AAATEETE"/>
        <w:jc w:val="center"/>
        <w:rPr>
          <w:b/>
          <w:bCs/>
          <w:lang w:val="sq-AL"/>
        </w:rPr>
      </w:pPr>
    </w:p>
    <w:p w14:paraId="371D0DEE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Lista e shkurtimeve të përdorura në këtë CCU është si në vijim: </w:t>
      </w:r>
    </w:p>
    <w:p w14:paraId="70AC4790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 ACE: Gabim i zonës së kontrollit;</w:t>
      </w:r>
    </w:p>
    <w:p w14:paraId="1C4252EE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 ACER: Agjencia për Bashkëpunimin e Rregullatorëve të Energjisë;</w:t>
      </w:r>
    </w:p>
    <w:p w14:paraId="3774326D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 ANES: programet e jashtme të bashkuara të rrjeteve;</w:t>
      </w:r>
    </w:p>
    <w:p w14:paraId="7FBF61C0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 CCFR: rregullat e zakonshme të shlyerjes për Evropën Kontinentale, për shkëmbimet e energjisë të synuara si rezultat i procesit të kontrollit të frekuencës dhe periudhës së ndryshimit (rritje/ulje);</w:t>
      </w:r>
    </w:p>
    <w:p w14:paraId="6C160100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 CCU: rregullat e përbashkëta të shlyerjes për Evropën Kontinentale për të gjitha shkëmbimet e energjisë të paqëllimshme;</w:t>
      </w:r>
    </w:p>
    <w:p w14:paraId="23315FC1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 EBGL: Rregullorja e Komisionit (BE) 2017/2195, e 23 nëntorit 2017, për krijimin e një udhëzuesi mbi balancimin e energjisë elektrike;</w:t>
      </w:r>
    </w:p>
    <w:p w14:paraId="3833213E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 Rregullorja e energjisë elektrike: rregullorja (EC) nr. 714/2009, e Parlamentit Evropian dhe e Këshillit, e datës 13 korrik 2009, mbi kushtet për akses në rrjet për shkëmbimet ndërkufitare të energjisë elektrike;</w:t>
      </w:r>
    </w:p>
    <w:p w14:paraId="1C8F0EDC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 Zona LFC: zona e kontrollit të frekuencës së ngarkesës;</w:t>
      </w:r>
    </w:p>
    <w:p w14:paraId="3739BE67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 Blloku LFC: blloku i kontrollit të frekuencës së ngarkesës;</w:t>
      </w:r>
    </w:p>
    <w:p w14:paraId="3D4A3CE6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 SA CE: zona sinkronike e Evropës Kontinentale;</w:t>
      </w:r>
    </w:p>
    <w:p w14:paraId="640F2855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 SOGL: Rregullorja (KE) nr. 2017/1485, e datës 2 gusht 2017, për krijimin e një udhëzuesi mbi operimin e sistemit të transmetimit të energjisë elektrike;</w:t>
      </w:r>
    </w:p>
    <w:p w14:paraId="348B2A7C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 TSO: Operatori i Sistemit të Transmetimit.</w:t>
      </w:r>
    </w:p>
    <w:p w14:paraId="59E99636" w14:textId="77777777" w:rsidR="0016646B" w:rsidRPr="008D0C28" w:rsidRDefault="0016646B" w:rsidP="0016646B">
      <w:pPr>
        <w:pStyle w:val="AAATEETE"/>
        <w:jc w:val="center"/>
        <w:rPr>
          <w:lang w:val="sq-AL"/>
        </w:rPr>
      </w:pPr>
    </w:p>
    <w:p w14:paraId="7134742D" w14:textId="77777777" w:rsidR="0016646B" w:rsidRPr="008D0C28" w:rsidRDefault="0016646B" w:rsidP="0016646B">
      <w:pPr>
        <w:pStyle w:val="AAATEETE"/>
        <w:jc w:val="center"/>
        <w:rPr>
          <w:lang w:val="sq-AL"/>
        </w:rPr>
      </w:pPr>
      <w:r w:rsidRPr="008D0C28">
        <w:rPr>
          <w:lang w:val="sq-AL"/>
        </w:rPr>
        <w:t>Neni 1</w:t>
      </w:r>
    </w:p>
    <w:p w14:paraId="0459C508" w14:textId="77777777" w:rsidR="0016646B" w:rsidRPr="008D0C28" w:rsidRDefault="0016646B" w:rsidP="0016646B">
      <w:pPr>
        <w:pStyle w:val="AAATEETE"/>
        <w:jc w:val="center"/>
        <w:rPr>
          <w:b/>
          <w:lang w:val="sq-AL"/>
        </w:rPr>
      </w:pPr>
      <w:r w:rsidRPr="008D0C28">
        <w:rPr>
          <w:b/>
          <w:lang w:val="sq-AL"/>
        </w:rPr>
        <w:lastRenderedPageBreak/>
        <w:t>Objekti dhe qëllimi</w:t>
      </w:r>
    </w:p>
    <w:p w14:paraId="02E87FEE" w14:textId="77777777" w:rsidR="0016646B" w:rsidRPr="008D0C28" w:rsidRDefault="0016646B" w:rsidP="0016646B">
      <w:pPr>
        <w:pStyle w:val="AAATEETE"/>
        <w:jc w:val="center"/>
        <w:rPr>
          <w:lang w:val="sq-AL"/>
        </w:rPr>
      </w:pPr>
    </w:p>
    <w:p w14:paraId="2C806D88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1. Rregullat e zakonshme të shlyerjes për të gjitha shkëmbimet e paqëllimshme të energjisë, siç përcaktohen në këtë CCU, janë propozim i përbashkët i të gjithë TSO-ve të SA CE-së, në përputhje me nenin 51 (1) të EBGL-së.</w:t>
      </w:r>
    </w:p>
    <w:p w14:paraId="55F6CA5B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2. Rregullat e mëposhtme të shlyerjes janë jashtë fushëveprimit të CCU-së:</w:t>
      </w:r>
    </w:p>
    <w:p w14:paraId="77BDEEA1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a) rregullat e përbashkëta të shlyerjes për shkëmbimet e energjisë së qëllimshme, në pajtim me nenin 50 (1) të EBGL-së;</w:t>
      </w:r>
    </w:p>
    <w:p w14:paraId="4C789411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b) rregullat e përbashkëta të shlyerjes për të gjitha shkëmbimet e qëllimshme të energjisë, në pajtim me nenin 50 (3) të EBGL-së;</w:t>
      </w:r>
    </w:p>
    <w:p w14:paraId="48D53A80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rregullat e përbashkëta të shlyerjes për shkëmbimet e qëllimshme të energjisë, në përputhje me nenin 50 (4) të EBGL-së; </w:t>
      </w:r>
    </w:p>
    <w:p w14:paraId="373210AD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d) rregullat e përbashkëta të shlyerjes për shkëmbimin e paqëllimshëm të energjisë, në përputhje me nenin 51 (2) të EBGL-së.</w:t>
      </w:r>
    </w:p>
    <w:p w14:paraId="16B67DF7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3. Qeverisja, ndarja e kostos dhe vendimmarrja do të organizohen sipas kërkesave të EBGL-së, por nuk janë brenda fushëveprimit të kësaj CCU-je.</w:t>
      </w:r>
    </w:p>
    <w:p w14:paraId="720B1A49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EFC4D25" w14:textId="77777777" w:rsidR="0016646B" w:rsidRPr="008D0C28" w:rsidRDefault="0016646B" w:rsidP="0016646B">
      <w:pPr>
        <w:pStyle w:val="AAATEETE"/>
        <w:jc w:val="center"/>
        <w:rPr>
          <w:lang w:val="sq-AL"/>
        </w:rPr>
      </w:pPr>
      <w:r w:rsidRPr="008D0C28">
        <w:rPr>
          <w:lang w:val="sq-AL"/>
        </w:rPr>
        <w:t>Neni 2</w:t>
      </w:r>
    </w:p>
    <w:p w14:paraId="20284A34" w14:textId="77777777" w:rsidR="0016646B" w:rsidRPr="008D0C28" w:rsidRDefault="0016646B" w:rsidP="0016646B">
      <w:pPr>
        <w:pStyle w:val="AAATEETE"/>
        <w:jc w:val="center"/>
        <w:rPr>
          <w:b/>
          <w:lang w:val="sq-AL"/>
        </w:rPr>
      </w:pPr>
      <w:r w:rsidRPr="008D0C28">
        <w:rPr>
          <w:b/>
          <w:lang w:val="sq-AL"/>
        </w:rPr>
        <w:t>Përkufizime dhe interpretime</w:t>
      </w:r>
    </w:p>
    <w:p w14:paraId="44B3647D" w14:textId="77777777" w:rsidR="0016646B" w:rsidRPr="008D0C28" w:rsidRDefault="0016646B" w:rsidP="0016646B">
      <w:pPr>
        <w:pStyle w:val="AAATEETE"/>
        <w:rPr>
          <w:lang w:val="sq-AL"/>
        </w:rPr>
      </w:pPr>
    </w:p>
    <w:p w14:paraId="3122E0B5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1. Për qëllimet e kësaj CCU-je, termat e përdorur do të kenë përkufizimet që u janë dhënë atyre në nenin 2 të EBGL-së dhe në nenin 3 të SOGL-së.</w:t>
      </w:r>
    </w:p>
    <w:p w14:paraId="22135CAB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2. Përveç kësaj, në këtë CCU do të zbatohen kushtet e mëposhtme:</w:t>
      </w:r>
    </w:p>
    <w:p w14:paraId="5BD6C896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a) “Të dhënat e llogaritjes së energjisë në kufi” janë rezultat i një marrëveshjeje ndërmjet dy TSO-ve, në lidhje me energjinë fizike të shkëmbyer mbi një linjë fizike ose që konsiderohet nëpërmjet një linje lidhëse virtuale dhe rrjedh nga të dhënat e matura të vlerësuara;</w:t>
      </w:r>
    </w:p>
    <w:p w14:paraId="59DA12BC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b) “CCFR” i referohet ‘Të gjitha propozimeve të TSO-ve kontinentale evropiane për rregullat e shlyerjeve të përbashkëta, për të gjitha shkëmbimet e energjisë së paqëllimshme si rezultat i procesit të kontrollit të frekuencave dhe periudhës së ndryshimit (rritje/ulje), në përputhje me nenin 50 (3), të rregullores së Komisionit (BE) 2017/2195, të 23 nëntorit 2017, për krijimin e një udhëzuesi mbi balancimin e energjisë elektrike’;</w:t>
      </w:r>
    </w:p>
    <w:p w14:paraId="1E0D93E2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c) “Periudha e shlyerjes TSO–TSO” do të thotë, në kontekstin e kësaj CCU-je, njësia kohore për të cilën llogaritet shkëmbimi i paqëllimshëm i energjisë dhe shkëmbimet e energjisë, të synuara si rezultat i procesit të kontrollit të frekuencës dhe periudhës së ndryshimit (rritje/ulje);</w:t>
      </w:r>
    </w:p>
    <w:p w14:paraId="09EF19ED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d) “Shkëmbimet e paqëllimshme të energjisë” janë të barabarta me integralin e gabimit të zonës së kontrollit (ACE), sipas nenit 3 të SOGL-së mbi një periudhë shlyerjeje TSO–TSO.</w:t>
      </w:r>
    </w:p>
    <w:p w14:paraId="34C23DE3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3. Në këtë CCU, përveç nëse konteksti kërkon ndryshe:</w:t>
      </w:r>
    </w:p>
    <w:p w14:paraId="1ACD0E6D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a) çmimet për shkëmbimet e energjisë së paqëllimshme tregohen në EUR/mwh;</w:t>
      </w:r>
    </w:p>
    <w:p w14:paraId="47AF20B9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b) “Evropa kontinentale” dhe “SA CE” nënkuptojnë Zonën Sinkronike të Evropës Kontinentale.</w:t>
      </w:r>
    </w:p>
    <w:p w14:paraId="24872ABB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4. Përveç kësaj, nëse konteksti e kërkon ndryshe:</w:t>
      </w:r>
    </w:p>
    <w:p w14:paraId="707F1362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a) njëjësi tregon shumësin dhe anasjelltas;</w:t>
      </w:r>
    </w:p>
    <w:p w14:paraId="5617936E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b) tabela e përmbajtjeve dhe titujt vendosen vetëm për lehtësi dhe nuk ndikojnë në interpretimin e kësaj CCU-je;</w:t>
      </w:r>
    </w:p>
    <w:p w14:paraId="617FD47A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c) çdo referencë në legjislacion, rregullore, direktivë, urdhër, instrument, kod ose ndonjë akt tjetër do të përfshijë çdo modifikim, zgjatje ose rimiratim të tij në fuqi.</w:t>
      </w:r>
    </w:p>
    <w:p w14:paraId="00072D48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5. Shlyerja sipas nenit 3 (9)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kësaj CCU-je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duhet të ndjekë konventën e shenjave në tabelën 1.</w:t>
      </w:r>
    </w:p>
    <w:p w14:paraId="2E60D848" w14:textId="77777777" w:rsidR="0016646B" w:rsidRPr="008D0C28" w:rsidRDefault="0016646B" w:rsidP="0016646B">
      <w:pPr>
        <w:pStyle w:val="textregular"/>
        <w:spacing w:after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45613AE" w14:textId="77777777" w:rsidR="0016646B" w:rsidRPr="00EB624B" w:rsidRDefault="0016646B" w:rsidP="0016646B">
      <w:pPr>
        <w:spacing w:after="0" w:line="240" w:lineRule="auto"/>
        <w:rPr>
          <w:rFonts w:ascii="Garamond" w:hAnsi="Garamond" w:cs="Times New Roman"/>
          <w:bCs/>
          <w:sz w:val="24"/>
          <w:szCs w:val="24"/>
          <w:lang w:val="sq-AL"/>
        </w:rPr>
      </w:pPr>
      <w:r w:rsidRPr="00EB624B">
        <w:rPr>
          <w:rFonts w:ascii="Garamond" w:hAnsi="Garamond" w:cs="Times New Roman"/>
          <w:bCs/>
          <w:sz w:val="24"/>
          <w:szCs w:val="24"/>
          <w:lang w:val="sq-AL"/>
        </w:rPr>
        <w:t>Tabela 1. Drejtimi i pagesës për shlyerjen e TSO-së sipas CCU-së</w:t>
      </w:r>
    </w:p>
    <w:tbl>
      <w:tblPr>
        <w:tblStyle w:val="Tabelraster1"/>
        <w:tblW w:w="0" w:type="auto"/>
        <w:tblInd w:w="421" w:type="dxa"/>
        <w:tblLook w:val="04A0" w:firstRow="1" w:lastRow="0" w:firstColumn="1" w:lastColumn="0" w:noHBand="0" w:noVBand="1"/>
      </w:tblPr>
      <w:tblGrid>
        <w:gridCol w:w="2664"/>
        <w:gridCol w:w="2864"/>
        <w:gridCol w:w="2977"/>
      </w:tblGrid>
      <w:tr w:rsidR="0016646B" w:rsidRPr="00EB624B" w14:paraId="7FC865D3" w14:textId="77777777" w:rsidTr="005A0B5A"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DD34E" w14:textId="77777777" w:rsidR="0016646B" w:rsidRPr="00EB624B" w:rsidRDefault="0016646B" w:rsidP="005A0B5A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B624B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lastRenderedPageBreak/>
              <w:t xml:space="preserve"> 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009B0" w14:textId="77777777" w:rsidR="0016646B" w:rsidRPr="00EB624B" w:rsidRDefault="0016646B" w:rsidP="005A0B5A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B624B">
              <w:rPr>
                <w:rFonts w:ascii="Garamond" w:hAnsi="Garamond" w:cs="Times New Roman"/>
                <w:sz w:val="20"/>
                <w:szCs w:val="20"/>
                <w:lang w:val="sq-AL"/>
              </w:rPr>
              <w:t>Çmimi i shlyerjes TSO–TSO: pozitiv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0812D" w14:textId="77777777" w:rsidR="0016646B" w:rsidRPr="00EB624B" w:rsidRDefault="0016646B" w:rsidP="005A0B5A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B624B">
              <w:rPr>
                <w:rFonts w:ascii="Garamond" w:hAnsi="Garamond" w:cs="Times New Roman"/>
                <w:sz w:val="20"/>
                <w:szCs w:val="20"/>
                <w:lang w:val="sq-AL"/>
              </w:rPr>
              <w:t>Çmimi i shlyerjes TSO–TSO: negativ</w:t>
            </w:r>
          </w:p>
        </w:tc>
      </w:tr>
      <w:tr w:rsidR="0016646B" w:rsidRPr="00EB624B" w14:paraId="779C3E21" w14:textId="77777777" w:rsidTr="005A0B5A"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73E9F" w14:textId="77777777" w:rsidR="0016646B" w:rsidRPr="00EB624B" w:rsidRDefault="0016646B" w:rsidP="005A0B5A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B624B">
              <w:rPr>
                <w:rFonts w:ascii="Garamond" w:hAnsi="Garamond" w:cs="Times New Roman"/>
                <w:sz w:val="20"/>
                <w:szCs w:val="20"/>
                <w:lang w:val="sq-AL"/>
              </w:rPr>
              <w:t>Vëllimi i shlyerjes së TSO-së: pozitiv (eksportet e TSO-së)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A340D" w14:textId="77777777" w:rsidR="0016646B" w:rsidRPr="00EB624B" w:rsidRDefault="0016646B" w:rsidP="005A0B5A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B624B">
              <w:rPr>
                <w:rFonts w:ascii="Garamond" w:hAnsi="Garamond" w:cs="Times New Roman"/>
                <w:sz w:val="20"/>
                <w:szCs w:val="20"/>
                <w:lang w:val="sq-AL"/>
              </w:rPr>
              <w:t>Pagesa për TSO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-të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BABD8" w14:textId="77777777" w:rsidR="0016646B" w:rsidRPr="00EB624B" w:rsidRDefault="0016646B" w:rsidP="005A0B5A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B624B">
              <w:rPr>
                <w:rFonts w:ascii="Garamond" w:hAnsi="Garamond" w:cs="Times New Roman"/>
                <w:sz w:val="20"/>
                <w:szCs w:val="20"/>
                <w:lang w:val="sq-AL"/>
              </w:rPr>
              <w:t>Pagesa nga TSO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-të</w:t>
            </w:r>
          </w:p>
        </w:tc>
      </w:tr>
      <w:tr w:rsidR="0016646B" w:rsidRPr="00EB624B" w14:paraId="50EA86FE" w14:textId="77777777" w:rsidTr="005A0B5A"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86ED3" w14:textId="77777777" w:rsidR="0016646B" w:rsidRPr="00EB624B" w:rsidRDefault="0016646B" w:rsidP="005A0B5A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B624B">
              <w:rPr>
                <w:rFonts w:ascii="Garamond" w:hAnsi="Garamond" w:cs="Times New Roman"/>
                <w:sz w:val="20"/>
                <w:szCs w:val="20"/>
                <w:lang w:val="sq-AL"/>
              </w:rPr>
              <w:t>Vëllimi i shlyerjes së TSO-së: negativ (importet e TSO-së)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071CA" w14:textId="77777777" w:rsidR="0016646B" w:rsidRPr="00EB624B" w:rsidRDefault="0016646B" w:rsidP="005A0B5A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B624B">
              <w:rPr>
                <w:rFonts w:ascii="Garamond" w:hAnsi="Garamond" w:cs="Times New Roman"/>
                <w:sz w:val="20"/>
                <w:szCs w:val="20"/>
                <w:lang w:val="sq-AL"/>
              </w:rPr>
              <w:t>Pagesa nga TSO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-të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A23C2" w14:textId="77777777" w:rsidR="0016646B" w:rsidRPr="00EB624B" w:rsidRDefault="0016646B" w:rsidP="005A0B5A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B624B">
              <w:rPr>
                <w:rFonts w:ascii="Garamond" w:hAnsi="Garamond" w:cs="Times New Roman"/>
                <w:sz w:val="20"/>
                <w:szCs w:val="20"/>
                <w:lang w:val="sq-AL"/>
              </w:rPr>
              <w:t>Pagesa për TSO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-të</w:t>
            </w:r>
          </w:p>
        </w:tc>
      </w:tr>
    </w:tbl>
    <w:p w14:paraId="50499CFB" w14:textId="77777777" w:rsidR="0016646B" w:rsidRPr="008D0C28" w:rsidRDefault="0016646B" w:rsidP="0016646B">
      <w:pPr>
        <w:spacing w:after="0" w:line="240" w:lineRule="auto"/>
        <w:rPr>
          <w:rFonts w:ascii="Garamond" w:hAnsi="Garamond" w:cs="Times New Roman"/>
          <w:b/>
          <w:sz w:val="24"/>
          <w:szCs w:val="24"/>
          <w:lang w:val="sq-AL"/>
        </w:rPr>
      </w:pPr>
    </w:p>
    <w:p w14:paraId="331839CD" w14:textId="77777777" w:rsidR="0016646B" w:rsidRPr="008D0C28" w:rsidRDefault="0016646B" w:rsidP="0016646B">
      <w:pPr>
        <w:pStyle w:val="AAATEETE"/>
        <w:jc w:val="center"/>
        <w:rPr>
          <w:lang w:val="sq-AL"/>
        </w:rPr>
      </w:pPr>
      <w:r w:rsidRPr="008D0C28">
        <w:rPr>
          <w:lang w:val="sq-AL"/>
        </w:rPr>
        <w:t>Neni 3</w:t>
      </w:r>
    </w:p>
    <w:p w14:paraId="436E4789" w14:textId="77777777" w:rsidR="0016646B" w:rsidRPr="008D0C28" w:rsidRDefault="0016646B" w:rsidP="0016646B">
      <w:pPr>
        <w:pStyle w:val="AAATEETE"/>
        <w:jc w:val="center"/>
        <w:rPr>
          <w:b/>
          <w:lang w:val="sq-AL"/>
        </w:rPr>
      </w:pPr>
      <w:r w:rsidRPr="008D0C28">
        <w:rPr>
          <w:b/>
          <w:lang w:val="sq-AL"/>
        </w:rPr>
        <w:t>Projekti i nivelit të lartë për zgjidhjen e përbashkët</w:t>
      </w:r>
    </w:p>
    <w:p w14:paraId="78BB3958" w14:textId="77777777" w:rsidR="0016646B" w:rsidRPr="008D0C28" w:rsidRDefault="0016646B" w:rsidP="0016646B">
      <w:pPr>
        <w:pStyle w:val="AAATEETE"/>
        <w:rPr>
          <w:lang w:val="sq-AL"/>
        </w:rPr>
      </w:pPr>
    </w:p>
    <w:p w14:paraId="4193D85C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1. Shlyerja e përbashkët e kryer nga TSO-të e SA CE në pajtim me këtë CCU do të përbëhet nga funksioni i logaritjes së energjisë në kufi, funksioni i shlyerjes së CCU-së dhe detyra e faturimit.</w:t>
      </w:r>
    </w:p>
    <w:p w14:paraId="5FE010C5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2. Njësia ose subjektet e ngarkuara me funksionin e llogaritjes së energjisë në kufi të CCU-së do të mbledhin të gjitha të dhënat e kërkuara për të llogaritur vlerat e shkëmbimeve të paqëllimshme për secilën periudhë shlyerjeje TSO–TSO.</w:t>
      </w:r>
    </w:p>
    <w:p w14:paraId="31F03D1E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3. Inputet në funksionin e llogaritjes së energjisë në kufi të CCU-së do të jenë:</w:t>
      </w:r>
    </w:p>
    <w:p w14:paraId="686582C9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a) të dhënat e llogaritjes së energjisë në kufi për periudhën e shlyerjes TSO–TSO dhe për zonën e LFC të SA CE, duke përfshirë shkëmbimin e energjisë së llogaritur nëpërmjet një linje lineare virtuale;</w:t>
      </w:r>
    </w:p>
    <w:p w14:paraId="19573F86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b) të gjitha skedulet e jashtme neto të mbledhura (ANES) brenda SA CE;</w:t>
      </w:r>
    </w:p>
    <w:p w14:paraId="432CBDBD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c) vëllimet e shkëmbimeve të energjisë të synuara si rezultat i procesit të kontrollit të frekuencave dhe periudhës së ndryshimit (rritje/ulje) sipas nenit 50 (3) të EBGL-së.</w:t>
      </w:r>
    </w:p>
    <w:p w14:paraId="2677CF22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4. Output i funksionit të llogaritjes së energjisë në kufi të CCU-së do të jetë vëllimi i shkëmbimeve të energjisë së paqëllimshme për secilën periudhë të shlyerjes TSO–TSO brenda SA CE.</w:t>
      </w:r>
    </w:p>
    <w:p w14:paraId="5D520C2A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5. Njësia ose njësitë të cilave u është besuar funksioni i shlyerjes së CCU-së do të mbledhë të gjitha të dhënat e kërkuara për të llogaritur një çmim të shkëmbimit të energjisë së paqëllimshme për secilën periudhë të shlyerjes së TSO–TSO dhe do të llogarisë rezultatin financiar dhe flukset financiare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çdo bllok LFC-je ose zonë LFC-je. </w:t>
      </w:r>
    </w:p>
    <w:p w14:paraId="2FA985AB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6. Inputi në funksionin e shlyerjes së CCU-së do të jetë:</w:t>
      </w:r>
    </w:p>
    <w:p w14:paraId="1579C5DE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a) vëllimet e shkëmbimit të energjisë së qëllimshme si rezultat i procesit të kontrollit së frekuencës dhe periudhës së ndryshimit (rritje/ulje), në përputhje me nenin 7 të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CCFR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dhe shkëmbimin e energjisë së paqëllimshme në përputhje me nenin 7 të kësaj CCU-së;</w:t>
      </w:r>
    </w:p>
    <w:p w14:paraId="7BA899D4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çmimin e tregut për ditën e ardhshme të secilës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zonë LFC-je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SA CE, në përputhje me nenin 8 (1) (a) të kësaj CCU-je;</w:t>
      </w:r>
    </w:p>
    <w:p w14:paraId="0E226576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c) devijimin mesatar të frekuencës për secilën periudhë të shlyerjes TSO–TSO të SA CE-së e cila përcaktohet nga një TSO e caktuar;</w:t>
      </w:r>
    </w:p>
    <w:p w14:paraId="589B14B1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7. Funksioni i shlyerjes së CCU-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do të ketë rezultatet vijuese:</w:t>
      </w:r>
    </w:p>
    <w:p w14:paraId="5075A650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a) çmimi për shkëmbimet e energjisë së paqëllimshme për secilën periudhë të shlyerjes TSO–TSO;</w:t>
      </w:r>
    </w:p>
    <w:p w14:paraId="4C7A2700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b) flukset financiare ndërmjet të gjitha blloqeve LFC ose zonave të LFC-së në SA CE si rezultat i shkëmbimit të energjisë së paqëllimshme për secilën periudhë të shlyerjes TSO–TSO.</w:t>
      </w:r>
    </w:p>
    <w:p w14:paraId="0536FFF9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Të gjitha vëllimet e shkëmbimeve të energjisë së paqëllimshme të llogaritura për secilën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bllok LFC-je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ose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zonë LFC-je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secilën periudhë të shlyerjes TSO–TSO, në përputhje me nenin 7 të kësaj CCU-je, do të shlyhen me të njëjtin çmim të llogaritur për atë periudhë të shlyerjes TSO–TSO në përputhje me nenet 8 (1) dhe 8 (2) të kësaj CCU-je.</w:t>
      </w:r>
    </w:p>
    <w:p w14:paraId="2A06A62F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9. Shlyerja do të realizohet në nivelin e zonave LFC, përveç nëse:</w:t>
      </w:r>
    </w:p>
    <w:p w14:paraId="5C2231CA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a) të gjithë TSO-të e një blloku të vetëm LFC-je bien dakord për një shlyerje të përbashkët të zonave të tyre LFC; ose</w:t>
      </w:r>
    </w:p>
    <w:p w14:paraId="26DCEE9F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b) disa TSO të një blloku të vetëm LFC-je bien dakord për një shlyerje të përbashkët të zonave të tyre LFC.</w:t>
      </w:r>
    </w:p>
    <w:p w14:paraId="04BB143F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10. Njësia ose njësitë të cilave u është besuar detyra e faturimit duhet t’i faturojnë TSO-ve të SA CE-së, sipas rezultateve të funksionit të zgjidhjes së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CCU-së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18045722" w14:textId="77777777" w:rsidR="0016646B" w:rsidRPr="008D0C28" w:rsidRDefault="0016646B" w:rsidP="0016646B">
      <w:pPr>
        <w:pStyle w:val="AAATEETE"/>
        <w:rPr>
          <w:lang w:val="sq-AL"/>
        </w:rPr>
      </w:pPr>
      <w:r w:rsidRPr="008D0C28">
        <w:rPr>
          <w:lang w:val="sq-AL"/>
        </w:rPr>
        <w:t>11. Të gjitha TSO-të e SA CE pranojnë flukset financiare dhe janë të detyruar të paguajnë sipas tyre. Flukset financiare duhet të rishikohen në rast se gjendet një gabim në llogaritjet ose në të dhënat e vendosura në llogaritje.</w:t>
      </w:r>
    </w:p>
    <w:p w14:paraId="798F6733" w14:textId="77777777" w:rsidR="0016646B" w:rsidRPr="008D0C28" w:rsidRDefault="0016646B" w:rsidP="0016646B">
      <w:pPr>
        <w:pStyle w:val="AAATEETE"/>
        <w:jc w:val="center"/>
        <w:rPr>
          <w:lang w:val="sq-AL"/>
        </w:rPr>
      </w:pPr>
    </w:p>
    <w:p w14:paraId="0D77040B" w14:textId="77777777" w:rsidR="0016646B" w:rsidRPr="008D0C28" w:rsidRDefault="0016646B" w:rsidP="0016646B">
      <w:pPr>
        <w:pStyle w:val="AAATEETE"/>
        <w:jc w:val="center"/>
        <w:rPr>
          <w:lang w:val="sq-AL"/>
        </w:rPr>
      </w:pPr>
      <w:r w:rsidRPr="008D0C28">
        <w:rPr>
          <w:lang w:val="sq-AL"/>
        </w:rPr>
        <w:t>Neni 4</w:t>
      </w:r>
    </w:p>
    <w:p w14:paraId="29E2DEDB" w14:textId="77777777" w:rsidR="0016646B" w:rsidRPr="008D0C28" w:rsidRDefault="0016646B" w:rsidP="0016646B">
      <w:pPr>
        <w:pStyle w:val="AAATEETE"/>
        <w:jc w:val="center"/>
        <w:rPr>
          <w:b/>
          <w:lang w:val="sq-AL"/>
        </w:rPr>
      </w:pPr>
      <w:r w:rsidRPr="008D0C28">
        <w:rPr>
          <w:b/>
          <w:lang w:val="sq-AL"/>
        </w:rPr>
        <w:t>Zbatimi i zgjidhjes së përbashkët</w:t>
      </w:r>
    </w:p>
    <w:p w14:paraId="7F8C4E9F" w14:textId="77777777" w:rsidR="0016646B" w:rsidRPr="008D0C28" w:rsidRDefault="0016646B" w:rsidP="0016646B">
      <w:pPr>
        <w:pStyle w:val="AAATEETE"/>
        <w:rPr>
          <w:lang w:val="sq-AL"/>
        </w:rPr>
      </w:pPr>
    </w:p>
    <w:p w14:paraId="44B12C83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1. Të gjitha TSO-të e SA CE zbatojnë rregullat e përbashkëta të shlyerjes, brenda 12 muajve pas miratimit të kësaj CCU-je, në përputhje me nenin 5 (5) të EBGL-së.</w:t>
      </w:r>
    </w:p>
    <w:p w14:paraId="5C057614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2. Hapat e mëposhtëm dhe afatet kohore do të përdoren si udhërrëfyes për zbatimin e rregullave të përbashkëta të shlyerjes:</w:t>
      </w:r>
    </w:p>
    <w:p w14:paraId="588FCAF6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a) adaptimi i të gjithë matësve: të gjithë TSO-të e SA CE kanë ndryshuar pajisjet matëse të tyre dhe janë në gjendje të matin shkëmbimet e energjisë në periudhën e shlyerjes TSO–TSO;</w:t>
      </w:r>
    </w:p>
    <w:p w14:paraId="1F6A1636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emërimi i subjekteve: funksioni i llogaritjes së energjisë në kufi të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CCU-së,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funksioni i zgjidhjes së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CCU-së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dhe detyrat e faturimit janë emëruar në një ose disa njësi, sipas nenit 3 të kësaj CCU-je;</w:t>
      </w:r>
    </w:p>
    <w:p w14:paraId="43E2DD19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zbatimi i funksionit të llogaritjes së energjisë në kufi të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CCU-së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: njësia ose njësitë të cilave u është besuar funksioni i llogaritjes së energjisë në kufi të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CCU-së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duhet të zbatojnë funksionin e llogaritjes së energjisë në kufi të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CCU-së.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gjithë TSO-të e SA CE do të zbatojnë lidhjet e tyre me funksionin e llogaritjes së energjisë në kufi të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CCU-së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nëse është e nevojshme;</w:t>
      </w:r>
    </w:p>
    <w:p w14:paraId="7148ECDC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zbatimi i funksionit të shlyerjes së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CCU-së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: njësia ose njësitë të cilave u është besuar funksioni i shlyerjes së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CCU-së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duhet të zbatojnë funksionin e shlyerjes së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CCU-së.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gjithë TSO-të e SA CE duhet të zbatojnë lidhjet e tyre me funksionin e shlyerjes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CCU-së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nëse është e nevojshme;</w:t>
      </w:r>
    </w:p>
    <w:p w14:paraId="15B39987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e) zbatimi i detyrave të faturimit të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CCU-së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: njësia ose njësitë të cilave u është besuar detyra e faturimit të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CCU-së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duhet të zbatojnë detyrat e faturimit të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CCU-së.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Të gjitha lidhjet e nevojshme duhet të jenë të konfiguruara;</w:t>
      </w:r>
    </w:p>
    <w:p w14:paraId="26158F36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f) testimi: të gjithë TSO-të e SA CE do të testojnë ndërlidhjet me llogaritjen e energjisë në kufi të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CCU-së,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funksionin e shlyerjes së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CCU-së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nëse është e zbatueshme, detyrën e faturimit të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CCU-së; </w:t>
      </w:r>
    </w:p>
    <w:p w14:paraId="2423C2D1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g) kohë reale: nëse të gjitha testimet në përputhje me nenin 4 (2) (f), të kësaj CCU-je, do të jenë të suksesshme, shlyerja e përbashkët do të vazhdojë në kohë reale;</w:t>
      </w:r>
    </w:p>
    <w:p w14:paraId="0AF5883F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h) mekanizmi i rishikimit: pas implementimit të këtyre rregullave të përbashkëta të shlyerjes, një mekanizëm shqyrtimi fillon nga fundi i vitit 2022, në të cilin TSO-të e SA CE do të shqyrtojnë CCU-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ë. Një rishikim do të bëhet të paktën çdo tre vjet pas shqyrtimit të parë të duhur deri në fund të vitit 2022. Në mekanizmin e rishikimit, mundësia për evoluimin e çmimeve të balancimit në vend të çmimeve të tregut të ditës së ardhshme do të vlerësohet. Përveç kësaj, mekanizmi i rishikimit mund të prekë, për shembull, parametrat e rregullave të çmimeve të përshkruara në nenin 8, të kësaj CCU-je, por edhe detaje teknike si grumbullimi i të dhënave. Çdo ndryshim në CCU duhet të dorëzohet nga autoritetet përkatëse rregullatore për miratim.</w:t>
      </w:r>
    </w:p>
    <w:p w14:paraId="087894D5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3. Të gjitha funksionet e shlyerjes, në pajtim me nenet 19–22 të EBGL-së, do të marrin parasysh se vëllimet e shkëmbimeve të qëllimshme të energjisë mund të duhet të dorëzohen në një zgjidhje tjetër kohore nëse ndryshohet periudha e shlyerjes TSO–TSO për shkëmbimet e energjisë së paqëllimshme.</w:t>
      </w:r>
    </w:p>
    <w:p w14:paraId="14F26ED9" w14:textId="77777777" w:rsidR="0016646B" w:rsidRPr="008D0C28" w:rsidRDefault="0016646B" w:rsidP="0016646B">
      <w:pPr>
        <w:pStyle w:val="AAATEETE"/>
        <w:jc w:val="center"/>
        <w:rPr>
          <w:lang w:val="sq-AL"/>
        </w:rPr>
      </w:pPr>
    </w:p>
    <w:p w14:paraId="3393288A" w14:textId="77777777" w:rsidR="0016646B" w:rsidRPr="008D0C28" w:rsidRDefault="0016646B" w:rsidP="0016646B">
      <w:pPr>
        <w:pStyle w:val="AAATEETE"/>
        <w:jc w:val="center"/>
        <w:rPr>
          <w:bCs/>
          <w:lang w:val="sq-AL"/>
        </w:rPr>
      </w:pPr>
      <w:r w:rsidRPr="008D0C28">
        <w:rPr>
          <w:bCs/>
          <w:lang w:val="sq-AL"/>
        </w:rPr>
        <w:t>Neni 5</w:t>
      </w:r>
    </w:p>
    <w:p w14:paraId="2F870855" w14:textId="77777777" w:rsidR="0016646B" w:rsidRPr="008D0C28" w:rsidRDefault="0016646B" w:rsidP="0016646B">
      <w:pPr>
        <w:pStyle w:val="AAATEETE"/>
        <w:jc w:val="center"/>
        <w:rPr>
          <w:b/>
          <w:bCs/>
          <w:lang w:val="sq-AL"/>
        </w:rPr>
      </w:pPr>
      <w:r w:rsidRPr="008D0C28">
        <w:rPr>
          <w:b/>
          <w:bCs/>
          <w:lang w:val="sq-AL"/>
        </w:rPr>
        <w:t>Funksionet e shlyerjes së përbashkët</w:t>
      </w:r>
    </w:p>
    <w:p w14:paraId="6A576251" w14:textId="77777777" w:rsidR="0016646B" w:rsidRPr="008D0C28" w:rsidRDefault="0016646B" w:rsidP="0016646B">
      <w:pPr>
        <w:pStyle w:val="AAATEETE"/>
        <w:jc w:val="center"/>
        <w:rPr>
          <w:b/>
          <w:bCs/>
          <w:lang w:val="sq-AL"/>
        </w:rPr>
      </w:pPr>
    </w:p>
    <w:p w14:paraId="3563BB88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1. Shlyerja e përbashkët në pajtim me këtë CCU do të përbëhet nga funksioni i llogaritjes së energjisë në kufi të CCU-së dhe funksioni i shlyerjes së CCU-së.</w:t>
      </w:r>
    </w:p>
    <w:p w14:paraId="4E1E1EC8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2. Qëllimi i funksionit të llogaritjes së energjisë në kufi të CCU-së është llogaritja e shkëmbimeve të energjisë së paqëllimshme, për çdo periudhë të shlyerjes TSO–TSO brenda SA CE, në përputhje me nenin 3 të kësaj CCU-je.</w:t>
      </w:r>
    </w:p>
    <w:p w14:paraId="748FB858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3. Qëllimi i funksionit të shlyerjes së CCU-së është llogaritja e çmimit për shkëmbimin e paqëllimshëm të energjisë, për secilën periudhë të shlyerjes TSO–TSO, dhe të flukseve financiare midis të gjitha blloqeve LFC ose zonave LFC në SA CE si rezultat i shmangies së shkëmbimeve të paqëllimshme të energjisë për çdo periudhë shlyerje të TSO–TSO, në përputhje me nenin 3 të kësaj CCU-je.</w:t>
      </w:r>
    </w:p>
    <w:p w14:paraId="489FF211" w14:textId="77777777" w:rsidR="0016646B" w:rsidRPr="008D0C28" w:rsidRDefault="0016646B" w:rsidP="0016646B">
      <w:pPr>
        <w:pStyle w:val="AAATEETE"/>
        <w:jc w:val="center"/>
        <w:rPr>
          <w:lang w:val="sq-AL"/>
        </w:rPr>
      </w:pPr>
      <w:r w:rsidRPr="008D0C28">
        <w:rPr>
          <w:lang w:val="sq-AL"/>
        </w:rPr>
        <w:t>Neni 6</w:t>
      </w:r>
    </w:p>
    <w:p w14:paraId="3B1657CF" w14:textId="77777777" w:rsidR="0016646B" w:rsidRPr="008D0C28" w:rsidRDefault="0016646B" w:rsidP="0016646B">
      <w:pPr>
        <w:pStyle w:val="AAATEETE"/>
        <w:jc w:val="center"/>
        <w:rPr>
          <w:b/>
          <w:lang w:val="sq-AL"/>
        </w:rPr>
      </w:pPr>
      <w:r w:rsidRPr="008D0C28">
        <w:rPr>
          <w:b/>
          <w:lang w:val="sq-AL"/>
        </w:rPr>
        <w:t>Periudha e shlyerjes</w:t>
      </w:r>
    </w:p>
    <w:p w14:paraId="63336DAC" w14:textId="77777777" w:rsidR="0016646B" w:rsidRPr="008D0C28" w:rsidRDefault="0016646B" w:rsidP="0016646B">
      <w:pPr>
        <w:pStyle w:val="AAATEETE"/>
        <w:rPr>
          <w:lang w:val="sq-AL"/>
        </w:rPr>
      </w:pPr>
    </w:p>
    <w:p w14:paraId="470358A5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1. Periudha e shlyerjes TSO–TSO është caktuar të jetë 15 minuta.</w:t>
      </w:r>
    </w:p>
    <w:p w14:paraId="666C80C4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2. Periudha e shlyerjes TSO–TSO të çdo dite fillon menjëherë pas orës 00:00. Periudhat e shlyerjes TSO–TSO do të jenë të njëpasnjëshme dhe jo të mbivendosura.</w:t>
      </w:r>
    </w:p>
    <w:p w14:paraId="6B94BC56" w14:textId="77777777" w:rsidR="0016646B" w:rsidRPr="008D0C28" w:rsidRDefault="0016646B" w:rsidP="0016646B">
      <w:pPr>
        <w:pStyle w:val="AAATEETE"/>
        <w:jc w:val="center"/>
        <w:rPr>
          <w:lang w:val="sq-AL"/>
        </w:rPr>
      </w:pPr>
    </w:p>
    <w:p w14:paraId="440A26FA" w14:textId="77777777" w:rsidR="0016646B" w:rsidRPr="008D0C28" w:rsidRDefault="0016646B" w:rsidP="0016646B">
      <w:pPr>
        <w:pStyle w:val="AAATEETE"/>
        <w:jc w:val="center"/>
        <w:rPr>
          <w:lang w:val="sq-AL"/>
        </w:rPr>
      </w:pPr>
      <w:r w:rsidRPr="008D0C28">
        <w:rPr>
          <w:lang w:val="sq-AL"/>
        </w:rPr>
        <w:t>Neni 7</w:t>
      </w:r>
    </w:p>
    <w:p w14:paraId="548628D9" w14:textId="77777777" w:rsidR="0016646B" w:rsidRPr="008D0C28" w:rsidRDefault="0016646B" w:rsidP="0016646B">
      <w:pPr>
        <w:pStyle w:val="AAATEETE"/>
        <w:jc w:val="center"/>
        <w:rPr>
          <w:b/>
          <w:lang w:val="sq-AL"/>
        </w:rPr>
      </w:pPr>
      <w:r w:rsidRPr="008D0C28">
        <w:rPr>
          <w:b/>
          <w:lang w:val="sq-AL"/>
        </w:rPr>
        <w:t>Përcaktimi i volumit për periudhën e shlyerjes TSO–TSO</w:t>
      </w:r>
    </w:p>
    <w:p w14:paraId="39D9F97B" w14:textId="77777777" w:rsidR="0016646B" w:rsidRPr="008D0C28" w:rsidRDefault="0016646B" w:rsidP="0016646B">
      <w:pPr>
        <w:pStyle w:val="AAATEETE"/>
        <w:jc w:val="center"/>
        <w:rPr>
          <w:lang w:val="sq-AL"/>
        </w:rPr>
      </w:pPr>
    </w:p>
    <w:p w14:paraId="7A44A5B1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1). Vëllimet e shkëmbimeve të energjisë, të parashikuara në përputhje me nenet 50 (1) dhe 50 (3), të EBGL-së janë përcaktuar si më poshtë:</w:t>
      </w:r>
    </w:p>
    <w:p w14:paraId="3695787A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a) vëllimi i shkëmbimeve të qëllimshme të energjisë si rezultat i procesit të zëvendësimit të rezervës sipas nenit 50 (1) (a) të EBGL-së është i përfshirë në oraret e jashtme neto të mbledhura;</w:t>
      </w:r>
    </w:p>
    <w:p w14:paraId="1F3BBFDB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b) vëllimi i shkëmbimeve të qëllimshme të energjisë si rezultat i procesit të restaurimit të frekuencave me aktivizimin manual, sipas nenit 50 (1) (b) të EBGL-së, është i barabartë me vëllimin e raportuar në oraret e jashtme neto të mbledhura dhe/ose të dhënat e llogaritjes së energjisë në kufi nga TSO-të e zonave LFC;</w:t>
      </w:r>
    </w:p>
    <w:p w14:paraId="523BFEBD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c) vëllimi i shkëmbimeve të qëllimshme të energjisë si rezultat i procesit të restaurimit të frekuencave me aktivizim automatik, sipas nenit 50 (1) (c) të EBGL-së, është i barabartë me volumin e raportuar në të dhënat e llogaritjes së energjisë në kufi nga TSO-të e zonave LFC;</w:t>
      </w:r>
    </w:p>
    <w:p w14:paraId="62A86BC1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d) vëllimi i shkëmbimeve të qëllimshme të energjisë si rezultat i procesit të netimit të disbalancave, sipas nenit 50 (1) (d) të EBGL-së, është i barabartë me volumin e raportuar në të dhënat e llogaritjes së energjisë në kufi nga TSO-të e zonave LFC;</w:t>
      </w:r>
    </w:p>
    <w:p w14:paraId="723AB5CF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e) vëllimi i shkëmbimeve të qëllimshme të energjisë si rezultat i procesit të mbajtjes së frekuencës, sipas nenit 50 (3) (a) të EBGL-së, është llogaritur nga funksioni i llogaritjes së energjisë në kufi CCFR për secilin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bllok LFC-je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ose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zonë LFC-je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për periudhën e shlyerjes TSO–TSO si produkti i faktorit </w:t>
      </w:r>
      <w:r w:rsidRPr="008D0C28">
        <w:rPr>
          <w:rFonts w:ascii="Garamond" w:hAnsi="Garamond" w:cs="Times New Roman"/>
          <w:i/>
          <w:color w:val="000000"/>
          <w:sz w:val="24"/>
          <w:szCs w:val="24"/>
          <w:lang w:val="sq-AL"/>
        </w:rPr>
        <w:t>k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njoftuar dhe devijimit të frekuencës mesatare për atë periudhë të shlyerjes TSO–TSO, në përputhje me CCFR-në;</w:t>
      </w:r>
    </w:p>
    <w:p w14:paraId="515DB937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f) vëllimi i shkëmbimeve të qëllimshme të energjisë si rezultat i p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eriudhës së ndryshimit (rritje/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ulje), sipas nenit 50 (3) (b) të EBGL-së dhe nenit 136 të SOGL-së, është llogaritur nga funksioni i llogaritjes së energjisë në kufi të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CCFR,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secilin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bllok LFC-je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ose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zonë LFC-je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për periudhën e shlyerjes TSO–TSO, në pajtim me CCFR-në;</w:t>
      </w:r>
    </w:p>
    <w:p w14:paraId="139745EE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g) vëllimi i shkëmbimeve të qëllimshme të energjisë si rezultat i marrëveshjeve dypalëshe ose shumëpalëshe nëpërmjet vijave virtuale, të cilat nuk mbulohen nga pikat e mëparshme, është i barabartë me volumin e raportuar në të dhënat e llogaritjes së energjisë në kufi nga TSO-të e zonave përkatëse LFC.</w:t>
      </w:r>
    </w:p>
    <w:p w14:paraId="2D6271DC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2. Vëllimi i shkëmbimeve të paqëllimshme të energjisë sipas nenit 51 (1) të EBGL-së, është llogaritur,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çdo bllok LFC-je ose zonë LFC-je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për periudhën e shlyerjes TSO–TSO, si diferencë midis shkëmbimeve të energjisë sipas të dhënave të llogaritjes së energjisë në kufi dhe shumës së ANES-it dhe të gjitha shkëmbimeve të energjisë, të synuara si rezultat i n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enet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50 (1) dhe 50 (3) të LBGL-së dhe nenit 7 (1) të kësaj CCU-je.</w:t>
      </w:r>
    </w:p>
    <w:p w14:paraId="34B6D9D1" w14:textId="77777777" w:rsidR="0016646B" w:rsidRPr="008D0C28" w:rsidRDefault="0016646B" w:rsidP="0016646B">
      <w:pPr>
        <w:pStyle w:val="AAATEETE"/>
        <w:jc w:val="center"/>
        <w:rPr>
          <w:lang w:val="sq-AL"/>
        </w:rPr>
      </w:pPr>
    </w:p>
    <w:p w14:paraId="65CEF90C" w14:textId="77777777" w:rsidR="0016646B" w:rsidRPr="008D0C28" w:rsidRDefault="0016646B" w:rsidP="0016646B">
      <w:pPr>
        <w:pStyle w:val="AAATEETE"/>
        <w:jc w:val="center"/>
        <w:rPr>
          <w:lang w:val="sq-AL"/>
        </w:rPr>
      </w:pPr>
      <w:r w:rsidRPr="008D0C28">
        <w:rPr>
          <w:lang w:val="sq-AL"/>
        </w:rPr>
        <w:t>Neni 8</w:t>
      </w:r>
    </w:p>
    <w:p w14:paraId="50351E32" w14:textId="77777777" w:rsidR="0016646B" w:rsidRPr="008D0C28" w:rsidRDefault="0016646B" w:rsidP="0016646B">
      <w:pPr>
        <w:pStyle w:val="AAATEETE"/>
        <w:jc w:val="center"/>
        <w:rPr>
          <w:b/>
          <w:lang w:val="sq-AL"/>
        </w:rPr>
      </w:pPr>
      <w:r w:rsidRPr="008D0C28">
        <w:rPr>
          <w:b/>
          <w:lang w:val="sq-AL"/>
        </w:rPr>
        <w:t>Rregullat e tarifimit për shkëmbimet TSO–TSO brenda SA CE</w:t>
      </w:r>
    </w:p>
    <w:p w14:paraId="20D44007" w14:textId="77777777" w:rsidR="0016646B" w:rsidRPr="008D0C28" w:rsidRDefault="0016646B" w:rsidP="0016646B">
      <w:pPr>
        <w:pStyle w:val="AAATEETE"/>
        <w:rPr>
          <w:lang w:val="sq-AL"/>
        </w:rPr>
      </w:pPr>
    </w:p>
    <w:p w14:paraId="09A91A8C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Çmimi për shkëmbimin e energjisë së paqëllimshme, në përputhje me nenin 51 (1) të EBGL-së do të llogaritet nga njësia ekonomike e ngarkuar me funksionin e shlyerjes së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CCU-së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si shuma e komponentëve të mëposhtëm në EUR/m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w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h për periudhën e shlyerjes TSO–TSO:</w:t>
      </w:r>
    </w:p>
    <w:p w14:paraId="376C23B5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një komponent i çmimit referues i llogaritur për çdo periudhë të caktuar të shlyerjes TSO-TSO si çmim mesatar i ponderuar i tregut të ditës së mëparshme të të gjitha blloqeve LFC brenda SA CE për atë periudhë të shlyerjes TSO–TSO, e matur me vlerën absolute të shumës së shkëmbimeve të qëllimshme të energjisë në përputhje me nenin 50 (3) (a) të EBGL-së dhe shkëmbimeve të paqëllimshme të energjisë sipas nenit 51 (1) të EBGL-së, të secilit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bllok LFC-je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4AA2AF18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o të zbatohen rregullat e mëposhtme:</w:t>
      </w:r>
    </w:p>
    <w:p w14:paraId="5E240B7A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i. në rast se ka më shumë se një çmim të tregut të një ditë më parë për bllokun LFC për atë periudhë të shlyerje TSO-TSO, një çmim mesatar i ponderuar llogaritet nga njësia së cilës i është besuar funksioni i shlyerjes dhe përdoret </w:t>
      </w:r>
      <w:r w:rsidRPr="00EB624B">
        <w:rPr>
          <w:rFonts w:ascii="Garamond" w:hAnsi="Garamond" w:cs="Times New Roman"/>
          <w:color w:val="000000"/>
          <w:sz w:val="24"/>
          <w:szCs w:val="24"/>
          <w:lang w:val="sq-AL"/>
        </w:rPr>
        <w:t>në 8 (1) (a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për bllokun përkatës LFC. Çmimi mesatar i ponderuar i një blloku LFC llogaritet duke ponderuar çmimet e tregut të ditës së mëparshme të zonave LFC, në atë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bllok LFC-je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me faktorin përkatës </w:t>
      </w:r>
      <w:r w:rsidRPr="008D0C28">
        <w:rPr>
          <w:rFonts w:ascii="Garamond" w:hAnsi="Garamond" w:cs="Times New Roman"/>
          <w:i/>
          <w:color w:val="000000"/>
          <w:sz w:val="24"/>
          <w:szCs w:val="24"/>
          <w:lang w:val="sq-AL"/>
        </w:rPr>
        <w:t>k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njoftuar të secilës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zonë LFC-je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Nëse nuk ka çmim të tregut për një ditë më parë në një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zonë LFC-je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brenda bllokut LFC, kjo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zonë LFC-je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nuk konsiderohet për llogaritjen e çmimit mesatar të ponderuar të bllokut LFC;</w:t>
      </w:r>
    </w:p>
    <w:p w14:paraId="27D92668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ii. në rast se ka më shumë se një çmim të tregut të një dite më parë në një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zonë LFC-je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 për atë periudhë të shlyerjes TSO–TSO, TSO-ja që vepron në zonën LFC mund të vendosë se cilin çmim ose çmime do të përdorë për përcaktimin e çmimit të tregut të ditës së mëparshme të zonës LFC;</w:t>
      </w:r>
    </w:p>
    <w:p w14:paraId="50A32A83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iii. në rast se nuk ka një çmim të tregu të ditës së mëparshme në një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bllok LFC-je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atë periudhë të caktuar të shlyerjes TSO–TSO, çmimi i shlyerjes së disbalancave, për atë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bllok LFC-je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për atë periudhë të caktuar të shlyerjes TSO–TSO, përdoret në </w:t>
      </w:r>
      <w:r w:rsidRPr="00EB624B">
        <w:rPr>
          <w:rFonts w:ascii="Garamond" w:hAnsi="Garamond" w:cs="Times New Roman"/>
          <w:color w:val="000000"/>
          <w:sz w:val="24"/>
          <w:szCs w:val="24"/>
          <w:lang w:val="sq-AL"/>
        </w:rPr>
        <w:t>nenin 8 (1) (a),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vend të një çmimi të tregut për një ditë më parë. Në rastin e çmimeve të dyfishta, llogaritet një çmim mesatar;</w:t>
      </w:r>
    </w:p>
    <w:p w14:paraId="1EA2CF6A" w14:textId="77777777" w:rsidR="0016646B" w:rsidRPr="008D0C28" w:rsidRDefault="0016646B" w:rsidP="0016646B">
      <w:pPr>
        <w:pStyle w:val="AAATEETE"/>
        <w:rPr>
          <w:lang w:val="sq-AL"/>
        </w:rPr>
      </w:pPr>
      <w:r>
        <w:rPr>
          <w:lang w:val="sq-AL"/>
        </w:rPr>
        <w:t>b) N</w:t>
      </w:r>
      <w:r w:rsidRPr="008D0C28">
        <w:rPr>
          <w:lang w:val="sq-AL"/>
        </w:rPr>
        <w:t>jë komponent i varur nga frekuenca, i zbatueshëm vetëm nëse vlera absolute e devijimit mesatar të frekuencës mbi periudhën e shlyerjes TSO–TSO tejkalon vlerën absolute të vlerës minimale të pragut (20 mHz). Komponenti i varur nga frekuenca llogaritet si funksion i devijimit mesatar të frekuencës për secilën periudhë të shlyerjes TSO–TSO, duke përdorur një pjerrësi ndërmjet kufirit minimal dhe pragut maksimal (dy (2) EUR/mwh/mHz). Do të zbatohen rregullat e mëposhtme:</w:t>
      </w:r>
    </w:p>
    <w:p w14:paraId="66FBD798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i. vlera absolute e vlerës minimale të pragut është 20 mHz;</w:t>
      </w:r>
    </w:p>
    <w:p w14:paraId="668AC400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ii. vlera absolute e vlerës maksimale të pragut është 100 mHz;</w:t>
      </w:r>
    </w:p>
    <w:p w14:paraId="748E0F69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iii. pjerrësia është dy (2) EUR/mwh/mHz;</w:t>
      </w:r>
    </w:p>
    <w:p w14:paraId="08F22011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iv. në rast të një devijimi mesatar pozitiv të frekuencës që tejkalon vlerën minimale të pragut në drejtim pozitiv (+20 mHz), por që nuk tejkalon vlerën maksimale të pragut në drejtim pozitiv (+100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mHz), ky funksion zbatohet për devijimin mesatar të frekuencës së zvogëluar me vlerën absolute të vlerës minimale të pragut (20 mHz);</w:t>
      </w:r>
    </w:p>
    <w:p w14:paraId="4BC4D576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v. në rast të një devijimi mesatar negativ të frekuencës që tejkalon vlerën minimale të pragut në drejtim negativ (-20 mHz), por që nuk tejkalon vlerën maksimale të pragut në drejtim negativ (-100 mHz), ky funksion aplikohet në devijimin e frekuencës së rritur me vlerën absolute të vlerës minimale të pragut (20 mHz);</w:t>
      </w:r>
    </w:p>
    <w:p w14:paraId="593DECED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vi. në rastin e një devijimi mesatar pozitiv të frekuencës që tejkalon pragun maksimal në drejtim pozitiv (+100 mHz), komponenti i varur nga frekuenca vendoset si komponent i varur nga frekuenca e llogaritur në një devijim të frekuencës së vlerës maksimale të pragut në drejtim pozitiv (+100 mHz);</w:t>
      </w:r>
    </w:p>
    <w:p w14:paraId="37B730DE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vii. në rastin e një devijimi negativ të frekuencës që tejkalon pragun maksimal në drejtim negativ (-100 mHz), komponenti i varur nga frekuenca përcaktohet si komponent i varur nga frekuenca e llogaritur në një devijim të frekuencës së vlerës së pragut maksimal në drejtim negativ (-100 mHz);</w:t>
      </w:r>
    </w:p>
    <w:p w14:paraId="09DA764A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viii. në rastin e një sistemi HVDC që lidh dy TSO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-të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SA CE, komponenti i varur nga frekuenca mund të mos jetë i zbatueshëm.</w:t>
      </w:r>
    </w:p>
    <w:p w14:paraId="1CF8ACDB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624B">
        <w:rPr>
          <w:rFonts w:ascii="Garamond" w:hAnsi="Garamond" w:cs="Times New Roman"/>
          <w:color w:val="000000"/>
          <w:sz w:val="24"/>
          <w:szCs w:val="24"/>
          <w:lang w:val="sq-AL"/>
        </w:rPr>
        <w:t>2. Sipas nenit 51 (1) (a) të EBGL-së, çmimi për shkëmbimin e energjisë të paqëllimshme duhet të pasqyrojë çmimin për energjinë balancuese. Sipas nenit 8 (1) (a) të kësaj CCU-je, çmimet e tregut të njëpasnjëshme, të cilat pasqyrojnë çmimet e balancimit, përdoren si një përbërës për të përcaktuar çmimin për shkëmbimet e energjisë të paqëllimshme. Të gjithë TSO-të e SA CE mund t’u propozojnë autoriteteve përkatëse rregullatore që të përdorin çmimet e balancimit në vend të çmimeve të tregut të ditës së mëparshme në përputhje me mekanizmin e rishikimit në përputhje me nenin 4 (2) (h) të kësaj CCU-je.</w:t>
      </w:r>
    </w:p>
    <w:p w14:paraId="0B0C1B56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Në rast të ndarjes së rrjetit me më shumë se një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bllok LFC-je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të shkëputur, komponenti i varur nga frekuenca vendoset për secilën periudhë të shlyerjes TSO–TSO gjatë asaj ndarje të rrjetit në zero (0) EUR/mwh/mHz për periudhë shlyerje TSO–TSO.</w:t>
      </w:r>
    </w:p>
    <w:p w14:paraId="6A817A8C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4473191" w14:textId="77777777" w:rsidR="0016646B" w:rsidRPr="008D0C28" w:rsidRDefault="0016646B" w:rsidP="0016646B">
      <w:pPr>
        <w:pStyle w:val="AAATEETE"/>
        <w:jc w:val="center"/>
        <w:rPr>
          <w:lang w:val="sq-AL"/>
        </w:rPr>
      </w:pPr>
      <w:r w:rsidRPr="008D0C28">
        <w:rPr>
          <w:lang w:val="sq-AL"/>
        </w:rPr>
        <w:t>Neni 9</w:t>
      </w:r>
    </w:p>
    <w:p w14:paraId="3A453FF3" w14:textId="77777777" w:rsidR="0016646B" w:rsidRPr="008D0C28" w:rsidRDefault="0016646B" w:rsidP="0016646B">
      <w:pPr>
        <w:pStyle w:val="AAATEETE"/>
        <w:jc w:val="center"/>
        <w:rPr>
          <w:b/>
          <w:lang w:val="sq-AL"/>
        </w:rPr>
      </w:pPr>
      <w:r w:rsidRPr="008D0C28">
        <w:rPr>
          <w:b/>
          <w:lang w:val="sq-AL"/>
        </w:rPr>
        <w:t xml:space="preserve">Botimi dhe zbatimi i </w:t>
      </w:r>
      <w:r>
        <w:rPr>
          <w:b/>
          <w:lang w:val="sq-AL"/>
        </w:rPr>
        <w:t xml:space="preserve">CCU-së </w:t>
      </w:r>
    </w:p>
    <w:p w14:paraId="0DB31091" w14:textId="77777777" w:rsidR="0016646B" w:rsidRPr="008D0C28" w:rsidRDefault="0016646B" w:rsidP="0016646B">
      <w:pPr>
        <w:pStyle w:val="AAATEETE"/>
        <w:rPr>
          <w:lang w:val="sq-AL"/>
        </w:rPr>
      </w:pPr>
    </w:p>
    <w:p w14:paraId="298F4280" w14:textId="77777777" w:rsidR="0016646B" w:rsidRPr="008D0C28" w:rsidRDefault="0016646B" w:rsidP="0016646B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1. Të gjithë TSO-të e SA CE do të publikojnë CCU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-në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 vonesa të panevojshme pasi të gjitha autoritetet rregullatore relevante të SA CE të kenë miratuar CCU-në e propozuar ose është marrë një vendim nga ACER-i, në përputhje me nenet 5 (7), 6 (1) dhe 6 (2) të EBGL-së.</w:t>
      </w:r>
    </w:p>
    <w:p w14:paraId="77F6E856" w14:textId="77777777" w:rsidR="0016646B" w:rsidRPr="008D0C28" w:rsidRDefault="0016646B" w:rsidP="0016646B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2. Të gjitha TSO-të e SA CE duhet të zbatojnë CCU-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ë në përputhje me nenin 4 të kësaj CCU-je.</w:t>
      </w:r>
    </w:p>
    <w:p w14:paraId="563C2227" w14:textId="77777777" w:rsidR="0016646B" w:rsidRPr="008D0C28" w:rsidRDefault="0016646B" w:rsidP="0016646B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BF71632" w14:textId="77777777" w:rsidR="0016646B" w:rsidRPr="008D0C28" w:rsidRDefault="0016646B" w:rsidP="0016646B">
      <w:pPr>
        <w:pStyle w:val="AAATEETE"/>
        <w:jc w:val="center"/>
        <w:rPr>
          <w:lang w:val="sq-AL"/>
        </w:rPr>
      </w:pPr>
      <w:r w:rsidRPr="008D0C28">
        <w:rPr>
          <w:lang w:val="sq-AL"/>
        </w:rPr>
        <w:t>Neni 10</w:t>
      </w:r>
    </w:p>
    <w:p w14:paraId="311B68D0" w14:textId="77777777" w:rsidR="0016646B" w:rsidRPr="008D0C28" w:rsidRDefault="0016646B" w:rsidP="0016646B">
      <w:pPr>
        <w:pStyle w:val="AAATEETE"/>
        <w:jc w:val="center"/>
        <w:rPr>
          <w:b/>
          <w:lang w:val="sq-AL"/>
        </w:rPr>
      </w:pPr>
      <w:r w:rsidRPr="008D0C28">
        <w:rPr>
          <w:b/>
          <w:lang w:val="sq-AL"/>
        </w:rPr>
        <w:t>Gjuha</w:t>
      </w:r>
    </w:p>
    <w:p w14:paraId="0390B594" w14:textId="77777777" w:rsidR="0016646B" w:rsidRPr="008D0C28" w:rsidRDefault="0016646B" w:rsidP="0016646B">
      <w:pPr>
        <w:pStyle w:val="AAATEETE"/>
        <w:jc w:val="center"/>
        <w:rPr>
          <w:lang w:val="sq-AL"/>
        </w:rPr>
      </w:pPr>
    </w:p>
    <w:p w14:paraId="6192A337" w14:textId="77777777" w:rsidR="0016646B" w:rsidRPr="008D0C28" w:rsidRDefault="0016646B" w:rsidP="001664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Gjuha e referencës për këtë propozim do të jetë gjuha angleze. Për shmangien e dyshimit, kur TSO-të duhet të përkthejnë këtë propozim në gjuhën e tyre kombëtare, në rast të mospërputhjeve midis versionit anglisht të botuar nga TSO-të, në përputhje me nenin 7 të EBGL-së dhe çdo versioni në një gjuhë tjetër, TSO-të, në përputhje me legjislacionin kombëtar, do t’u sigurojnë autoriteteve përkatëse kombëtare rregullatore një përkthim të përditësuar të propozimit.</w:t>
      </w:r>
    </w:p>
    <w:p w14:paraId="1D4E822E" w14:textId="77777777" w:rsidR="0016646B" w:rsidRPr="00CC34DD" w:rsidRDefault="0016646B" w:rsidP="00C533E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1" w:name="_GoBack"/>
      <w:bookmarkEnd w:id="1"/>
    </w:p>
    <w:sectPr w:rsidR="0016646B" w:rsidRPr="00CC34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D2909F3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4"/>
    <w:multiLevelType w:val="hybridMultilevel"/>
    <w:tmpl w:val="01BA9962"/>
    <w:lvl w:ilvl="0" w:tplc="DBD289D2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0000009"/>
    <w:multiLevelType w:val="hybridMultilevel"/>
    <w:tmpl w:val="3EF4A426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000000A"/>
    <w:multiLevelType w:val="hybridMultilevel"/>
    <w:tmpl w:val="35241D9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B"/>
    <w:multiLevelType w:val="hybridMultilevel"/>
    <w:tmpl w:val="FEACCC3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C"/>
    <w:multiLevelType w:val="hybridMultilevel"/>
    <w:tmpl w:val="D5E07A5C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1EB249C"/>
    <w:multiLevelType w:val="hybridMultilevel"/>
    <w:tmpl w:val="8D2E7E7A"/>
    <w:lvl w:ilvl="0" w:tplc="2B3AB476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05891"/>
    <w:rsid w:val="00024B48"/>
    <w:rsid w:val="000C4C2D"/>
    <w:rsid w:val="000E5A4A"/>
    <w:rsid w:val="0016646B"/>
    <w:rsid w:val="001C2EFB"/>
    <w:rsid w:val="002D7EC6"/>
    <w:rsid w:val="0054318F"/>
    <w:rsid w:val="0059443A"/>
    <w:rsid w:val="00745B45"/>
    <w:rsid w:val="00756D72"/>
    <w:rsid w:val="007B4E09"/>
    <w:rsid w:val="00863C32"/>
    <w:rsid w:val="008D23E4"/>
    <w:rsid w:val="00937758"/>
    <w:rsid w:val="00940C1C"/>
    <w:rsid w:val="00961E20"/>
    <w:rsid w:val="0096493A"/>
    <w:rsid w:val="009A351F"/>
    <w:rsid w:val="00A413AA"/>
    <w:rsid w:val="00AD4784"/>
    <w:rsid w:val="00B53223"/>
    <w:rsid w:val="00C104CF"/>
    <w:rsid w:val="00C533E0"/>
    <w:rsid w:val="00CC34DD"/>
    <w:rsid w:val="00CD5AD7"/>
    <w:rsid w:val="00DD09D8"/>
    <w:rsid w:val="00E71CC5"/>
    <w:rsid w:val="00EB6E6D"/>
    <w:rsid w:val="00ED424E"/>
    <w:rsid w:val="00F249C1"/>
    <w:rsid w:val="00F431D1"/>
    <w:rsid w:val="00F75C22"/>
    <w:rsid w:val="00FA2520"/>
    <w:rsid w:val="00FF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CE2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533E0"/>
    <w:pPr>
      <w:ind w:left="720"/>
      <w:contextualSpacing/>
    </w:pPr>
    <w:rPr>
      <w:rFonts w:ascii="Calibri" w:eastAsia="Calibri" w:hAnsi="Calibri" w:cs="SimSun"/>
      <w:lang w:val="sq-AL"/>
    </w:rPr>
  </w:style>
  <w:style w:type="character" w:customStyle="1" w:styleId="fontstyle01">
    <w:name w:val="fontstyle01"/>
    <w:basedOn w:val="DefaultParagraphFont"/>
    <w:rsid w:val="00C533E0"/>
    <w:rPr>
      <w:rFonts w:ascii="Helvetica" w:hAnsi="Helvetica" w:cs="Helvetica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C533E0"/>
    <w:rPr>
      <w:color w:val="0563C1"/>
      <w:u w:val="single"/>
    </w:rPr>
  </w:style>
  <w:style w:type="paragraph" w:customStyle="1" w:styleId="headline2">
    <w:name w:val="headline 2"/>
    <w:uiPriority w:val="99"/>
    <w:rsid w:val="0016646B"/>
    <w:pPr>
      <w:keepNext/>
      <w:keepLines/>
      <w:autoSpaceDE w:val="0"/>
      <w:autoSpaceDN w:val="0"/>
      <w:adjustRightInd w:val="0"/>
      <w:spacing w:after="120" w:line="260" w:lineRule="atLeast"/>
      <w:jc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TOC2">
    <w:name w:val="toc 2"/>
    <w:basedOn w:val="Normal"/>
    <w:next w:val="Normal"/>
    <w:uiPriority w:val="99"/>
    <w:rsid w:val="0016646B"/>
    <w:pPr>
      <w:autoSpaceDE w:val="0"/>
      <w:autoSpaceDN w:val="0"/>
      <w:adjustRightInd w:val="0"/>
      <w:spacing w:after="100" w:line="302" w:lineRule="atLeast"/>
      <w:ind w:left="220"/>
    </w:pPr>
    <w:rPr>
      <w:rFonts w:ascii="Calibri" w:hAnsi="Calibri" w:cs="Calibri"/>
      <w:color w:val="000000"/>
    </w:rPr>
  </w:style>
  <w:style w:type="paragraph" w:customStyle="1" w:styleId="textheader">
    <w:name w:val="text header"/>
    <w:uiPriority w:val="99"/>
    <w:rsid w:val="0016646B"/>
    <w:pPr>
      <w:autoSpaceDE w:val="0"/>
      <w:autoSpaceDN w:val="0"/>
      <w:adjustRightInd w:val="0"/>
      <w:spacing w:after="400" w:line="500" w:lineRule="atLeast"/>
    </w:pPr>
    <w:rPr>
      <w:rFonts w:ascii="Times New Roman" w:hAnsi="Times New Roman" w:cs="Times New Roman"/>
      <w:color w:val="000000"/>
      <w:sz w:val="40"/>
      <w:szCs w:val="40"/>
    </w:rPr>
  </w:style>
  <w:style w:type="paragraph" w:customStyle="1" w:styleId="time">
    <w:name w:val="time"/>
    <w:uiPriority w:val="99"/>
    <w:rsid w:val="0016646B"/>
    <w:pPr>
      <w:autoSpaceDE w:val="0"/>
      <w:autoSpaceDN w:val="0"/>
      <w:adjustRightInd w:val="0"/>
      <w:spacing w:after="0" w:line="320" w:lineRule="atLeast"/>
    </w:pPr>
    <w:rPr>
      <w:rFonts w:ascii="Times New Roman" w:hAnsi="Times New Roman" w:cs="Times New Roman"/>
      <w:color w:val="000000"/>
      <w:sz w:val="29"/>
      <w:szCs w:val="29"/>
    </w:rPr>
  </w:style>
  <w:style w:type="paragraph" w:customStyle="1" w:styleId="headlineheader">
    <w:name w:val="headline header"/>
    <w:uiPriority w:val="99"/>
    <w:rsid w:val="0016646B"/>
    <w:pPr>
      <w:autoSpaceDE w:val="0"/>
      <w:autoSpaceDN w:val="0"/>
      <w:adjustRightInd w:val="0"/>
      <w:spacing w:after="280" w:line="600" w:lineRule="atLeast"/>
    </w:pPr>
    <w:rPr>
      <w:rFonts w:ascii="Times New Roman" w:hAnsi="Times New Roman" w:cs="Times New Roman"/>
      <w:b/>
      <w:bCs/>
      <w:color w:val="000000"/>
      <w:sz w:val="57"/>
      <w:szCs w:val="57"/>
    </w:rPr>
  </w:style>
  <w:style w:type="paragraph" w:customStyle="1" w:styleId="textregular">
    <w:name w:val="text regular"/>
    <w:basedOn w:val="Normal"/>
    <w:link w:val="textregularZchn"/>
    <w:qFormat/>
    <w:rsid w:val="0016646B"/>
    <w:pPr>
      <w:spacing w:after="120" w:line="240" w:lineRule="auto"/>
    </w:pPr>
    <w:rPr>
      <w:lang w:val="en-GB"/>
    </w:rPr>
  </w:style>
  <w:style w:type="character" w:customStyle="1" w:styleId="textregularZchn">
    <w:name w:val="text regular Zchn"/>
    <w:basedOn w:val="DefaultParagraphFont"/>
    <w:link w:val="textregular"/>
    <w:locked/>
    <w:rsid w:val="0016646B"/>
    <w:rPr>
      <w:lang w:val="en-GB"/>
    </w:rPr>
  </w:style>
  <w:style w:type="table" w:customStyle="1" w:styleId="Tabelraster1">
    <w:name w:val="Tabelraster1"/>
    <w:basedOn w:val="TableNormal"/>
    <w:uiPriority w:val="59"/>
    <w:rsid w:val="001664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enumeration">
    <w:name w:val="text enumeration"/>
    <w:rsid w:val="0016646B"/>
    <w:pPr>
      <w:tabs>
        <w:tab w:val="left" w:pos="360"/>
      </w:tabs>
      <w:autoSpaceDE w:val="0"/>
      <w:autoSpaceDN w:val="0"/>
      <w:adjustRightInd w:val="0"/>
      <w:spacing w:after="120" w:line="240" w:lineRule="auto"/>
      <w:jc w:val="both"/>
    </w:pPr>
    <w:rPr>
      <w:rFonts w:ascii="Times New Roman" w:hAnsi="Times New Roman" w:cs="Times New Roman"/>
      <w:color w:val="000000"/>
    </w:rPr>
  </w:style>
  <w:style w:type="paragraph" w:customStyle="1" w:styleId="AAATEETE">
    <w:name w:val="AAATEETE"/>
    <w:basedOn w:val="Normal"/>
    <w:qFormat/>
    <w:rsid w:val="0016646B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533E0"/>
    <w:pPr>
      <w:ind w:left="720"/>
      <w:contextualSpacing/>
    </w:pPr>
    <w:rPr>
      <w:rFonts w:ascii="Calibri" w:eastAsia="Calibri" w:hAnsi="Calibri" w:cs="SimSun"/>
      <w:lang w:val="sq-AL"/>
    </w:rPr>
  </w:style>
  <w:style w:type="character" w:customStyle="1" w:styleId="fontstyle01">
    <w:name w:val="fontstyle01"/>
    <w:basedOn w:val="DefaultParagraphFont"/>
    <w:rsid w:val="00C533E0"/>
    <w:rPr>
      <w:rFonts w:ascii="Helvetica" w:hAnsi="Helvetica" w:cs="Helvetica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C533E0"/>
    <w:rPr>
      <w:color w:val="0563C1"/>
      <w:u w:val="single"/>
    </w:rPr>
  </w:style>
  <w:style w:type="paragraph" w:customStyle="1" w:styleId="headline2">
    <w:name w:val="headline 2"/>
    <w:uiPriority w:val="99"/>
    <w:rsid w:val="0016646B"/>
    <w:pPr>
      <w:keepNext/>
      <w:keepLines/>
      <w:autoSpaceDE w:val="0"/>
      <w:autoSpaceDN w:val="0"/>
      <w:adjustRightInd w:val="0"/>
      <w:spacing w:after="120" w:line="260" w:lineRule="atLeast"/>
      <w:jc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TOC2">
    <w:name w:val="toc 2"/>
    <w:basedOn w:val="Normal"/>
    <w:next w:val="Normal"/>
    <w:uiPriority w:val="99"/>
    <w:rsid w:val="0016646B"/>
    <w:pPr>
      <w:autoSpaceDE w:val="0"/>
      <w:autoSpaceDN w:val="0"/>
      <w:adjustRightInd w:val="0"/>
      <w:spacing w:after="100" w:line="302" w:lineRule="atLeast"/>
      <w:ind w:left="220"/>
    </w:pPr>
    <w:rPr>
      <w:rFonts w:ascii="Calibri" w:hAnsi="Calibri" w:cs="Calibri"/>
      <w:color w:val="000000"/>
    </w:rPr>
  </w:style>
  <w:style w:type="paragraph" w:customStyle="1" w:styleId="textheader">
    <w:name w:val="text header"/>
    <w:uiPriority w:val="99"/>
    <w:rsid w:val="0016646B"/>
    <w:pPr>
      <w:autoSpaceDE w:val="0"/>
      <w:autoSpaceDN w:val="0"/>
      <w:adjustRightInd w:val="0"/>
      <w:spacing w:after="400" w:line="500" w:lineRule="atLeast"/>
    </w:pPr>
    <w:rPr>
      <w:rFonts w:ascii="Times New Roman" w:hAnsi="Times New Roman" w:cs="Times New Roman"/>
      <w:color w:val="000000"/>
      <w:sz w:val="40"/>
      <w:szCs w:val="40"/>
    </w:rPr>
  </w:style>
  <w:style w:type="paragraph" w:customStyle="1" w:styleId="time">
    <w:name w:val="time"/>
    <w:uiPriority w:val="99"/>
    <w:rsid w:val="0016646B"/>
    <w:pPr>
      <w:autoSpaceDE w:val="0"/>
      <w:autoSpaceDN w:val="0"/>
      <w:adjustRightInd w:val="0"/>
      <w:spacing w:after="0" w:line="320" w:lineRule="atLeast"/>
    </w:pPr>
    <w:rPr>
      <w:rFonts w:ascii="Times New Roman" w:hAnsi="Times New Roman" w:cs="Times New Roman"/>
      <w:color w:val="000000"/>
      <w:sz w:val="29"/>
      <w:szCs w:val="29"/>
    </w:rPr>
  </w:style>
  <w:style w:type="paragraph" w:customStyle="1" w:styleId="headlineheader">
    <w:name w:val="headline header"/>
    <w:uiPriority w:val="99"/>
    <w:rsid w:val="0016646B"/>
    <w:pPr>
      <w:autoSpaceDE w:val="0"/>
      <w:autoSpaceDN w:val="0"/>
      <w:adjustRightInd w:val="0"/>
      <w:spacing w:after="280" w:line="600" w:lineRule="atLeast"/>
    </w:pPr>
    <w:rPr>
      <w:rFonts w:ascii="Times New Roman" w:hAnsi="Times New Roman" w:cs="Times New Roman"/>
      <w:b/>
      <w:bCs/>
      <w:color w:val="000000"/>
      <w:sz w:val="57"/>
      <w:szCs w:val="57"/>
    </w:rPr>
  </w:style>
  <w:style w:type="paragraph" w:customStyle="1" w:styleId="textregular">
    <w:name w:val="text regular"/>
    <w:basedOn w:val="Normal"/>
    <w:link w:val="textregularZchn"/>
    <w:qFormat/>
    <w:rsid w:val="0016646B"/>
    <w:pPr>
      <w:spacing w:after="120" w:line="240" w:lineRule="auto"/>
    </w:pPr>
    <w:rPr>
      <w:lang w:val="en-GB"/>
    </w:rPr>
  </w:style>
  <w:style w:type="character" w:customStyle="1" w:styleId="textregularZchn">
    <w:name w:val="text regular Zchn"/>
    <w:basedOn w:val="DefaultParagraphFont"/>
    <w:link w:val="textregular"/>
    <w:locked/>
    <w:rsid w:val="0016646B"/>
    <w:rPr>
      <w:lang w:val="en-GB"/>
    </w:rPr>
  </w:style>
  <w:style w:type="table" w:customStyle="1" w:styleId="Tabelraster1">
    <w:name w:val="Tabelraster1"/>
    <w:basedOn w:val="TableNormal"/>
    <w:uiPriority w:val="59"/>
    <w:rsid w:val="001664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enumeration">
    <w:name w:val="text enumeration"/>
    <w:rsid w:val="0016646B"/>
    <w:pPr>
      <w:tabs>
        <w:tab w:val="left" w:pos="360"/>
      </w:tabs>
      <w:autoSpaceDE w:val="0"/>
      <w:autoSpaceDN w:val="0"/>
      <w:adjustRightInd w:val="0"/>
      <w:spacing w:after="120" w:line="240" w:lineRule="auto"/>
      <w:jc w:val="both"/>
    </w:pPr>
    <w:rPr>
      <w:rFonts w:ascii="Times New Roman" w:hAnsi="Times New Roman" w:cs="Times New Roman"/>
      <w:color w:val="000000"/>
    </w:rPr>
  </w:style>
  <w:style w:type="paragraph" w:customStyle="1" w:styleId="AAATEETE">
    <w:name w:val="AAATEETE"/>
    <w:basedOn w:val="Normal"/>
    <w:qFormat/>
    <w:rsid w:val="0016646B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://www.ere.gov.a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4BCE8454864FB79E8A5931DD52DE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108</Nr_x002e__x0020_akti>
    <Data_x0020_e_x0020_Krijimit xmlns="0e656187-b300-4fb0-8bf4-3a50f872073c">2021-05-21T14:42:05Z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2021-05-20T22:00:00Z</Date_x0020_protokolli>
    <Titulli xmlns="0e656187-b300-4fb0-8bf4-3a50f872073c">Mbi miratimin e “Rregullave të përbashkëta të shlyerjes për shkëmbimin e energjisë në përputhje me nenet 50(3) dhe 51(1), të Komisionit Rregullator të Bashkimit Europian 2017/2195</Titulli>
    <Modifikuesi xmlns="0e656187-b300-4fb0-8bf4-3a50f872073c">valjeta.kaftalli</Modifikuesi>
    <Nr_x002e__x0020_prot_x0020_QBZ xmlns="0e656187-b300-4fb0-8bf4-3a50f872073c">751/5</Nr_x002e__x0020_prot_x0020_QBZ>
    <Data_x0020_e_x0020_Modifikimit xmlns="0e656187-b300-4fb0-8bf4-3a50f872073c">2021-05-25T07:51:41Z</Data_x0020_e_x0020_Modifikimit>
    <Dekretuar xmlns="0e656187-b300-4fb0-8bf4-3a50f872073c">false</Dekretuar>
    <Data xmlns="0e656187-b300-4fb0-8bf4-3a50f872073c">2021-04-21T22:00:00Z</Data>
    <Nr_x002e__x0020_protokolli_x0020_i_x0020_aktit xmlns="0e656187-b300-4fb0-8bf4-3a50f872073c">29/22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E96833-E259-474A-B2CB-33D075172D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174564B-5BBC-4EB5-9752-BF7C714BB5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C75AAA-5626-4416-8ADB-167CC94CF604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4C62E061-4263-45CC-9ECB-A2FEAEF54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8695</Words>
  <Characters>49568</Characters>
  <Application>Microsoft Office Word</Application>
  <DocSecurity>0</DocSecurity>
  <Lines>413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“Rregullave të përbashkëta të shlyerjes për shkëmbimin e energjisë në përputhje me nenet 50(3) dhe 51(1), të Komisionit Rregullator të Bashkimit Europian 2017/2195</vt:lpstr>
    </vt:vector>
  </TitlesOfParts>
  <Company/>
  <LinksUpToDate>false</LinksUpToDate>
  <CharactersWithSpaces>58147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“Rregullave të përbashkëta të shlyerjes për shkëmbimin e energjisë në përputhje me nenet 50(3) dhe 51(1), të Komisionit Rregullator të Bashkimit Europian 2017/2195</dc:title>
  <dc:creator>Entela Suli</dc:creator>
  <cp:lastModifiedBy>Marsela Xhepa</cp:lastModifiedBy>
  <cp:revision>3</cp:revision>
  <cp:lastPrinted>2025-02-03T13:18:00Z</cp:lastPrinted>
  <dcterms:created xsi:type="dcterms:W3CDTF">2025-02-03T13:17:00Z</dcterms:created>
  <dcterms:modified xsi:type="dcterms:W3CDTF">2025-02-03T13:18:00Z</dcterms:modified>
</cp:coreProperties>
</file>