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6569CA" w14:textId="77777777" w:rsidR="003F15EE" w:rsidRPr="00B34F43" w:rsidRDefault="003F15EE" w:rsidP="003F15E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</w:pPr>
      <w:r w:rsidRPr="00B34F43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5A529B4C" w14:textId="4750C5E0" w:rsidR="003F15EE" w:rsidRPr="00B34F43" w:rsidRDefault="00B34F43" w:rsidP="003F15E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</w:pPr>
      <w:r w:rsidRPr="00B34F43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Nr. 112</w:t>
      </w:r>
      <w:r w:rsidR="003F15EE" w:rsidRPr="00B34F43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, d</w:t>
      </w:r>
      <w:r w:rsidR="002E64DC" w:rsidRPr="00B34F43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atë 19.</w:t>
      </w:r>
      <w:r w:rsidR="003F15EE" w:rsidRPr="00B34F43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5.2022</w:t>
      </w:r>
    </w:p>
    <w:p w14:paraId="2E1C9ECF" w14:textId="77777777" w:rsidR="003F15EE" w:rsidRPr="00B34F43" w:rsidRDefault="003F15EE" w:rsidP="003F15E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</w:pPr>
    </w:p>
    <w:p w14:paraId="1B0529C4" w14:textId="0C2F8F4E" w:rsidR="003F15EE" w:rsidRPr="00B34F43" w:rsidRDefault="003F15EE" w:rsidP="003F15E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</w:pPr>
      <w:r w:rsidRPr="00B34F43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M</w:t>
      </w:r>
      <w:r w:rsidR="00B34F43" w:rsidRPr="00B34F43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BI KËRKESËN E SHOQËRISË “HEC</w:t>
      </w:r>
      <w:r w:rsidR="009035D2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B34F43" w:rsidRPr="00B34F43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TËRVOLIT” SHPK</w:t>
      </w:r>
      <w:r w:rsidRPr="00B34F43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 xml:space="preserve">, PËR ZGJIDHJEN E MOSMARRËVESHJES NDËRMJET SHOQËRISË </w:t>
      </w:r>
      <w:r w:rsidR="00B34F43" w:rsidRPr="00B34F43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“</w:t>
      </w:r>
      <w:r w:rsidRPr="00B34F43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FURNIZUESI I TREGUT TË LIRË</w:t>
      </w:r>
      <w:r w:rsidR="00B34F43" w:rsidRPr="00B34F43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”</w:t>
      </w:r>
      <w:r w:rsidR="00F96EFC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B34F43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(FTL)</w:t>
      </w:r>
      <w:r w:rsidR="00B34F43" w:rsidRPr="00B34F43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 xml:space="preserve"> SHA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</w:t>
      </w:r>
      <w:r w:rsidRPr="00B34F43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DHE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</w:t>
      </w:r>
      <w:r w:rsidR="009035D2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 xml:space="preserve">SHOQËRISË “HEC </w:t>
      </w:r>
      <w:r w:rsidR="002E64DC" w:rsidRPr="00B34F43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TËRVOLIT” SHPK</w:t>
      </w:r>
    </w:p>
    <w:p w14:paraId="30201161" w14:textId="77777777" w:rsidR="003F15EE" w:rsidRPr="00B34F43" w:rsidRDefault="003F15EE" w:rsidP="003F15E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</w:pPr>
    </w:p>
    <w:p w14:paraId="59479386" w14:textId="7CFCCC42" w:rsidR="003F15EE" w:rsidRPr="00B34F43" w:rsidRDefault="003F15EE" w:rsidP="00B34F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4F43">
        <w:rPr>
          <w:rFonts w:ascii="Garamond" w:hAnsi="Garamond"/>
          <w:sz w:val="24"/>
          <w:szCs w:val="24"/>
          <w:lang w:val="sq-AL"/>
        </w:rPr>
        <w:t>Në mbështetje të nen</w:t>
      </w:r>
      <w:r w:rsidR="00B34F43" w:rsidRPr="00B34F43">
        <w:rPr>
          <w:rFonts w:ascii="Garamond" w:hAnsi="Garamond"/>
          <w:sz w:val="24"/>
          <w:szCs w:val="24"/>
          <w:lang w:val="sq-AL"/>
        </w:rPr>
        <w:t>eve</w:t>
      </w:r>
      <w:r w:rsidRPr="00B34F43">
        <w:rPr>
          <w:rFonts w:ascii="Garamond" w:hAnsi="Garamond"/>
          <w:sz w:val="24"/>
          <w:szCs w:val="24"/>
          <w:lang w:val="sq-AL"/>
        </w:rPr>
        <w:t xml:space="preserve"> 16 dhe 20, </w:t>
      </w:r>
      <w:r w:rsidR="00B34F43" w:rsidRPr="00B34F43">
        <w:rPr>
          <w:rFonts w:ascii="Garamond" w:hAnsi="Garamond"/>
          <w:sz w:val="24"/>
          <w:szCs w:val="24"/>
          <w:lang w:val="sq-AL"/>
        </w:rPr>
        <w:t>germa</w:t>
      </w:r>
      <w:r w:rsidRPr="00B34F43">
        <w:rPr>
          <w:rFonts w:ascii="Garamond" w:hAnsi="Garamond"/>
          <w:sz w:val="24"/>
          <w:szCs w:val="24"/>
          <w:lang w:val="sq-AL"/>
        </w:rPr>
        <w:t xml:space="preserve"> “a” dhe “ë”</w:t>
      </w:r>
      <w:r w:rsidR="00B34F43" w:rsidRPr="00B34F43">
        <w:rPr>
          <w:rFonts w:ascii="Garamond" w:hAnsi="Garamond"/>
          <w:sz w:val="24"/>
          <w:szCs w:val="24"/>
          <w:lang w:val="sq-AL"/>
        </w:rPr>
        <w:t>; të</w:t>
      </w:r>
      <w:r w:rsidRPr="00B34F43">
        <w:rPr>
          <w:rFonts w:ascii="Garamond" w:hAnsi="Garamond"/>
          <w:sz w:val="24"/>
          <w:szCs w:val="24"/>
          <w:lang w:val="sq-AL"/>
        </w:rPr>
        <w:t xml:space="preserve"> nenit 24, pikat 1, 2, 3, të ligjit nr. 43/2015, “Për sektorin e energjisë elektrike”, </w:t>
      </w:r>
      <w:r w:rsidR="00B34F43">
        <w:rPr>
          <w:rFonts w:ascii="Garamond" w:hAnsi="Garamond"/>
          <w:sz w:val="24"/>
          <w:szCs w:val="24"/>
          <w:lang w:val="sq-AL"/>
        </w:rPr>
        <w:t>të</w:t>
      </w:r>
      <w:r w:rsidRPr="00B34F43">
        <w:rPr>
          <w:rFonts w:ascii="Garamond" w:hAnsi="Garamond"/>
          <w:sz w:val="24"/>
          <w:szCs w:val="24"/>
          <w:lang w:val="sq-AL"/>
        </w:rPr>
        <w:t xml:space="preserve"> ndryshuar; </w:t>
      </w:r>
      <w:r w:rsidR="00B34F43">
        <w:rPr>
          <w:rFonts w:ascii="Garamond" w:hAnsi="Garamond"/>
          <w:sz w:val="24"/>
          <w:szCs w:val="24"/>
          <w:lang w:val="sq-AL"/>
        </w:rPr>
        <w:t xml:space="preserve">të </w:t>
      </w:r>
      <w:r w:rsidRPr="00B34F43">
        <w:rPr>
          <w:rFonts w:ascii="Garamond" w:hAnsi="Garamond"/>
          <w:sz w:val="24"/>
          <w:szCs w:val="24"/>
          <w:lang w:val="sq-AL"/>
        </w:rPr>
        <w:t xml:space="preserve">nenit 23, pika 12, të </w:t>
      </w:r>
      <w:r w:rsidR="00B34F43">
        <w:rPr>
          <w:rFonts w:ascii="Garamond" w:hAnsi="Garamond"/>
          <w:sz w:val="24"/>
          <w:szCs w:val="24"/>
          <w:lang w:val="sq-AL"/>
        </w:rPr>
        <w:t>“</w:t>
      </w:r>
      <w:r w:rsidRPr="00B34F43">
        <w:rPr>
          <w:rFonts w:ascii="Garamond" w:hAnsi="Garamond"/>
          <w:sz w:val="24"/>
          <w:szCs w:val="24"/>
          <w:lang w:val="sq-AL"/>
        </w:rPr>
        <w:t>Rregullores për organizimin, funksionimin dhe procedurat e ERE-s</w:t>
      </w:r>
      <w:r w:rsidR="00B34F43">
        <w:rPr>
          <w:rFonts w:ascii="Garamond" w:hAnsi="Garamond"/>
          <w:sz w:val="24"/>
          <w:szCs w:val="24"/>
          <w:lang w:val="sq-AL"/>
        </w:rPr>
        <w:t>”</w:t>
      </w:r>
      <w:r w:rsidRPr="00B34F43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="00B34F43" w:rsidRPr="00B34F43">
        <w:rPr>
          <w:rFonts w:ascii="Garamond" w:hAnsi="Garamond"/>
          <w:sz w:val="24"/>
          <w:szCs w:val="24"/>
          <w:lang w:val="sq-AL"/>
        </w:rPr>
        <w:t xml:space="preserve">Bordit </w:t>
      </w:r>
      <w:r w:rsidRPr="00B34F43">
        <w:rPr>
          <w:rFonts w:ascii="Garamond" w:hAnsi="Garamond"/>
          <w:sz w:val="24"/>
          <w:szCs w:val="24"/>
          <w:lang w:val="sq-AL"/>
        </w:rPr>
        <w:t>të Entit Rregullator të</w:t>
      </w:r>
      <w:r w:rsidR="00B34F43">
        <w:rPr>
          <w:rFonts w:ascii="Garamond" w:hAnsi="Garamond"/>
          <w:sz w:val="24"/>
          <w:szCs w:val="24"/>
          <w:lang w:val="sq-AL"/>
        </w:rPr>
        <w:t xml:space="preserve"> Energjisë (ERE)</w:t>
      </w:r>
      <w:r w:rsidRPr="00B34F43">
        <w:rPr>
          <w:rFonts w:ascii="Garamond" w:hAnsi="Garamond"/>
          <w:sz w:val="24"/>
          <w:szCs w:val="24"/>
          <w:lang w:val="sq-AL"/>
        </w:rPr>
        <w:t xml:space="preserve"> nr.</w:t>
      </w:r>
      <w:r w:rsidR="00B34F43">
        <w:rPr>
          <w:rFonts w:ascii="Garamond" w:hAnsi="Garamond"/>
          <w:sz w:val="24"/>
          <w:szCs w:val="24"/>
          <w:lang w:val="sq-AL"/>
        </w:rPr>
        <w:t xml:space="preserve"> 96, datë 3.</w:t>
      </w:r>
      <w:r w:rsidRPr="00B34F43">
        <w:rPr>
          <w:rFonts w:ascii="Garamond" w:hAnsi="Garamond"/>
          <w:sz w:val="24"/>
          <w:szCs w:val="24"/>
          <w:lang w:val="sq-AL"/>
        </w:rPr>
        <w:t xml:space="preserve">9.2016; </w:t>
      </w:r>
      <w:r w:rsidR="00B34F43">
        <w:rPr>
          <w:rFonts w:ascii="Garamond" w:hAnsi="Garamond"/>
          <w:sz w:val="24"/>
          <w:szCs w:val="24"/>
          <w:lang w:val="sq-AL"/>
        </w:rPr>
        <w:t>“</w:t>
      </w:r>
      <w:r w:rsidRPr="00B34F43">
        <w:rPr>
          <w:rFonts w:ascii="Garamond" w:hAnsi="Garamond"/>
          <w:sz w:val="24"/>
          <w:szCs w:val="24"/>
          <w:lang w:val="sq-AL"/>
        </w:rPr>
        <w:t>Rregullores për trajtimin e ankesave të paraqitura nga klientët dhe për zgjidhjen e mosmarrëveshjeve midis të licencuarve, në sektorin e energjisë elektrike dhe të gazit natyror</w:t>
      </w:r>
      <w:r w:rsidR="00B34F43">
        <w:rPr>
          <w:rFonts w:ascii="Garamond" w:hAnsi="Garamond"/>
          <w:sz w:val="24"/>
          <w:szCs w:val="24"/>
          <w:lang w:val="sq-AL"/>
        </w:rPr>
        <w:t>”</w:t>
      </w:r>
      <w:r w:rsidRPr="00B34F43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B34F43" w:rsidRPr="00B34F43">
        <w:rPr>
          <w:rFonts w:ascii="Garamond" w:hAnsi="Garamond"/>
          <w:sz w:val="24"/>
          <w:szCs w:val="24"/>
          <w:lang w:val="sq-AL"/>
        </w:rPr>
        <w:t xml:space="preserve">Bordit </w:t>
      </w:r>
      <w:r w:rsidRPr="00B34F43">
        <w:rPr>
          <w:rFonts w:ascii="Garamond" w:hAnsi="Garamond"/>
          <w:sz w:val="24"/>
          <w:szCs w:val="24"/>
          <w:lang w:val="sq-AL"/>
        </w:rPr>
        <w:t>të ER</w:t>
      </w:r>
      <w:r w:rsidR="00B34F43">
        <w:rPr>
          <w:rFonts w:ascii="Garamond" w:hAnsi="Garamond"/>
          <w:sz w:val="24"/>
          <w:szCs w:val="24"/>
          <w:lang w:val="sq-AL"/>
        </w:rPr>
        <w:t>E-s nr. 114, datë 8.</w:t>
      </w:r>
      <w:r w:rsidRPr="00B34F43">
        <w:rPr>
          <w:rFonts w:ascii="Garamond" w:hAnsi="Garamond"/>
          <w:sz w:val="24"/>
          <w:szCs w:val="24"/>
          <w:lang w:val="sq-AL"/>
        </w:rPr>
        <w:t>7.2016</w:t>
      </w:r>
      <w:r w:rsidR="00B34F43">
        <w:rPr>
          <w:rFonts w:ascii="Garamond" w:hAnsi="Garamond"/>
          <w:sz w:val="24"/>
          <w:szCs w:val="24"/>
          <w:lang w:val="sq-AL"/>
        </w:rPr>
        <w:t>,</w:t>
      </w:r>
      <w:r w:rsidRPr="00B34F43">
        <w:rPr>
          <w:rFonts w:ascii="Garamond" w:hAnsi="Garamond"/>
          <w:sz w:val="24"/>
          <w:szCs w:val="24"/>
          <w:lang w:val="sq-AL"/>
        </w:rPr>
        <w:t xml:space="preserve"> dhe </w:t>
      </w:r>
      <w:r w:rsidR="00B34F43">
        <w:rPr>
          <w:rFonts w:ascii="Garamond" w:hAnsi="Garamond"/>
          <w:sz w:val="24"/>
          <w:szCs w:val="24"/>
          <w:lang w:val="sq-AL"/>
        </w:rPr>
        <w:t>“Kontratës për shit</w:t>
      </w:r>
      <w:r w:rsidRPr="00B34F43">
        <w:rPr>
          <w:rFonts w:ascii="Garamond" w:hAnsi="Garamond"/>
          <w:sz w:val="24"/>
          <w:szCs w:val="24"/>
          <w:lang w:val="sq-AL"/>
        </w:rPr>
        <w:t xml:space="preserve">blerje të energjisë elektrike ndërmjet </w:t>
      </w:r>
      <w:r w:rsidR="00B34F43">
        <w:rPr>
          <w:rFonts w:ascii="Garamond" w:hAnsi="Garamond"/>
          <w:sz w:val="24"/>
          <w:szCs w:val="24"/>
          <w:lang w:val="sq-AL"/>
        </w:rPr>
        <w:t>‘</w:t>
      </w:r>
      <w:r w:rsidRPr="00B34F43">
        <w:rPr>
          <w:rFonts w:ascii="Garamond" w:hAnsi="Garamond"/>
          <w:sz w:val="24"/>
          <w:szCs w:val="24"/>
          <w:lang w:val="sq-AL"/>
        </w:rPr>
        <w:t>Operatorit të Shpërndarjes së Energjisë Elektrike</w:t>
      </w:r>
      <w:r w:rsidR="00B34F43">
        <w:rPr>
          <w:rFonts w:ascii="Garamond" w:hAnsi="Garamond"/>
          <w:sz w:val="24"/>
          <w:szCs w:val="24"/>
          <w:lang w:val="sq-AL"/>
        </w:rPr>
        <w:t>’</w:t>
      </w:r>
      <w:r w:rsidRPr="00B34F43">
        <w:rPr>
          <w:rFonts w:ascii="Garamond" w:hAnsi="Garamond"/>
          <w:sz w:val="24"/>
          <w:szCs w:val="24"/>
          <w:lang w:val="sq-AL"/>
        </w:rPr>
        <w:t xml:space="preserve"> (OSHEE sh.a.) dhe </w:t>
      </w:r>
      <w:r w:rsidR="00B34F43" w:rsidRPr="00B34F43">
        <w:rPr>
          <w:rFonts w:ascii="Garamond" w:hAnsi="Garamond"/>
          <w:sz w:val="24"/>
          <w:szCs w:val="24"/>
          <w:lang w:val="sq-AL"/>
        </w:rPr>
        <w:t>prodhuesve me përparësi të energjisë elektrike</w:t>
      </w:r>
      <w:r w:rsidRPr="00B34F43">
        <w:rPr>
          <w:rFonts w:ascii="Garamond" w:hAnsi="Garamond"/>
          <w:sz w:val="24"/>
          <w:szCs w:val="24"/>
          <w:lang w:val="sq-AL"/>
        </w:rPr>
        <w:t xml:space="preserve">”, miratuar me vendimin e </w:t>
      </w:r>
      <w:r w:rsidR="00B34F43" w:rsidRPr="00B34F43">
        <w:rPr>
          <w:rFonts w:ascii="Garamond" w:hAnsi="Garamond"/>
          <w:sz w:val="24"/>
          <w:szCs w:val="24"/>
          <w:lang w:val="sq-AL"/>
        </w:rPr>
        <w:t xml:space="preserve">Bordit </w:t>
      </w:r>
      <w:r w:rsidRPr="00B34F43">
        <w:rPr>
          <w:rFonts w:ascii="Garamond" w:hAnsi="Garamond"/>
          <w:sz w:val="24"/>
          <w:szCs w:val="24"/>
          <w:lang w:val="sq-AL"/>
        </w:rPr>
        <w:t>të ERE-s nr. 101,</w:t>
      </w:r>
      <w:r w:rsidR="00B34F43">
        <w:rPr>
          <w:rFonts w:ascii="Garamond" w:hAnsi="Garamond"/>
          <w:sz w:val="24"/>
          <w:szCs w:val="24"/>
          <w:lang w:val="sq-AL"/>
        </w:rPr>
        <w:t xml:space="preserve"> datë 23.</w:t>
      </w:r>
      <w:r w:rsidRPr="00B34F43">
        <w:rPr>
          <w:rFonts w:ascii="Garamond" w:hAnsi="Garamond"/>
          <w:sz w:val="24"/>
          <w:szCs w:val="24"/>
          <w:lang w:val="sq-AL"/>
        </w:rPr>
        <w:t xml:space="preserve">6.2016, të ndryshuar; </w:t>
      </w:r>
      <w:r w:rsidR="00B34F43" w:rsidRPr="00B34F43">
        <w:rPr>
          <w:rFonts w:ascii="Garamond" w:hAnsi="Garamond"/>
          <w:sz w:val="24"/>
          <w:szCs w:val="24"/>
          <w:lang w:val="sq-AL"/>
        </w:rPr>
        <w:t xml:space="preserve">Bordi </w:t>
      </w:r>
      <w:r w:rsidRPr="00B34F43">
        <w:rPr>
          <w:rFonts w:ascii="Garamond" w:hAnsi="Garamond"/>
          <w:sz w:val="24"/>
          <w:szCs w:val="24"/>
          <w:lang w:val="sq-AL"/>
        </w:rPr>
        <w:t xml:space="preserve">i ERE-s, </w:t>
      </w:r>
      <w:r w:rsidR="00B34F43">
        <w:rPr>
          <w:rFonts w:ascii="Garamond" w:hAnsi="Garamond"/>
          <w:sz w:val="24"/>
          <w:szCs w:val="24"/>
          <w:lang w:val="sq-AL"/>
        </w:rPr>
        <w:t>në mbledhjen e tij të datës 19.</w:t>
      </w:r>
      <w:r w:rsidRPr="00B34F43">
        <w:rPr>
          <w:rFonts w:ascii="Garamond" w:hAnsi="Garamond"/>
          <w:sz w:val="24"/>
          <w:szCs w:val="24"/>
          <w:lang w:val="sq-AL"/>
        </w:rPr>
        <w:t xml:space="preserve">5.2022, pasi shqyrtoi relacionin e përgatitur nga </w:t>
      </w:r>
      <w:r w:rsidR="00B34F43" w:rsidRPr="00B34F43">
        <w:rPr>
          <w:rFonts w:ascii="Garamond" w:hAnsi="Garamond"/>
          <w:sz w:val="24"/>
          <w:szCs w:val="24"/>
          <w:lang w:val="sq-AL"/>
        </w:rPr>
        <w:t xml:space="preserve">grupi i punës </w:t>
      </w:r>
      <w:r w:rsidR="00B34F43">
        <w:rPr>
          <w:rFonts w:ascii="Garamond" w:hAnsi="Garamond"/>
          <w:sz w:val="24"/>
          <w:szCs w:val="24"/>
          <w:lang w:val="sq-AL"/>
        </w:rPr>
        <w:t>me nr. 668/5 prot., datë 13.</w:t>
      </w:r>
      <w:r w:rsidRPr="00B34F43">
        <w:rPr>
          <w:rFonts w:ascii="Garamond" w:hAnsi="Garamond"/>
          <w:sz w:val="24"/>
          <w:szCs w:val="24"/>
          <w:lang w:val="sq-AL"/>
        </w:rPr>
        <w:t xml:space="preserve">5.2022, “Mbi kërkesën e shoqërisë </w:t>
      </w:r>
      <w:r w:rsidR="00B34F43">
        <w:rPr>
          <w:rFonts w:ascii="Garamond" w:hAnsi="Garamond"/>
          <w:sz w:val="24"/>
          <w:szCs w:val="24"/>
          <w:lang w:val="sq-AL"/>
        </w:rPr>
        <w:t xml:space="preserve">‘HEC </w:t>
      </w:r>
      <w:r w:rsidRPr="00B34F43">
        <w:rPr>
          <w:rFonts w:ascii="Garamond" w:hAnsi="Garamond"/>
          <w:sz w:val="24"/>
          <w:szCs w:val="24"/>
          <w:lang w:val="sq-AL"/>
        </w:rPr>
        <w:t>Tërvolit</w:t>
      </w:r>
      <w:r w:rsidR="00B34F43">
        <w:rPr>
          <w:rFonts w:ascii="Garamond" w:hAnsi="Garamond"/>
          <w:sz w:val="24"/>
          <w:szCs w:val="24"/>
          <w:lang w:val="sq-AL"/>
        </w:rPr>
        <w:t xml:space="preserve">’ </w:t>
      </w:r>
      <w:r w:rsidRPr="00B34F43">
        <w:rPr>
          <w:rFonts w:ascii="Garamond" w:hAnsi="Garamond"/>
          <w:sz w:val="24"/>
          <w:szCs w:val="24"/>
          <w:lang w:val="sq-AL"/>
        </w:rPr>
        <w:t>sh.p.k., për zgjidhjen e mosmarrë</w:t>
      </w:r>
      <w:r w:rsidR="00B34F43">
        <w:rPr>
          <w:rFonts w:ascii="Garamond" w:hAnsi="Garamond"/>
          <w:sz w:val="24"/>
          <w:szCs w:val="24"/>
          <w:lang w:val="sq-AL"/>
        </w:rPr>
        <w:t>veshjes ndërmjet palëve</w:t>
      </w:r>
      <w:r w:rsidRPr="00B34F43">
        <w:rPr>
          <w:rFonts w:ascii="Garamond" w:hAnsi="Garamond"/>
          <w:sz w:val="24"/>
          <w:szCs w:val="24"/>
          <w:lang w:val="sq-AL"/>
        </w:rPr>
        <w:t xml:space="preserve"> shoqërisë </w:t>
      </w:r>
      <w:r w:rsidR="00B34F43">
        <w:rPr>
          <w:rFonts w:ascii="Garamond" w:hAnsi="Garamond"/>
          <w:sz w:val="24"/>
          <w:szCs w:val="24"/>
          <w:lang w:val="sq-AL"/>
        </w:rPr>
        <w:t>‘</w:t>
      </w:r>
      <w:r w:rsidRPr="00B34F43">
        <w:rPr>
          <w:rFonts w:ascii="Garamond" w:hAnsi="Garamond"/>
          <w:sz w:val="24"/>
          <w:szCs w:val="24"/>
          <w:lang w:val="sq-AL"/>
        </w:rPr>
        <w:t>Furnizuesi i Tregut të Lirë</w:t>
      </w:r>
      <w:r w:rsidR="00B34F43">
        <w:rPr>
          <w:rFonts w:ascii="Garamond" w:hAnsi="Garamond"/>
          <w:sz w:val="24"/>
          <w:szCs w:val="24"/>
          <w:lang w:val="sq-AL"/>
        </w:rPr>
        <w:t>’</w:t>
      </w:r>
      <w:r w:rsidRPr="00B34F43">
        <w:rPr>
          <w:rFonts w:ascii="Garamond" w:hAnsi="Garamond"/>
          <w:sz w:val="24"/>
          <w:szCs w:val="24"/>
          <w:lang w:val="sq-AL"/>
        </w:rPr>
        <w:t xml:space="preserve"> (FTL) sh.a. dhe shoqërisë </w:t>
      </w:r>
      <w:r w:rsidR="00B34F43">
        <w:rPr>
          <w:rFonts w:ascii="Garamond" w:hAnsi="Garamond"/>
          <w:sz w:val="24"/>
          <w:szCs w:val="24"/>
          <w:lang w:val="sq-AL"/>
        </w:rPr>
        <w:t>‘HEC</w:t>
      </w:r>
      <w:r w:rsidR="00B34F43" w:rsidRPr="00B34F43">
        <w:rPr>
          <w:rFonts w:ascii="Garamond" w:hAnsi="Garamond"/>
          <w:sz w:val="24"/>
          <w:szCs w:val="24"/>
          <w:lang w:val="sq-AL"/>
        </w:rPr>
        <w:t xml:space="preserve"> </w:t>
      </w:r>
      <w:r w:rsidRPr="00B34F43">
        <w:rPr>
          <w:rFonts w:ascii="Garamond" w:hAnsi="Garamond"/>
          <w:sz w:val="24"/>
          <w:szCs w:val="24"/>
          <w:lang w:val="sq-AL"/>
        </w:rPr>
        <w:t>Tërvolit</w:t>
      </w:r>
      <w:r w:rsidR="00B34F43">
        <w:rPr>
          <w:rFonts w:ascii="Garamond" w:hAnsi="Garamond"/>
          <w:sz w:val="24"/>
          <w:szCs w:val="24"/>
          <w:lang w:val="sq-AL"/>
        </w:rPr>
        <w:t xml:space="preserve">’ </w:t>
      </w:r>
      <w:r w:rsidRPr="00B34F43">
        <w:rPr>
          <w:rFonts w:ascii="Garamond" w:hAnsi="Garamond"/>
          <w:sz w:val="24"/>
          <w:szCs w:val="24"/>
          <w:lang w:val="sq-AL"/>
        </w:rPr>
        <w:t>sh.p.k.”,</w:t>
      </w:r>
    </w:p>
    <w:p w14:paraId="77F6778B" w14:textId="5199B35A" w:rsidR="003F15EE" w:rsidRPr="00B34F43" w:rsidRDefault="00B34F43" w:rsidP="003F15E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eastAsia="MS Mincho" w:hAnsi="Garamond" w:cs="Times New Roman"/>
          <w:bCs/>
          <w:color w:val="000000"/>
          <w:sz w:val="24"/>
          <w:szCs w:val="24"/>
          <w:lang w:val="sq-AL"/>
        </w:rPr>
        <w:t>k</w:t>
      </w:r>
      <w:r w:rsidR="003F15EE" w:rsidRPr="00B34F43">
        <w:rPr>
          <w:rFonts w:ascii="Garamond" w:eastAsia="MS Mincho" w:hAnsi="Garamond" w:cs="Times New Roman"/>
          <w:bCs/>
          <w:color w:val="000000"/>
          <w:sz w:val="24"/>
          <w:szCs w:val="24"/>
          <w:lang w:val="sq-AL"/>
        </w:rPr>
        <w:t>onstatoi se:</w:t>
      </w:r>
    </w:p>
    <w:p w14:paraId="6C1FAE26" w14:textId="489EA384" w:rsidR="003F15EE" w:rsidRPr="00B34F43" w:rsidRDefault="003F15EE" w:rsidP="003F15E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B34F43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- </w:t>
      </w:r>
      <w:r w:rsid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Shoqëria “HEC Tërvolit” sh.p.k.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ka depozit</w:t>
      </w:r>
      <w:r w:rsid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uar në ERE shkresën e datës 29.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3.2022, protokolluar me nr. 6/6 prot., datë 29</w:t>
      </w:r>
      <w:r w:rsid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.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3.2022</w:t>
      </w:r>
      <w:r w:rsid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me lëndë “</w:t>
      </w:r>
      <w:r w:rsidRPr="00B34F43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 xml:space="preserve">Vijueshmërinë e kontratës së shitblerjes së energjisë elektrike </w:t>
      </w:r>
      <w:r w:rsidR="00B34F43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nr. 227/15, datë 23.1.2020,</w:t>
      </w:r>
      <w:r w:rsidRPr="00B34F43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 xml:space="preserve"> nënshk</w:t>
      </w:r>
      <w:r w:rsidR="00B34F43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ruar ndërmjet shoqërisë ‘HEC</w:t>
      </w:r>
      <w:r w:rsidR="00F96EFC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B34F43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Tërvoli’ sh.p.k.</w:t>
      </w:r>
      <w:r w:rsidRPr="00B34F43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 xml:space="preserve"> dhe shoqërisë </w:t>
      </w:r>
      <w:r w:rsidR="00B34F43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‘</w:t>
      </w:r>
      <w:r w:rsidRPr="00B34F43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Furnizuesi i Tregut të Lirë</w:t>
      </w:r>
      <w:r w:rsidR="00B34F43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’</w:t>
      </w:r>
      <w:r w:rsidRPr="00B34F43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 xml:space="preserve"> (FTL) sh.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a.”.</w:t>
      </w:r>
    </w:p>
    <w:p w14:paraId="4D8BB53C" w14:textId="2DE0D1F9" w:rsidR="003F15EE" w:rsidRPr="00B34F43" w:rsidRDefault="003F15EE" w:rsidP="003F15E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B34F43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- 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Neni 20, </w:t>
      </w:r>
      <w:r w:rsidR="00B34F43"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germa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“ë”, e ligjit nr. 43/2015, “Për sektorin e energjisë elektrike”, i ndryshuar, parashikon të drejtën e ERE</w:t>
      </w:r>
      <w:r w:rsid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-s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për të zgjidhur mosmarrëveshjet, në lidhje me ankesat e paraqitura nga klientët dhe mosmarrëveshjet e lindura midis të licencuarve, sipas parashikimeve të këtij ligji. Gjithashtu, ligji nr. 102/2015, “Për sektorin e gazit natyror”, i ndryshuar, në nenin 98, pika 1, njeh autoritetin e ERE</w:t>
      </w:r>
      <w:r w:rsid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-s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për të zgjidhur mosmarrëveshjet ndërmjet të licencuarve në sektorin e gazit natyror, si dhe ndërmjet tyre dhe klientëve.</w:t>
      </w:r>
    </w:p>
    <w:p w14:paraId="43110E39" w14:textId="012B3CA5" w:rsidR="003F15EE" w:rsidRPr="00B34F43" w:rsidRDefault="003F15EE" w:rsidP="003F15E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B34F43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- 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Rregullorja për trajtimin e ankesave të paraqitura nga klientët dhe për zgjidhjen e mosmarrëveshjeve midis të licencuarve, në sektorin e energjisë elektrike dhe të gazit natyror, miratuar me vendimin e </w:t>
      </w:r>
      <w:r w:rsidR="00B34F43"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Bordit 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të ERE-s nr. 114, datë 8.7.2016, në nenin 11, pika 11.1, parashikon se: “</w:t>
      </w:r>
      <w:r w:rsidRPr="00B34F43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Çdo i licencuar, ka të drejtë të paraqesë me shkrim, pranë ERE-s, një kërkesë për shqyrtimin e një mosmarrëveshjeje, të lindur mes tij dhe një, ose më shumë të licencuar</w:t>
      </w:r>
      <w:r w:rsidR="00F96EFC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i/ve</w:t>
      </w:r>
      <w:r w:rsidRPr="00B34F43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 xml:space="preserve"> tjetër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”.</w:t>
      </w:r>
    </w:p>
    <w:p w14:paraId="4F458C5E" w14:textId="2DE4E983" w:rsidR="003F15EE" w:rsidRPr="00B34F43" w:rsidRDefault="003F15EE" w:rsidP="003F15E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B34F43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- 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Përveç sa më sipër, në nenin 20, pika 1, të “Kontratës</w:t>
      </w:r>
      <w:r w:rsidR="00F96EF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për shit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blerje të energjisë elektrike ndërmjet </w:t>
      </w:r>
      <w:r w:rsidR="00F96EF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‘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Operatorit të Shpërndarjes së Energjisë Elektrike</w:t>
      </w:r>
      <w:r w:rsidR="00F96EF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’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(OSHEE sh.a.) dhe </w:t>
      </w:r>
      <w:r w:rsidR="00F96EFC"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prodhuesve me përparësi të energjisë elektrike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”</w:t>
      </w:r>
      <w:r w:rsidR="00F96EF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miratuar me vendimin e </w:t>
      </w:r>
      <w:r w:rsidR="00F96EFC"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Bordit 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të ERE-s</w:t>
      </w:r>
      <w:r w:rsidRPr="00B34F43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F96EF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nr. 101, datë 23.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6.2016, </w:t>
      </w:r>
      <w:r w:rsidR="00F96EF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të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ndryshuar, parashikohet se: “</w:t>
      </w:r>
      <w:r w:rsidRPr="00B34F43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 xml:space="preserve">Në rast të mosmarrëveshjeve, </w:t>
      </w:r>
      <w:r w:rsidR="00F96EFC" w:rsidRPr="00B34F43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 xml:space="preserve">blerësi dhe shitësi </w:t>
      </w:r>
      <w:r w:rsidRPr="00B34F43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 xml:space="preserve">do të bëjnë fillimisht përpjekje të zgjidhin konfliktin me mirëkuptim. Nëse </w:t>
      </w:r>
      <w:r w:rsidR="00F96EFC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p</w:t>
      </w:r>
      <w:r w:rsidRPr="00B34F43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alët nuk gjejnë mirëkuptim, ato mund të kërkojnë ndërhyrjen e ERE-s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”.</w:t>
      </w:r>
    </w:p>
    <w:p w14:paraId="00328907" w14:textId="0A166B5F" w:rsidR="003F15EE" w:rsidRPr="00B34F43" w:rsidRDefault="003F15EE" w:rsidP="003F15E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B34F43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- 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Në zbatim të “</w:t>
      </w:r>
      <w:r w:rsidRPr="00B34F43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 xml:space="preserve">Rregullores për trajtimin e ankesave të paraqitura nga klientët dhe për zgjidhjen e mosmarrëveshjeve </w:t>
      </w:r>
      <w:r w:rsidR="00F96EFC" w:rsidRPr="00B34F43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ndërmjet</w:t>
      </w:r>
      <w:r w:rsidRPr="00B34F43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 xml:space="preserve"> të licencuarve, në sektorin e energjisë elektrike dhe të gazit natyror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”, në nenin 12, pika 12.1.1, parashikon si fazë të parë të investimit të ERE</w:t>
      </w:r>
      <w:r w:rsidR="00F96EF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-s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pranimin e kërkesës me shkrim për shqyrtimin e mosmarrëveshjes.</w:t>
      </w:r>
    </w:p>
    <w:p w14:paraId="2944ACA3" w14:textId="58263259" w:rsidR="003F15EE" w:rsidRPr="00B34F43" w:rsidRDefault="003F15EE" w:rsidP="003F15E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B34F43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- </w:t>
      </w:r>
      <w:r w:rsidR="00F96EF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Rezulton se shoqëria “HEC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Tërvolit” sh.p.k. është licencuar për prodhimin e energjisë elektrike me vendimin e </w:t>
      </w:r>
      <w:r w:rsidR="00F96EFC"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Bordit </w:t>
      </w:r>
      <w:r w:rsidR="00F96EF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të ERE-s nr. 57, datë 2.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6.2008,</w:t>
      </w:r>
      <w:r w:rsidR="00F96EF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me licencën nr. 58, </w:t>
      </w:r>
      <w:r w:rsidR="00F96EF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s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eria NPM08K. 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lastRenderedPageBreak/>
        <w:t>Gjithashtu</w:t>
      </w:r>
      <w:r w:rsidR="00F96EF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 shoqëria FTL sh.a.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është licencuar me vendimin e </w:t>
      </w:r>
      <w:r w:rsidR="00F96EFC"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Bordit </w:t>
      </w:r>
      <w:r w:rsidR="00F96EF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të ERE-s nr. 199, datë 3.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9.2018, në veprimtarinë e furnizimit të energjisë elektrike me licencën nr. F18, me afat vlefshmëri</w:t>
      </w:r>
      <w:r w:rsidR="00F96EF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e deri më 30.9.2023.</w:t>
      </w:r>
    </w:p>
    <w:p w14:paraId="697E9622" w14:textId="6C051ED4" w:rsidR="003F15EE" w:rsidRPr="00B34F43" w:rsidRDefault="003F15EE" w:rsidP="003F15E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B34F43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- 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Në të njëjtën kohë, VKM</w:t>
      </w:r>
      <w:r w:rsidR="00F96EF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-ja nr. 244, datë 30.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3.2016, e ndryshuar, mbi “</w:t>
      </w:r>
      <w:r w:rsidRPr="00B34F43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Kushtet për vendosjen e detyrimit të shërbimit publik, që do të zbatohen ndaj të licencuarve në sektorin e energjisë elektrike, të cilët ushtrojnë aktivitetin e prodhimit, transmetimit, shpërndarjes dhe furnizimit me energji elektrike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”, vendos detyrimin e shërbimit publik për blerjen e energjisë elektrike nga burimet e rinovueshme të energjisë për shoqërinë publike të furnizimit në tregun e lirë, në përputhje me legjislacionin në fuqi dhe kont</w:t>
      </w:r>
      <w:r w:rsidR="00F96EF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ratën tip, të miratuar nga ERE.</w:t>
      </w:r>
    </w:p>
    <w:p w14:paraId="507E18C1" w14:textId="5BAFF934" w:rsidR="003F15EE" w:rsidRPr="00B34F43" w:rsidRDefault="003F15EE" w:rsidP="003F15E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B34F43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- 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Kont</w:t>
      </w:r>
      <w:r w:rsidR="00F96EF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ratat ekzistuese që OSHEE sh.a.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ka me prodhuesit me përparësi të energjis</w:t>
      </w:r>
      <w:r w:rsidR="00F96EF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ë elektrike janë transferuar te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shoqëria FTL sh.a., bazuar në aktet e brendshme ligjore/administrative ndërmjet shoqërive. Në këto rrethana</w:t>
      </w:r>
      <w:r w:rsidR="00F96EF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palët legjitimohen për shqyrtimin e mosmarrëveshjeve nga ERE sipas përcaktimeve të akteve ligjore n</w:t>
      </w:r>
      <w:r w:rsidR="00F96EF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ë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fuqi.</w:t>
      </w:r>
    </w:p>
    <w:p w14:paraId="5E3DF7DB" w14:textId="6F81E84B" w:rsidR="003F15EE" w:rsidRPr="00B34F43" w:rsidRDefault="003F15EE" w:rsidP="003F15E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B34F43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- 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Në mbështetje të neneve 13 dhe 20, të ligjit nr. 43/2015, “</w:t>
      </w:r>
      <w:r w:rsidRPr="00B34F43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”, </w:t>
      </w:r>
      <w:r w:rsidR="00F96EF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të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ndryshuar</w:t>
      </w:r>
      <w:r w:rsidR="00F96EF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; të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nenit 26, pika 1, të </w:t>
      </w:r>
      <w:r w:rsidRPr="00B34F43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“Rregullores për organizimin, funksionimin dhe procedurat e ERE-s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”, miratuar me vendimin e </w:t>
      </w:r>
      <w:r w:rsidR="00F96EFC"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Bordit </w:t>
      </w:r>
      <w:r w:rsidR="00F96EF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të ERE-s nr. 96, datë 17.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6.20</w:t>
      </w:r>
      <w:r w:rsidR="00F96EF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16, me urdhrin nr. 75, datë 13.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5.2022, është ngritur grupi i punës për shqyrtimin e mosmarrëveshjes ndër</w:t>
      </w:r>
      <w:r w:rsidR="00F96EF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mjet shoqërisë shoqërisë “HEC Tërvolit” sh.p.k.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dhe </w:t>
      </w:r>
      <w:r w:rsidR="00F96EF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“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Furnizuesit të Tregut të Lirë</w:t>
      </w:r>
      <w:r w:rsidR="00F96EF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”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(FTL) sh.a., në lidhje me kërkesën e shoqërisë </w:t>
      </w:r>
      <w:r w:rsidR="00F96EF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“</w:t>
      </w:r>
      <w:r w:rsidR="00F96EFC"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HEC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T</w:t>
      </w:r>
      <w:r w:rsidR="009035D2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ë</w:t>
      </w:r>
      <w:bookmarkStart w:id="0" w:name="_GoBack"/>
      <w:bookmarkEnd w:id="0"/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rvolit</w:t>
      </w:r>
      <w:r w:rsidR="00F96EF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” sh.p.k.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për zgjidhjen e kontratë</w:t>
      </w:r>
      <w:r w:rsidR="00F96EF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s me nr. 227/15 prot., datë 23.1.2020, lidhur ndërmjet palëve.</w:t>
      </w:r>
    </w:p>
    <w:p w14:paraId="4B6FEDB2" w14:textId="0D792084" w:rsidR="003F15EE" w:rsidRPr="00B34F43" w:rsidRDefault="003F15EE" w:rsidP="003F15E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B34F43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- 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Në zbatim të “</w:t>
      </w:r>
      <w:r w:rsidRPr="00B34F43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 xml:space="preserve">Rregullores për trajtimin e ankesave të paraqitura nga klientët dhe për zgjidhjen e mosmarrëveshjeve </w:t>
      </w:r>
      <w:r w:rsidR="00F96EFC" w:rsidRPr="00B34F43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ndërmjet</w:t>
      </w:r>
      <w:r w:rsidRPr="00B34F43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 xml:space="preserve"> të licencuarve, në sektorin e energjisë elektrike dhe të gazit natyror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”, neni 12, pika 12.1.1, parashikon si fazë të parë të investimit të ERE-s pranimin e kërkesës me shkrim për shqyrtimin e mosmarrëveshjes, si dhe duke konsideruar se palët prej kohësh kanë vijuar komunikimet shkresore për këtë mosmarrëveshje</w:t>
      </w:r>
      <w:r w:rsidR="00F96EF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vlerësohet e nevojshme pranimi për shqyrtim nga ERE i mosmarrëveshjes ndërmjet shoqërive.</w:t>
      </w:r>
    </w:p>
    <w:p w14:paraId="095065F9" w14:textId="153E2402" w:rsidR="003F15EE" w:rsidRPr="00B34F43" w:rsidRDefault="003F15EE" w:rsidP="003F15E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F96EFC"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Bordi </w:t>
      </w:r>
      <w:r w:rsidR="00F96EF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i ERE-s</w:t>
      </w:r>
    </w:p>
    <w:p w14:paraId="6C64C617" w14:textId="77777777" w:rsidR="003F15EE" w:rsidRPr="00F96EFC" w:rsidRDefault="003F15EE" w:rsidP="003F15E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12"/>
          <w:szCs w:val="24"/>
          <w:lang w:val="sq-AL"/>
        </w:rPr>
      </w:pPr>
    </w:p>
    <w:p w14:paraId="711048E1" w14:textId="15B4CCD0" w:rsidR="003F15EE" w:rsidRPr="00B34F43" w:rsidRDefault="003F15EE" w:rsidP="003F15E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color w:val="000000"/>
          <w:sz w:val="24"/>
          <w:szCs w:val="24"/>
          <w:lang w:val="sq-AL"/>
        </w:rPr>
      </w:pPr>
      <w:r w:rsidRPr="00B34F43">
        <w:rPr>
          <w:rFonts w:ascii="Garamond" w:eastAsia="MS Mincho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55CF7198" w14:textId="77777777" w:rsidR="003F15EE" w:rsidRPr="00F96EFC" w:rsidRDefault="003F15EE" w:rsidP="003F15E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10"/>
          <w:szCs w:val="24"/>
          <w:lang w:val="sq-AL"/>
        </w:rPr>
      </w:pPr>
    </w:p>
    <w:p w14:paraId="18C8C891" w14:textId="246020A2" w:rsidR="003F15EE" w:rsidRPr="00B34F43" w:rsidRDefault="003F15EE" w:rsidP="003F15E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1. Pranimin për shqyrtim nga ERE të kërkesës së paraqitur nga shoqëria “</w:t>
      </w:r>
      <w:r w:rsidR="00F96EFC"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HEC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Tërvolit” sh.p.k., për zgjidhjen e mosmarrëveshjes ndërmjet shoqërisë “</w:t>
      </w:r>
      <w:r w:rsidR="00F96EFC"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HEC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Tërvolit” sh.p.k. dhe shoqërisë “FTL” sh.a., duke filluar procedurën për zgjidhjen e mosmarrëveshjes në përputhje me “Rregulloren për trajtimin e ankesave të paraqitura nga klientët dhe për zgjidhjen e mosmarrëveshjeve midis të licencuarve, në sektorin e energjisë elektrike dhe të gazit natyror”, miratuar me vendimin e </w:t>
      </w:r>
      <w:r w:rsidR="00F96EFC"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Bordit </w:t>
      </w:r>
      <w:r w:rsidR="00F96EF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të ERE-s nr. 114, datë 8.7.2016.</w:t>
      </w:r>
    </w:p>
    <w:p w14:paraId="7CE22014" w14:textId="41A714BC" w:rsidR="003F15EE" w:rsidRPr="00B34F43" w:rsidRDefault="003F15EE" w:rsidP="003F15E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2. Drejtoria Juridike dhe e Zgjidhjes së Mosmarrëv</w:t>
      </w:r>
      <w:r w:rsidR="00F96EF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eshjeve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të njoftojë palët e interesit për vendimin e </w:t>
      </w:r>
      <w:r w:rsidR="00F96EFC"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Bordit 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të ERE-s.</w:t>
      </w:r>
    </w:p>
    <w:p w14:paraId="2C52EE9B" w14:textId="77777777" w:rsidR="003F15EE" w:rsidRPr="00B34F43" w:rsidRDefault="003F15EE" w:rsidP="003F15E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Ky vendim hyn në fuqi menjëherë.</w:t>
      </w:r>
    </w:p>
    <w:p w14:paraId="6AEDF444" w14:textId="77777777" w:rsidR="00F96EFC" w:rsidRDefault="003F15EE" w:rsidP="003F15E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Çdo palë e përfshirë në këtë pr</w:t>
      </w:r>
      <w:r w:rsidR="00F96EF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ocedurë mund t’i kërkojë ERE-s,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brenda 7 ditëve kalendarike nga data e marrjes së vendimit, rishikimin e vendimit të </w:t>
      </w:r>
      <w:r w:rsidR="00F96EFC"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Bordit</w:t>
      </w:r>
      <w:r w:rsidR="00F96EFC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="00F96EFC"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F96EFC"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Bordin </w:t>
      </w: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në marrjen e një vendimi të ndryshëm nga i mëparshmi apo për gabime materiale të konstatuara. </w:t>
      </w:r>
    </w:p>
    <w:p w14:paraId="04986F8D" w14:textId="45C0D13C" w:rsidR="003F15EE" w:rsidRPr="00B34F43" w:rsidRDefault="003F15EE" w:rsidP="003F15E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Për këtë vendim mund të bëhet ankim në Gjykatën Administrative Tiranë, brenda 30 ditëve kalendarike nga dita e publikimit në Fletoren Zyrtare.</w:t>
      </w:r>
    </w:p>
    <w:p w14:paraId="66FC3363" w14:textId="77777777" w:rsidR="003F15EE" w:rsidRPr="00B34F43" w:rsidRDefault="003F15EE" w:rsidP="003F15E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B34F43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744C3B85" w14:textId="77777777" w:rsidR="003F15EE" w:rsidRPr="00B34F43" w:rsidRDefault="003F15EE" w:rsidP="003F15E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</w:p>
    <w:p w14:paraId="7727B9CD" w14:textId="156E9185" w:rsidR="003F15EE" w:rsidRPr="00B34F43" w:rsidRDefault="003F15EE" w:rsidP="003F15E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color w:val="000000"/>
          <w:sz w:val="24"/>
          <w:szCs w:val="24"/>
          <w:lang w:val="sq-AL"/>
        </w:rPr>
      </w:pPr>
      <w:r w:rsidRPr="00B34F43">
        <w:rPr>
          <w:rFonts w:ascii="Garamond" w:eastAsia="MS Mincho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25DD1DB2" w14:textId="1127C071" w:rsidR="00DE5BA8" w:rsidRPr="00F96EFC" w:rsidRDefault="003F15EE" w:rsidP="00F96EF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</w:pPr>
      <w:r w:rsidRPr="00B34F43">
        <w:rPr>
          <w:rFonts w:ascii="Garamond" w:eastAsia="MS Mincho" w:hAnsi="Garamond" w:cs="Times New Roman"/>
          <w:b/>
          <w:bCs/>
          <w:color w:val="000000"/>
          <w:sz w:val="24"/>
          <w:szCs w:val="24"/>
          <w:lang w:val="sq-AL"/>
        </w:rPr>
        <w:t>Petrit Ahmeti</w:t>
      </w:r>
    </w:p>
    <w:sectPr w:rsidR="00DE5BA8" w:rsidRPr="00F96EFC" w:rsidSect="002E64D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3F1911" w14:textId="77777777" w:rsidR="002E64DC" w:rsidRDefault="002E64DC">
      <w:pPr>
        <w:spacing w:after="0" w:line="240" w:lineRule="auto"/>
      </w:pPr>
      <w:r>
        <w:separator/>
      </w:r>
    </w:p>
  </w:endnote>
  <w:endnote w:type="continuationSeparator" w:id="0">
    <w:p w14:paraId="4455F3CA" w14:textId="77777777" w:rsidR="002E64DC" w:rsidRDefault="002E64DC">
      <w:pPr>
        <w:spacing w:after="0" w:line="240" w:lineRule="auto"/>
      </w:pPr>
      <w:r>
        <w:continuationSeparator/>
      </w:r>
    </w:p>
  </w:endnote>
  <w:endnote w:type="continuationNotice" w:id="1">
    <w:p w14:paraId="6C6AE397" w14:textId="77777777" w:rsidR="004B6927" w:rsidRDefault="004B692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351C3B" w14:textId="77777777" w:rsidR="002E64DC" w:rsidRDefault="002E64DC">
      <w:pPr>
        <w:spacing w:after="0" w:line="240" w:lineRule="auto"/>
      </w:pPr>
      <w:r>
        <w:separator/>
      </w:r>
    </w:p>
  </w:footnote>
  <w:footnote w:type="continuationSeparator" w:id="0">
    <w:p w14:paraId="15E82962" w14:textId="77777777" w:rsidR="002E64DC" w:rsidRDefault="002E64DC">
      <w:pPr>
        <w:spacing w:after="0" w:line="240" w:lineRule="auto"/>
      </w:pPr>
      <w:r>
        <w:continuationSeparator/>
      </w:r>
    </w:p>
  </w:footnote>
  <w:footnote w:type="continuationNotice" w:id="1">
    <w:p w14:paraId="26F810DB" w14:textId="77777777" w:rsidR="004B6927" w:rsidRDefault="004B692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DBD878E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0000002"/>
    <w:multiLevelType w:val="hybridMultilevel"/>
    <w:tmpl w:val="74E4A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A984D8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4"/>
    <w:multiLevelType w:val="hybridMultilevel"/>
    <w:tmpl w:val="57D4DA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CA54A6D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6FAA312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5C1886D4"/>
    <w:lvl w:ilvl="0" w:tplc="537E68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3400311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6374F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4E743CF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73062F1C"/>
    <w:lvl w:ilvl="0" w:tplc="34C49AC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0000000C"/>
    <w:multiLevelType w:val="hybridMultilevel"/>
    <w:tmpl w:val="F4061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D01ECA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621C4578"/>
    <w:lvl w:ilvl="0" w:tplc="EDCC2DD8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215C1C36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4D28F94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1CA3A50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5BB2334C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68CBACE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E960BE2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ACF26060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AF3072D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4FDABC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10"/>
    <w:multiLevelType w:val="hybridMultilevel"/>
    <w:tmpl w:val="B8AC3E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1"/>
    <w:multiLevelType w:val="hybridMultilevel"/>
    <w:tmpl w:val="BE3477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A426C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234C83C8"/>
    <w:lvl w:ilvl="0" w:tplc="EDCC2DD8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9">
    <w:nsid w:val="00000014"/>
    <w:multiLevelType w:val="hybridMultilevel"/>
    <w:tmpl w:val="EDC4232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0000015"/>
    <w:multiLevelType w:val="hybridMultilevel"/>
    <w:tmpl w:val="5C76A59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DBBEB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19E2723"/>
    <w:multiLevelType w:val="hybridMultilevel"/>
    <w:tmpl w:val="4CD03E7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9982B76"/>
    <w:multiLevelType w:val="hybridMultilevel"/>
    <w:tmpl w:val="F110AA18"/>
    <w:lvl w:ilvl="0" w:tplc="FFFFFFFF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AB64C04A">
      <w:start w:val="1"/>
      <w:numFmt w:val="bullet"/>
      <w:lvlText w:val=""/>
      <w:lvlJc w:val="left"/>
      <w:pPr>
        <w:ind w:left="90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4">
    <w:nsid w:val="10B81096"/>
    <w:multiLevelType w:val="hybridMultilevel"/>
    <w:tmpl w:val="FE20D1C2"/>
    <w:lvl w:ilvl="0" w:tplc="5FAA6B98">
      <w:start w:val="1"/>
      <w:numFmt w:val="lowerRoman"/>
      <w:lvlText w:val="(%1)"/>
      <w:lvlJc w:val="left"/>
      <w:pPr>
        <w:ind w:left="99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50" w:hanging="360"/>
      </w:pPr>
    </w:lvl>
    <w:lvl w:ilvl="2" w:tplc="041C001B" w:tentative="1">
      <w:start w:val="1"/>
      <w:numFmt w:val="lowerRoman"/>
      <w:lvlText w:val="%3."/>
      <w:lvlJc w:val="right"/>
      <w:pPr>
        <w:ind w:left="2070" w:hanging="180"/>
      </w:pPr>
    </w:lvl>
    <w:lvl w:ilvl="3" w:tplc="041C000F" w:tentative="1">
      <w:start w:val="1"/>
      <w:numFmt w:val="decimal"/>
      <w:lvlText w:val="%4."/>
      <w:lvlJc w:val="left"/>
      <w:pPr>
        <w:ind w:left="2790" w:hanging="360"/>
      </w:pPr>
    </w:lvl>
    <w:lvl w:ilvl="4" w:tplc="041C0019" w:tentative="1">
      <w:start w:val="1"/>
      <w:numFmt w:val="lowerLetter"/>
      <w:lvlText w:val="%5."/>
      <w:lvlJc w:val="left"/>
      <w:pPr>
        <w:ind w:left="3510" w:hanging="360"/>
      </w:pPr>
    </w:lvl>
    <w:lvl w:ilvl="5" w:tplc="041C001B" w:tentative="1">
      <w:start w:val="1"/>
      <w:numFmt w:val="lowerRoman"/>
      <w:lvlText w:val="%6."/>
      <w:lvlJc w:val="right"/>
      <w:pPr>
        <w:ind w:left="4230" w:hanging="180"/>
      </w:pPr>
    </w:lvl>
    <w:lvl w:ilvl="6" w:tplc="041C000F" w:tentative="1">
      <w:start w:val="1"/>
      <w:numFmt w:val="decimal"/>
      <w:lvlText w:val="%7."/>
      <w:lvlJc w:val="left"/>
      <w:pPr>
        <w:ind w:left="4950" w:hanging="360"/>
      </w:pPr>
    </w:lvl>
    <w:lvl w:ilvl="7" w:tplc="041C0019" w:tentative="1">
      <w:start w:val="1"/>
      <w:numFmt w:val="lowerLetter"/>
      <w:lvlText w:val="%8."/>
      <w:lvlJc w:val="left"/>
      <w:pPr>
        <w:ind w:left="5670" w:hanging="360"/>
      </w:pPr>
    </w:lvl>
    <w:lvl w:ilvl="8" w:tplc="041C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5">
    <w:nsid w:val="11970F75"/>
    <w:multiLevelType w:val="hybridMultilevel"/>
    <w:tmpl w:val="AC746900"/>
    <w:lvl w:ilvl="0" w:tplc="BD108EA2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5D002DB"/>
    <w:multiLevelType w:val="hybridMultilevel"/>
    <w:tmpl w:val="E0F46CE4"/>
    <w:lvl w:ilvl="0" w:tplc="DBDC2DDC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8C86628"/>
    <w:multiLevelType w:val="hybridMultilevel"/>
    <w:tmpl w:val="E25ED618"/>
    <w:lvl w:ilvl="0" w:tplc="BB2E634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1F135B06"/>
    <w:multiLevelType w:val="hybridMultilevel"/>
    <w:tmpl w:val="7AA2FDAE"/>
    <w:lvl w:ilvl="0" w:tplc="AB64C04A">
      <w:start w:val="1"/>
      <w:numFmt w:val="bullet"/>
      <w:lvlText w:val=""/>
      <w:lvlJc w:val="left"/>
      <w:pPr>
        <w:ind w:left="90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9">
    <w:nsid w:val="38A54778"/>
    <w:multiLevelType w:val="hybridMultilevel"/>
    <w:tmpl w:val="07243C7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9244941"/>
    <w:multiLevelType w:val="hybridMultilevel"/>
    <w:tmpl w:val="A69EA6EA"/>
    <w:lvl w:ilvl="0" w:tplc="00EE0CA0">
      <w:start w:val="3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BE01E92"/>
    <w:multiLevelType w:val="hybridMultilevel"/>
    <w:tmpl w:val="FA38CC5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00D57B0"/>
    <w:multiLevelType w:val="hybridMultilevel"/>
    <w:tmpl w:val="1DC2FA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5ABF0B3B"/>
    <w:multiLevelType w:val="hybridMultilevel"/>
    <w:tmpl w:val="7AE05598"/>
    <w:lvl w:ilvl="0" w:tplc="EDCC2DD8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F2000A7"/>
    <w:multiLevelType w:val="hybridMultilevel"/>
    <w:tmpl w:val="8CD41A6A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4"/>
  </w:num>
  <w:num w:numId="3">
    <w:abstractNumId w:val="10"/>
  </w:num>
  <w:num w:numId="4">
    <w:abstractNumId w:val="12"/>
  </w:num>
  <w:num w:numId="5">
    <w:abstractNumId w:val="16"/>
  </w:num>
  <w:num w:numId="6">
    <w:abstractNumId w:val="7"/>
  </w:num>
  <w:num w:numId="7">
    <w:abstractNumId w:val="3"/>
  </w:num>
  <w:num w:numId="8">
    <w:abstractNumId w:val="11"/>
  </w:num>
  <w:num w:numId="9">
    <w:abstractNumId w:val="15"/>
  </w:num>
  <w:num w:numId="10">
    <w:abstractNumId w:val="8"/>
  </w:num>
  <w:num w:numId="11">
    <w:abstractNumId w:val="1"/>
  </w:num>
  <w:num w:numId="12">
    <w:abstractNumId w:val="9"/>
  </w:num>
  <w:num w:numId="13">
    <w:abstractNumId w:val="20"/>
  </w:num>
  <w:num w:numId="14">
    <w:abstractNumId w:val="21"/>
  </w:num>
  <w:num w:numId="15">
    <w:abstractNumId w:val="17"/>
  </w:num>
  <w:num w:numId="16">
    <w:abstractNumId w:val="2"/>
  </w:num>
  <w:num w:numId="17">
    <w:abstractNumId w:val="4"/>
  </w:num>
  <w:num w:numId="18">
    <w:abstractNumId w:val="6"/>
  </w:num>
  <w:num w:numId="19">
    <w:abstractNumId w:val="5"/>
  </w:num>
  <w:num w:numId="20">
    <w:abstractNumId w:val="0"/>
  </w:num>
  <w:num w:numId="21">
    <w:abstractNumId w:val="13"/>
  </w:num>
  <w:num w:numId="22">
    <w:abstractNumId w:val="19"/>
  </w:num>
  <w:num w:numId="23">
    <w:abstractNumId w:val="18"/>
  </w:num>
  <w:num w:numId="24">
    <w:abstractNumId w:val="33"/>
  </w:num>
  <w:num w:numId="25">
    <w:abstractNumId w:val="26"/>
  </w:num>
  <w:num w:numId="26">
    <w:abstractNumId w:val="22"/>
  </w:num>
  <w:num w:numId="27">
    <w:abstractNumId w:val="27"/>
  </w:num>
  <w:num w:numId="28">
    <w:abstractNumId w:val="31"/>
  </w:num>
  <w:num w:numId="29">
    <w:abstractNumId w:val="29"/>
  </w:num>
  <w:num w:numId="30">
    <w:abstractNumId w:val="30"/>
  </w:num>
  <w:num w:numId="31">
    <w:abstractNumId w:val="25"/>
  </w:num>
  <w:num w:numId="32">
    <w:abstractNumId w:val="22"/>
  </w:num>
  <w:num w:numId="33">
    <w:abstractNumId w:val="34"/>
  </w:num>
  <w:num w:numId="34">
    <w:abstractNumId w:val="23"/>
  </w:num>
  <w:num w:numId="35">
    <w:abstractNumId w:val="28"/>
  </w:num>
  <w:num w:numId="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EED"/>
    <w:rsid w:val="00005DAB"/>
    <w:rsid w:val="000614A2"/>
    <w:rsid w:val="0008566E"/>
    <w:rsid w:val="00085C64"/>
    <w:rsid w:val="000863EC"/>
    <w:rsid w:val="0009337E"/>
    <w:rsid w:val="000D01E3"/>
    <w:rsid w:val="00107378"/>
    <w:rsid w:val="0010794A"/>
    <w:rsid w:val="00141559"/>
    <w:rsid w:val="00161CD4"/>
    <w:rsid w:val="001704EB"/>
    <w:rsid w:val="00183256"/>
    <w:rsid w:val="001C2C0A"/>
    <w:rsid w:val="001D1E7C"/>
    <w:rsid w:val="00226289"/>
    <w:rsid w:val="002476D0"/>
    <w:rsid w:val="00254EED"/>
    <w:rsid w:val="0027003C"/>
    <w:rsid w:val="002B4D09"/>
    <w:rsid w:val="002D167D"/>
    <w:rsid w:val="002E64DC"/>
    <w:rsid w:val="002F34B2"/>
    <w:rsid w:val="00307FD4"/>
    <w:rsid w:val="00371C3B"/>
    <w:rsid w:val="00384E1E"/>
    <w:rsid w:val="003955B4"/>
    <w:rsid w:val="003C45DD"/>
    <w:rsid w:val="003D1DA3"/>
    <w:rsid w:val="003E7C11"/>
    <w:rsid w:val="003F15EE"/>
    <w:rsid w:val="00413D7E"/>
    <w:rsid w:val="00416953"/>
    <w:rsid w:val="004626D0"/>
    <w:rsid w:val="00493735"/>
    <w:rsid w:val="004B6927"/>
    <w:rsid w:val="004C1D8C"/>
    <w:rsid w:val="004C549C"/>
    <w:rsid w:val="004D4096"/>
    <w:rsid w:val="00560ECE"/>
    <w:rsid w:val="00572B0D"/>
    <w:rsid w:val="0058179F"/>
    <w:rsid w:val="005B1DA9"/>
    <w:rsid w:val="005C0CBF"/>
    <w:rsid w:val="00612C85"/>
    <w:rsid w:val="006237C7"/>
    <w:rsid w:val="006242F8"/>
    <w:rsid w:val="006421BD"/>
    <w:rsid w:val="00657B39"/>
    <w:rsid w:val="006B5692"/>
    <w:rsid w:val="006B573D"/>
    <w:rsid w:val="006D2B65"/>
    <w:rsid w:val="006F1884"/>
    <w:rsid w:val="0070377F"/>
    <w:rsid w:val="00707D58"/>
    <w:rsid w:val="0077100F"/>
    <w:rsid w:val="00773C6E"/>
    <w:rsid w:val="00790B7A"/>
    <w:rsid w:val="00792393"/>
    <w:rsid w:val="007C49C6"/>
    <w:rsid w:val="007D0E81"/>
    <w:rsid w:val="007E5EC8"/>
    <w:rsid w:val="0081741E"/>
    <w:rsid w:val="008808AF"/>
    <w:rsid w:val="008D3C63"/>
    <w:rsid w:val="009035D2"/>
    <w:rsid w:val="00906747"/>
    <w:rsid w:val="009325E9"/>
    <w:rsid w:val="00935D12"/>
    <w:rsid w:val="00982A0B"/>
    <w:rsid w:val="00987E7B"/>
    <w:rsid w:val="009968FB"/>
    <w:rsid w:val="009A26CA"/>
    <w:rsid w:val="009B2C77"/>
    <w:rsid w:val="009E18BF"/>
    <w:rsid w:val="00A029A9"/>
    <w:rsid w:val="00A03D2D"/>
    <w:rsid w:val="00A2338D"/>
    <w:rsid w:val="00A31B00"/>
    <w:rsid w:val="00A95659"/>
    <w:rsid w:val="00B07662"/>
    <w:rsid w:val="00B34F43"/>
    <w:rsid w:val="00B361FC"/>
    <w:rsid w:val="00B407BF"/>
    <w:rsid w:val="00B84DDA"/>
    <w:rsid w:val="00BA0AE0"/>
    <w:rsid w:val="00BD0128"/>
    <w:rsid w:val="00BD1F77"/>
    <w:rsid w:val="00BF4D6E"/>
    <w:rsid w:val="00C22F2E"/>
    <w:rsid w:val="00C71889"/>
    <w:rsid w:val="00C86027"/>
    <w:rsid w:val="00C919CE"/>
    <w:rsid w:val="00CB50AC"/>
    <w:rsid w:val="00CF2FAD"/>
    <w:rsid w:val="00DA2B67"/>
    <w:rsid w:val="00DB1701"/>
    <w:rsid w:val="00DE5BA8"/>
    <w:rsid w:val="00DE7456"/>
    <w:rsid w:val="00DF304B"/>
    <w:rsid w:val="00EF5761"/>
    <w:rsid w:val="00F12F4D"/>
    <w:rsid w:val="00F54AF9"/>
    <w:rsid w:val="00F67BA0"/>
    <w:rsid w:val="00F7649D"/>
    <w:rsid w:val="00F9388A"/>
    <w:rsid w:val="00F96EFC"/>
    <w:rsid w:val="00FA3C45"/>
    <w:rsid w:val="00FB6494"/>
    <w:rsid w:val="00FD6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B517751"/>
  <w15:docId w15:val="{39E281CD-B8AD-4676-A671-1A1FF2F26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S Mincho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qFormat/>
    <w:rPr>
      <w:rFonts w:ascii="Calibri" w:eastAsia="Calibri" w:hAnsi="Calibri" w:cs="SimSun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paragraph" w:styleId="NoSpacing">
    <w:name w:val="No Spacing"/>
    <w:uiPriority w:val="1"/>
    <w:qFormat/>
    <w:rsid w:val="008174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PlainText">
    <w:name w:val="Plain Text"/>
    <w:basedOn w:val="Normal"/>
    <w:link w:val="PlainTextChar"/>
    <w:uiPriority w:val="99"/>
    <w:unhideWhenUsed/>
    <w:rsid w:val="004C1D8C"/>
    <w:pPr>
      <w:spacing w:after="0" w:line="240" w:lineRule="auto"/>
    </w:pPr>
    <w:rPr>
      <w:rFonts w:eastAsiaTheme="minorHAnsi" w:cs="Calibri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4C1D8C"/>
    <w:rPr>
      <w:rFonts w:eastAsiaTheme="minorHAnsi" w:cs="Calibri"/>
      <w:szCs w:val="21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67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F11784417446AC88127AE0CC4C65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</Nr_x002e__x0020_akti>
    <Data_x0020_e_x0020_Krijimit xmlns="0e656187-b300-4fb0-8bf4-3a50f872073c">2022-06-13T13:45:39Z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2022-06-12T22:00:00Z</Date_x0020_protokolli>
    <Titulli xmlns="0e656187-b300-4fb0-8bf4-3a50f872073c">Mbi kërkesën e shoqërisë “HEC - i Tërvolit” sh.p.k., për zgjidhjen e mosmarrëveshjes ndërmjet shoqërisë Furnizuesi i Tregut të Lirë (FTL) sh.a. dhe shoqërisë “HEC - i Tërvolit” sh.p.k.</Titulli>
    <Modifikuesi xmlns="0e656187-b300-4fb0-8bf4-3a50f872073c">Suada.Daci</Modifikuesi>
    <Nr_x002e__x0020_prot_x0020_QBZ xmlns="0e656187-b300-4fb0-8bf4-3a50f872073c">969/9</Nr_x002e__x0020_prot_x0020_QBZ>
    <Data_x0020_e_x0020_Modifikimit xmlns="0e656187-b300-4fb0-8bf4-3a50f872073c">2022-06-14T07:36:34Z</Data_x0020_e_x0020_Modifikimit>
    <Dekretuar xmlns="0e656187-b300-4fb0-8bf4-3a50f872073c">false</Dekretuar>
    <Data xmlns="0e656187-b300-4fb0-8bf4-3a50f872073c">2022-05-18T22:00:00Z</Data>
    <Nr_x002e__x0020_protokolli_x0020_i_x0020_aktit xmlns="0e656187-b300-4fb0-8bf4-3a50f872073c">40/23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F11784417446AC88127AE0CC4C65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A6B33-4897-4CEF-8429-7834B7533E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D5E0DC-5EC9-4A6B-9477-9BA9D0799D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49B8081-576D-4A1B-9041-E0F1C8585CBB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8A311EE4-A6B6-47BA-B935-A02AE4AD80FB}">
  <ds:schemaRefs>
    <ds:schemaRef ds:uri="http://purl.org/dc/dcmitype/"/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0e656187-b300-4fb0-8bf4-3a50f872073c"/>
    <ds:schemaRef ds:uri="http://schemas.openxmlformats.org/package/2006/metadata/core-properties"/>
  </ds:schemaRefs>
</ds:datastoreItem>
</file>

<file path=customXml/itemProps5.xml><?xml version="1.0" encoding="utf-8"?>
<ds:datastoreItem xmlns:ds="http://schemas.openxmlformats.org/officeDocument/2006/customXml" ds:itemID="{B69A9E61-D825-4AF9-8201-483258D35AB9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9FCF957B-46B2-4CA5-86B1-3B7ED479B6D0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F4249C41-8FE8-4D12-9D32-AFD3B3F4DCBB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50D72E2D-F9FE-40B2-9D6D-AF21B433AC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0CECBD28-70D3-4DD2-81BB-8931C94B7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1081</Words>
  <Characters>6165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D.R.</dc:creator>
  <cp:lastModifiedBy>Fjora Cahani</cp:lastModifiedBy>
  <cp:revision>6</cp:revision>
  <cp:lastPrinted>2022-05-13T10:09:00Z</cp:lastPrinted>
  <dcterms:created xsi:type="dcterms:W3CDTF">2022-06-01T11:38:00Z</dcterms:created>
  <dcterms:modified xsi:type="dcterms:W3CDTF">2022-06-14T11:24:00Z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dcc25a83a9244a1fab88fde3b2673577</vt:lpwstr>
  </property>
</Properties>
</file>