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customXml/itemProps12.xml" ContentType="application/vnd.openxmlformats-officedocument.customXmlProperties+xml"/>
  <Override PartName="/customXml/itemProps13.xml" ContentType="application/vnd.openxmlformats-officedocument.customXmlProperties+xml"/>
  <Override PartName="/customXml/itemProps1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DDBC99C" w14:textId="35C5EE38" w:rsidR="00EA0694" w:rsidRPr="0053544D" w:rsidRDefault="0029137E" w:rsidP="00EA069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b/>
          <w:color w:val="000000"/>
          <w:sz w:val="24"/>
          <w:szCs w:val="24"/>
          <w:lang w:val="sq-AL"/>
        </w:rPr>
        <w:t>V</w:t>
      </w:r>
      <w:bookmarkStart w:id="0" w:name="_GoBack"/>
      <w:bookmarkEnd w:id="0"/>
      <w:r w:rsidR="00EA0694" w:rsidRPr="0053544D">
        <w:rPr>
          <w:rFonts w:ascii="Garamond" w:hAnsi="Garamond" w:cs="Times New Roman"/>
          <w:b/>
          <w:color w:val="000000"/>
          <w:sz w:val="24"/>
          <w:szCs w:val="24"/>
          <w:lang w:val="sq-AL"/>
        </w:rPr>
        <w:t>ENDIM</w:t>
      </w:r>
    </w:p>
    <w:p w14:paraId="43D21567" w14:textId="7EC26836" w:rsidR="00EA0694" w:rsidRPr="0053544D" w:rsidRDefault="00EA0694" w:rsidP="00EA069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/>
          <w:sz w:val="24"/>
          <w:szCs w:val="24"/>
          <w:lang w:val="sq-AL"/>
        </w:rPr>
      </w:pPr>
      <w:r w:rsidRPr="0053544D">
        <w:rPr>
          <w:rFonts w:ascii="Garamond" w:hAnsi="Garamond" w:cs="Times New Roman"/>
          <w:b/>
          <w:color w:val="000000"/>
          <w:sz w:val="24"/>
          <w:szCs w:val="24"/>
          <w:lang w:val="sq-AL"/>
        </w:rPr>
        <w:t>Nr. 190, datë 21.7.2022</w:t>
      </w:r>
    </w:p>
    <w:p w14:paraId="6D8BDEF1" w14:textId="77777777" w:rsidR="00EA0694" w:rsidRPr="0053544D" w:rsidRDefault="00EA0694" w:rsidP="00EA069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2A57BF48" w14:textId="5FBD5DC0" w:rsidR="00EA0694" w:rsidRPr="0053544D" w:rsidRDefault="00EA0694" w:rsidP="00EA069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53544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MBI LICENCIMIN E SHOQËRISË “NTSP” SHPK, NË VEPRIMTARINË E PRODHIMIT TË ENERGJISË ELEKTRIKE NGA CENTRALI FOTOVOLTAIK, ME VENDNDODHJE NË ZONËN BITINCKË, BILISHT, QARKU KORÇË, ME KAPACITET TË INSTALUAR 2 MW</w:t>
      </w:r>
    </w:p>
    <w:p w14:paraId="0351F025" w14:textId="77777777" w:rsidR="00EA0694" w:rsidRPr="0053544D" w:rsidRDefault="00EA0694" w:rsidP="00EA069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79767DC0" w14:textId="17301B7D" w:rsidR="00EA0694" w:rsidRPr="0053544D" w:rsidRDefault="00EA0694" w:rsidP="00EA069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nenit 16, nenit 37</w:t>
      </w:r>
      <w:r w:rsidR="003332BB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pika 2, g</w:t>
      </w:r>
      <w:r w:rsidR="0053544D"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>rma “a”, dhe nenit 38, pika 1, g</w:t>
      </w:r>
      <w:r w:rsidR="0053544D"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>rma “a”</w:t>
      </w:r>
      <w:r w:rsidR="00C4244A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ligjit nr. 43/2015 “</w:t>
      </w:r>
      <w:r w:rsidRPr="0053544D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Për sektorin e energjisë elektrike</w:t>
      </w:r>
      <w:r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>” i ndryshuar; nenit 4, pika 1, g</w:t>
      </w:r>
      <w:r w:rsidR="0053544D"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>rma “a”, nenit 5</w:t>
      </w:r>
      <w:r w:rsidR="00C4244A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pika 1, g</w:t>
      </w:r>
      <w:r w:rsidR="0053544D"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>rma “a”, nenit 10, pikat 4, 5 dhe 6, dhe nenit 13</w:t>
      </w:r>
      <w:r w:rsidR="00C4244A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</w:t>
      </w:r>
      <w:r w:rsidR="0053544D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r</w:t>
      </w:r>
      <w:r w:rsidRPr="0053544D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regullores </w:t>
      </w:r>
      <w:r w:rsidR="0053544D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“P</w:t>
      </w:r>
      <w:r w:rsidRPr="0053544D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ër procedurat dhe afatet për dhënien, modifikimin, transferimin, rinovimin ose heqjen e licencave në sektorin e energjisë elektrike</w:t>
      </w:r>
      <w:r w:rsidR="0053544D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”</w:t>
      </w:r>
      <w:r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të miratuar me vendimin e </w:t>
      </w:r>
      <w:r w:rsidR="0053544D"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>ordit të Entit Rregullator të Energjisë (ERE)</w:t>
      </w:r>
      <w:r w:rsidR="0053544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nr. 109, datë 29.</w:t>
      </w:r>
      <w:r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>6.2016, e ndryshuar; si dhe nenit 15</w:t>
      </w:r>
      <w:r w:rsidR="00795946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</w:t>
      </w:r>
      <w:r w:rsidR="0053544D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r</w:t>
      </w:r>
      <w:r w:rsidRPr="0053544D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regullores </w:t>
      </w:r>
      <w:r w:rsidR="0053544D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“P</w:t>
      </w:r>
      <w:r w:rsidRPr="0053544D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ër organizimin, funksionimin dhe procedurat e ERE-s</w:t>
      </w:r>
      <w:r w:rsidR="0053544D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”</w:t>
      </w:r>
      <w:r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miratuar me vendimin e </w:t>
      </w:r>
      <w:r w:rsidR="0053544D">
        <w:rPr>
          <w:rFonts w:ascii="Garamond" w:hAnsi="Garamond" w:cs="Times New Roman"/>
          <w:color w:val="000000"/>
          <w:sz w:val="24"/>
          <w:szCs w:val="24"/>
          <w:lang w:val="sq-AL"/>
        </w:rPr>
        <w:t>Bordit të ERE-s nr. 96, datë 17.</w:t>
      </w:r>
      <w:r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6.2016; Bordi i ERE-s, </w:t>
      </w:r>
      <w:r w:rsidR="0053544D">
        <w:rPr>
          <w:rFonts w:ascii="Garamond" w:hAnsi="Garamond" w:cs="Times New Roman"/>
          <w:color w:val="000000"/>
          <w:sz w:val="24"/>
          <w:szCs w:val="24"/>
          <w:lang w:val="sq-AL"/>
        </w:rPr>
        <w:t>në mbledhjen e tij të datës 21.</w:t>
      </w:r>
      <w:r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>7.2022, mbasi shqyrtoi relacionin e përgatitur nga Drejtoria e Licencimit, Autorizimeve dhe Mbikëqyrje</w:t>
      </w:r>
      <w:r w:rsidR="0053544D">
        <w:rPr>
          <w:rFonts w:ascii="Garamond" w:hAnsi="Garamond" w:cs="Times New Roman"/>
          <w:color w:val="000000"/>
          <w:sz w:val="24"/>
          <w:szCs w:val="24"/>
          <w:lang w:val="sq-AL"/>
        </w:rPr>
        <w:t>s me nr. 1144/4 prot., datë 19.</w:t>
      </w:r>
      <w:r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>7.2022, “</w:t>
      </w:r>
      <w:r w:rsidRPr="0053544D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Mbi licencimin e shoqërisë </w:t>
      </w:r>
      <w:r w:rsidR="00AF0A7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‘</w:t>
      </w:r>
      <w:r w:rsidRPr="0053544D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NTSP</w:t>
      </w:r>
      <w:r w:rsidR="00AF0A7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’</w:t>
      </w:r>
      <w:r w:rsidRPr="0053544D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sh.p.k., në veprimtarinë e prodhimit të energjisë elektrike nga centrali fotovoltaik, me vendndodhje në zonën Bitinckë, Bilisht, </w:t>
      </w:r>
      <w:r w:rsidR="00C4244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q</w:t>
      </w:r>
      <w:r w:rsidRPr="0053544D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arku Korçë, me kapacitet të instaluar 2 MW</w:t>
      </w:r>
      <w:r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>”,</w:t>
      </w:r>
    </w:p>
    <w:p w14:paraId="46801FD1" w14:textId="5F0C9474" w:rsidR="00EA0694" w:rsidRPr="0053544D" w:rsidRDefault="0053544D" w:rsidP="00EA069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</w:t>
      </w:r>
      <w:r w:rsidR="00EA0694" w:rsidRPr="0053544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onstatoi se: </w:t>
      </w:r>
    </w:p>
    <w:p w14:paraId="18A362F1" w14:textId="1565B720" w:rsidR="00EA0694" w:rsidRPr="0053544D" w:rsidRDefault="00EA0694" w:rsidP="00EA069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>- Bordi i ERE-</w:t>
      </w:r>
      <w:r w:rsidR="00AF0A7A">
        <w:rPr>
          <w:rFonts w:ascii="Garamond" w:hAnsi="Garamond" w:cs="Times New Roman"/>
          <w:color w:val="000000"/>
          <w:sz w:val="24"/>
          <w:szCs w:val="24"/>
          <w:lang w:val="sq-AL"/>
        </w:rPr>
        <w:t>s, me vendimin nr. 86, datë 20.</w:t>
      </w:r>
      <w:r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4.2022, vendosi të fillojë procedurën për licencimin e shoqërisë “NTSP” sh.p.k. në veprimtarinë e prodhimit të energjisë elektrike nga </w:t>
      </w:r>
      <w:r w:rsidR="00AF0A7A"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>centrali fotovoltaik</w:t>
      </w:r>
      <w:r w:rsidR="00AF0A7A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AF0A7A"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>me kapacitet</w:t>
      </w:r>
      <w:r w:rsidR="00AF0A7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instaluar 2</w:t>
      </w:r>
      <w:r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000 kW, në zonën Bitinckë–Bilisht, </w:t>
      </w:r>
      <w:r w:rsidR="00004C74">
        <w:rPr>
          <w:rFonts w:ascii="Garamond" w:hAnsi="Garamond" w:cs="Times New Roman"/>
          <w:color w:val="000000"/>
          <w:sz w:val="24"/>
          <w:szCs w:val="24"/>
          <w:lang w:val="sq-AL"/>
        </w:rPr>
        <w:t>q</w:t>
      </w:r>
      <w:r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>arku Korçë, për një afat 25-vjeçar.</w:t>
      </w:r>
    </w:p>
    <w:p w14:paraId="4F17767D" w14:textId="6861DBC2" w:rsidR="00EA0694" w:rsidRPr="0053544D" w:rsidRDefault="00EA0694" w:rsidP="00EA069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>- Në vijim të kësaj vendimmarrjeje, ERE me shk</w:t>
      </w:r>
      <w:r w:rsidR="002778C7">
        <w:rPr>
          <w:rFonts w:ascii="Garamond" w:hAnsi="Garamond" w:cs="Times New Roman"/>
          <w:color w:val="000000"/>
          <w:sz w:val="24"/>
          <w:szCs w:val="24"/>
          <w:lang w:val="sq-AL"/>
        </w:rPr>
        <w:t>resën nr. 70/14 prot., datë 22.</w:t>
      </w:r>
      <w:r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>4.2022, bëri njoftimin në media për fillimin e kësaj procedure dhe në përfundim të afatit të pritjes së ko</w:t>
      </w:r>
      <w:r w:rsidR="002778C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menteve dhe objeksioneve (datë </w:t>
      </w:r>
      <w:r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>5.5.2022), nuk rezultoi të kishte të tilla. Ndërsa me shk</w:t>
      </w:r>
      <w:r w:rsidR="002778C7">
        <w:rPr>
          <w:rFonts w:ascii="Garamond" w:hAnsi="Garamond" w:cs="Times New Roman"/>
          <w:color w:val="000000"/>
          <w:sz w:val="24"/>
          <w:szCs w:val="24"/>
          <w:lang w:val="sq-AL"/>
        </w:rPr>
        <w:t>resën nr. 452/1 prot., datë 27.</w:t>
      </w:r>
      <w:r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>4.2022, ERE njoftoi shoqërinë për vendimin e bordit nr. 86/2022, duke i evidentuar dhe dokumentacionin e munguar apo të plotësuar pjesërisht nga ky aplikim.</w:t>
      </w:r>
    </w:p>
    <w:p w14:paraId="1E8A09A5" w14:textId="480A9294" w:rsidR="00EA0694" w:rsidRPr="0053544D" w:rsidRDefault="00EA0694" w:rsidP="00EA069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Duke qenë se nuk u depozitua dokumentacion nga ana e shoqërisë, </w:t>
      </w:r>
      <w:r w:rsidR="007D4DBD"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 </w:t>
      </w:r>
      <w:r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>i ER</w:t>
      </w:r>
      <w:r w:rsidR="00772447">
        <w:rPr>
          <w:rFonts w:ascii="Garamond" w:hAnsi="Garamond" w:cs="Times New Roman"/>
          <w:color w:val="000000"/>
          <w:sz w:val="24"/>
          <w:szCs w:val="24"/>
          <w:lang w:val="sq-AL"/>
        </w:rPr>
        <w:t>E-s, me vendimin nr. 139, datë 6.</w:t>
      </w:r>
      <w:r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6.2022, vendosi të refuzojë licencimin e shoqërisë “NTSP” sh.p.k., në veprimtarinë e prodhimit të energjisë elektrike nga </w:t>
      </w:r>
      <w:r w:rsidR="00772447"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>centrali fotovoltaik</w:t>
      </w:r>
      <w:r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>, me kapacitet të instaluar 2000 kW.</w:t>
      </w:r>
    </w:p>
    <w:p w14:paraId="30A0B9C3" w14:textId="13E286EA" w:rsidR="00EA0694" w:rsidRPr="0053544D" w:rsidRDefault="00EA0694" w:rsidP="00EA069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>- Në të njëjtën datë, pas zhvillimit të mbledhjes së bordit, shoqëria ka depozituar dokumentacion me shkresën e protokolluar n</w:t>
      </w:r>
      <w:r w:rsidR="00772447">
        <w:rPr>
          <w:rFonts w:ascii="Garamond" w:hAnsi="Garamond" w:cs="Times New Roman"/>
          <w:color w:val="000000"/>
          <w:sz w:val="24"/>
          <w:szCs w:val="24"/>
          <w:lang w:val="sq-AL"/>
        </w:rPr>
        <w:t>ë ERE me nr. 452/2 prot., datë 6.</w:t>
      </w:r>
      <w:r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>6.2022. Në vijim me shkresën e protokolluar n</w:t>
      </w:r>
      <w:r w:rsidR="00772447">
        <w:rPr>
          <w:rFonts w:ascii="Garamond" w:hAnsi="Garamond" w:cs="Times New Roman"/>
          <w:color w:val="000000"/>
          <w:sz w:val="24"/>
          <w:szCs w:val="24"/>
          <w:lang w:val="sq-AL"/>
        </w:rPr>
        <w:t>ë ERE me nr. 452/3 prot., datë 7.</w:t>
      </w:r>
      <w:r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>6.2022</w:t>
      </w:r>
      <w:r w:rsidR="00772447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shoqëria ka depozituar dokumentacion plotësues. </w:t>
      </w:r>
    </w:p>
    <w:p w14:paraId="210337DF" w14:textId="29863735" w:rsidR="00EA0694" w:rsidRPr="0053544D" w:rsidRDefault="00EA0694" w:rsidP="00EA069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ERE, me </w:t>
      </w:r>
      <w:r w:rsidR="00772447">
        <w:rPr>
          <w:rFonts w:ascii="Garamond" w:hAnsi="Garamond" w:cs="Times New Roman"/>
          <w:color w:val="000000"/>
          <w:sz w:val="24"/>
          <w:szCs w:val="24"/>
          <w:lang w:val="sq-AL"/>
        </w:rPr>
        <w:t>shkresën nr. 452/4 prot., datë 9.</w:t>
      </w:r>
      <w:r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6.2022, ka njoftuar shoqërinë për vendimin e </w:t>
      </w:r>
      <w:r w:rsidR="00772447"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</w:t>
      </w:r>
      <w:r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>nr. 139/2022, duke i dhënë asaj dhe udhëzimet përkatëse për riaplikim.</w:t>
      </w:r>
    </w:p>
    <w:p w14:paraId="13832B2C" w14:textId="26847EC2" w:rsidR="00EA0694" w:rsidRPr="0053544D" w:rsidRDefault="00EA0694" w:rsidP="00EA069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>- Referuar përcaktimeve të nenit 10, pikat 5, 6 dhe</w:t>
      </w:r>
      <w:r w:rsidR="0077244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7, të </w:t>
      </w:r>
      <w:r w:rsidR="00A521C4">
        <w:rPr>
          <w:rFonts w:ascii="Garamond" w:hAnsi="Garamond" w:cs="Times New Roman"/>
          <w:color w:val="000000"/>
          <w:sz w:val="24"/>
          <w:szCs w:val="24"/>
          <w:lang w:val="sq-AL"/>
        </w:rPr>
        <w:t>r</w:t>
      </w:r>
      <w:r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regullores </w:t>
      </w:r>
      <w:r w:rsidR="00A521C4"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="00A521C4">
        <w:rPr>
          <w:rFonts w:ascii="Garamond" w:hAnsi="Garamond" w:cs="Times New Roman"/>
          <w:color w:val="000000"/>
          <w:sz w:val="24"/>
          <w:szCs w:val="24"/>
          <w:lang w:val="sq-AL"/>
        </w:rPr>
        <w:t>P</w:t>
      </w:r>
      <w:r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ër procedurat dhe afatet për dhënien, modifikimin, transferimin, rinovimin ose heqjen e licencave në sektorin e energjisë elektrike” e ndryshuar, pavarësisht se parashikohet e drejta e aplikuesit për paraqitjen e një aplikimi të ri brenda 30 ditëve nga vendimi për mosfillimin e procedurës, dhe bazohet te neni 6, i cili nga ana e tij ka të bëjë me refuzimin e kërkesës për licencim, është e qartë se në këto rrethana kjo e drejtë i njihet aplikuesit dhe në rastet kur është marrë vendimi për refuzimin e kërkesës, pasi kushti thelbësor nuk është procedura në këtë rast, por afati, pra ka të bëjë me gatishmërinë e aplikuesit për t’iu përgjigjur udhëzimeve të dhëna nga ERE brenda 30 ditëve. Shoqëria e ka paraqitur </w:t>
      </w:r>
      <w:r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 xml:space="preserve">dokumentacionin brenda këtij afati, çka evidenton vullnetin dhe gatishmërinë e saj për të plotësuar sa kërkuar nga ERE. </w:t>
      </w:r>
    </w:p>
    <w:p w14:paraId="2A1C0390" w14:textId="615AC0D0" w:rsidR="00EA0694" w:rsidRPr="0053544D" w:rsidRDefault="00EA0694" w:rsidP="00EA069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Shoqëria ka kryer pagesën e aplikimit për t’u pajisur me licencë nga ERE, në zbatim të </w:t>
      </w:r>
      <w:r w:rsidR="0053544D"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>a</w:t>
      </w:r>
      <w:r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neksit A të </w:t>
      </w:r>
      <w:r w:rsidR="0053544D"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>r</w:t>
      </w:r>
      <w:r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regullores </w:t>
      </w:r>
      <w:r w:rsidR="0053544D"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>“P</w:t>
      </w:r>
      <w:r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ër procedurat dhe afatet për dhënien, modifikimin, transferimin, rinovimin dhe heqjen e </w:t>
      </w:r>
      <w:r w:rsidR="0053544D"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>licencave</w:t>
      </w:r>
      <w:r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sektorin e energjisë elektrike”</w:t>
      </w:r>
      <w:r w:rsidR="00AE663C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 ndryshuar.</w:t>
      </w:r>
    </w:p>
    <w:p w14:paraId="0FC17738" w14:textId="7F98B7C8" w:rsidR="00EA0694" w:rsidRPr="0053544D" w:rsidRDefault="00EA0694" w:rsidP="00EA069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Në zbatim të përcaktimeve të </w:t>
      </w:r>
      <w:r w:rsidR="00A521C4">
        <w:rPr>
          <w:rFonts w:ascii="Garamond" w:hAnsi="Garamond" w:cs="Times New Roman"/>
          <w:color w:val="000000"/>
          <w:sz w:val="24"/>
          <w:szCs w:val="24"/>
          <w:lang w:val="sq-AL"/>
        </w:rPr>
        <w:t>r</w:t>
      </w:r>
      <w:r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regullores </w:t>
      </w:r>
      <w:r w:rsidR="00A521C4"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="00A521C4">
        <w:rPr>
          <w:rFonts w:ascii="Garamond" w:hAnsi="Garamond" w:cs="Times New Roman"/>
          <w:color w:val="000000"/>
          <w:sz w:val="24"/>
          <w:szCs w:val="24"/>
          <w:lang w:val="sq-AL"/>
        </w:rPr>
        <w:t>P</w:t>
      </w:r>
      <w:r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ër procedurat dhe afatet për dhënien, modifikimin, transferimin, rinovimin ose heqjen e licencave në sektorin e energjisë elektrike” e ndryshuar, aplikanti duhet të depozitojë në ERE: </w:t>
      </w:r>
      <w:r w:rsidR="007F5A0E"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>formatin dhe dokumentacionin për aplikim; dokumentacionin juridik, administrativ dhe pronësor;</w:t>
      </w:r>
      <w:r w:rsidR="007F5A0E" w:rsidRPr="0053544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="007F5A0E"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>dokumentacionin financiar dhe fiskal; dokumentacionin teknik për veprimtarinë e prodhimit të energjisë elektrike; si dhe lejet nga institucionet respekt</w:t>
      </w:r>
      <w:r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>ive. Sa rezulton nga ky aplikim shoqëria ka përcjellë dokumentacionin si vijon:</w:t>
      </w:r>
    </w:p>
    <w:p w14:paraId="0C0752E6" w14:textId="31125935" w:rsidR="00EA0694" w:rsidRPr="0053544D" w:rsidRDefault="00EA0694" w:rsidP="00EA0694">
      <w:pPr>
        <w:tabs>
          <w:tab w:val="left" w:pos="1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>- Formati dhe dokumentacioni për aplik</w:t>
      </w:r>
      <w:r w:rsidR="00EC026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im – neni </w:t>
      </w:r>
      <w:r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>9, pika 1, g</w:t>
      </w:r>
      <w:r w:rsidR="0053544D"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rmat “a”, “b” dhe “c”. </w:t>
      </w:r>
    </w:p>
    <w:p w14:paraId="1003F3D6" w14:textId="3050BC71" w:rsidR="00EA0694" w:rsidRPr="0053544D" w:rsidRDefault="00EA0694" w:rsidP="00EA0694">
      <w:pPr>
        <w:tabs>
          <w:tab w:val="left" w:pos="1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Dokumentacioni juridik, administrativ dhe pronësor </w:t>
      </w:r>
      <w:r w:rsidR="00EC0265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neni</w:t>
      </w:r>
      <w:r w:rsidR="00EC026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>9, pika 2, g</w:t>
      </w:r>
      <w:r w:rsidR="0053544D"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rmat “a”, “b”, “c”, “d”, “e”, “f” dhe “g”. </w:t>
      </w:r>
    </w:p>
    <w:p w14:paraId="02AE07A7" w14:textId="3AB5E2A3" w:rsidR="00EA0694" w:rsidRPr="0053544D" w:rsidRDefault="00EA0694" w:rsidP="00EA0694">
      <w:pPr>
        <w:tabs>
          <w:tab w:val="left" w:pos="1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Dokumentacioni financiar dhe fiskal </w:t>
      </w:r>
      <w:r w:rsidR="00EC0265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neni</w:t>
      </w:r>
      <w:r w:rsidR="00EC026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>9, pika 3, g</w:t>
      </w:r>
      <w:r w:rsidR="0053544D"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rmat “a”, “b” “c” dhe “d”. </w:t>
      </w:r>
    </w:p>
    <w:p w14:paraId="696839E7" w14:textId="093770CE" w:rsidR="00EA0694" w:rsidRPr="0053544D" w:rsidRDefault="00EA0694" w:rsidP="00EA0694">
      <w:pPr>
        <w:tabs>
          <w:tab w:val="left" w:pos="1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Dokumentacioni teknik për centralin fotovoltaik </w:t>
      </w:r>
      <w:r w:rsidR="00EC0265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neni</w:t>
      </w:r>
      <w:r w:rsidR="00EC026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>9, pika 4.4.1, pika 4.4.2, pika 4.4.3, g</w:t>
      </w:r>
      <w:r w:rsidR="00166A2E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>rmat “a”, “b”, “c” dhe “d” dhe pika 4.4.4, g</w:t>
      </w:r>
      <w:r w:rsidR="0053544D"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rmat “a”, “b”, “c” dhe “d”. </w:t>
      </w:r>
      <w:r w:rsidRPr="0053544D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Plotësuar.</w:t>
      </w:r>
    </w:p>
    <w:p w14:paraId="5E824183" w14:textId="11FC6607" w:rsidR="00EA0694" w:rsidRPr="0053544D" w:rsidRDefault="00EA0694" w:rsidP="00EA0694">
      <w:pPr>
        <w:tabs>
          <w:tab w:val="left" w:pos="1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Leje nga institucione të tjera </w:t>
      </w:r>
      <w:r w:rsidR="00166A2E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neni</w:t>
      </w:r>
      <w:r w:rsidR="00166A2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9, pika 4.4.5, germat “a” dhe “b”. </w:t>
      </w:r>
    </w:p>
    <w:p w14:paraId="2975F735" w14:textId="0E8FBDDD" w:rsidR="00EA0694" w:rsidRPr="0053544D" w:rsidRDefault="00EA0694" w:rsidP="00EA0694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>- ERE, në zbatim të nenit 38, pika 1, g</w:t>
      </w:r>
      <w:r w:rsidR="0053544D"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>rma “a”</w:t>
      </w:r>
      <w:r w:rsidR="00BF29D5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ligjit “Për sektorin e energjisë elektrike”, i ndryshuar, dhe nenit 5</w:t>
      </w:r>
      <w:r w:rsidR="00BF29D5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</w:t>
      </w:r>
      <w:r w:rsidR="0053544D"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>r</w:t>
      </w:r>
      <w:r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regullores </w:t>
      </w:r>
      <w:r w:rsidR="0053544D"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>“P</w:t>
      </w:r>
      <w:r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>ër procedurat dhe afatet për dhënien, modifikimin, transferimin, rinovimin ose heqjen e licencave në sektorin e energjisë elektrike” e ndryshuar, lëshon një licencë për veprimtarinë e prodhimit të energjisë elektrike deri në 30 vjet, por duke q</w:t>
      </w:r>
      <w:r w:rsidR="0053544D"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>në se nga Studimi i Fizibilitetit të centralit fotovoltaik 2 MW rezulton se jetëgjatësia e një paneli shkon 25 vjet, atëherë ERE kushtëzohet nga kjo jetëgjatësi në dhënien e afatit maksimal për këtë licencë në veprimtarinë e prodhimit të energjisë elektrike nga centrali fotovoltaik, deri në 25 vjet.</w:t>
      </w:r>
    </w:p>
    <w:p w14:paraId="2D996FFE" w14:textId="1F2260E5" w:rsidR="00EA0694" w:rsidRPr="0053544D" w:rsidRDefault="00EA0694" w:rsidP="00EA0694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>-</w:t>
      </w:r>
      <w:r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ab/>
        <w:t xml:space="preserve"> Kontrata e qirasë e depozituar nga shoqëria në lidhje me zonën ku do të shtrihet projekti, ka një afat 20 – vjeçar me të drejtë rinovimi, periudhë kjo që nuk mbulon të gjithë afatin e vlefshmërisë së licencës, ndaj në kuadrin e mbikëqyrjes së veprimtarisë së licencuar, do t’i bëhet me dije shoqërisë që të informojë ERE-n për rinovimin e kontratës ose çdo dokumentacion tjetër që rregullon pronësinë në zonën ku do të zhvillohet projekti.</w:t>
      </w:r>
    </w:p>
    <w:p w14:paraId="03C72E68" w14:textId="7942D0C4" w:rsidR="00EA0694" w:rsidRPr="0053544D" w:rsidRDefault="00EA0694" w:rsidP="00EA069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>Për gj</w:t>
      </w:r>
      <w:r w:rsidR="0053544D"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>ithë sa më sipër, Bordi i ERE-s</w:t>
      </w:r>
      <w:r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04EBFCA6" w14:textId="77777777" w:rsidR="00EA0694" w:rsidRPr="0053544D" w:rsidRDefault="00EA0694" w:rsidP="00EA069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0B4C0242" w14:textId="2576B326" w:rsidR="00EA0694" w:rsidRPr="0053544D" w:rsidRDefault="00EA0694" w:rsidP="00EA069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3544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VENDOSI:</w:t>
      </w:r>
    </w:p>
    <w:p w14:paraId="7DFF5379" w14:textId="77777777" w:rsidR="00EA0694" w:rsidRPr="0053544D" w:rsidRDefault="00EA0694" w:rsidP="00EA069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47323D52" w14:textId="4CBDE3FF" w:rsidR="00EA0694" w:rsidRPr="0053544D" w:rsidRDefault="00EA0694" w:rsidP="00FC0E0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1. Të licencojë shoqërinë “NTSP” sh.p.k. në veprimtarinë e prodhimit të energjisë elektrike nga centrali fotovoltaik, me vendndodhje në zonën Bitinckë, Bilisht, </w:t>
      </w:r>
      <w:r w:rsidR="00E72722">
        <w:rPr>
          <w:rFonts w:ascii="Garamond" w:hAnsi="Garamond" w:cs="Times New Roman"/>
          <w:color w:val="000000"/>
          <w:sz w:val="24"/>
          <w:szCs w:val="24"/>
          <w:lang w:val="sq-AL"/>
        </w:rPr>
        <w:t>q</w:t>
      </w:r>
      <w:r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>arku Korçë, me kapacitet të instaluar 2 MW, për një afat 25-vjeçar.</w:t>
      </w:r>
    </w:p>
    <w:p w14:paraId="6D675013" w14:textId="620A4A59" w:rsidR="00EA0694" w:rsidRPr="0053544D" w:rsidRDefault="00EA0694" w:rsidP="00FC0E0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>2. Shoqëria “NTSP” sh.p.k. duhet të përcjellë</w:t>
      </w:r>
      <w:r w:rsidR="00E7272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ERE, jo më vonë se data 11.</w:t>
      </w:r>
      <w:r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9.2038 kontratën e qirasë për zonën ku do të shtrihet projekti të rinovuar, ose çdo dokument tjetër që rregullon pronësinë. </w:t>
      </w:r>
    </w:p>
    <w:p w14:paraId="2F77C836" w14:textId="116D8FAF" w:rsidR="00EA0694" w:rsidRPr="0053544D" w:rsidRDefault="00EA0694" w:rsidP="00FC0E0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>3. Ky vendim është objekt rishikimi nga ERE.</w:t>
      </w:r>
    </w:p>
    <w:p w14:paraId="21489B42" w14:textId="72B9D280" w:rsidR="00EA0694" w:rsidRPr="0053544D" w:rsidRDefault="00EA0694" w:rsidP="00FC0E0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4. Drejtoria e Licencimit, Autorizimeve dhe Mbikëqyrjes të njoftojë aplikuesin për vendimin e </w:t>
      </w:r>
      <w:r w:rsidR="00D130EC"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</w:t>
      </w:r>
      <w:r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>të ERE-s.</w:t>
      </w:r>
    </w:p>
    <w:p w14:paraId="7B1227D3" w14:textId="77777777" w:rsidR="00EA0694" w:rsidRPr="0053544D" w:rsidRDefault="00EA0694" w:rsidP="00FC0E0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Ky vendim hyn në fuqi menjëherë. </w:t>
      </w:r>
    </w:p>
    <w:p w14:paraId="028EBAF3" w14:textId="746937AD" w:rsidR="00EA0694" w:rsidRPr="0053544D" w:rsidRDefault="00EA0694" w:rsidP="00FC0E0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Çdo palë e përfshirë në këtë procedurë mund t’i kërkojë ERE-s, brenda 7 ditëve kalendarike nga data e marrjes së vendimit, rishikimin e vendimit të </w:t>
      </w:r>
      <w:r w:rsidR="00D130EC"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</w:t>
      </w:r>
      <w:r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rast se ka siguruar prova të reja që mund ta çojnë </w:t>
      </w:r>
      <w:r w:rsidR="00D130EC"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Bordin </w:t>
      </w:r>
      <w:r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marrjen e një vendimi të ndryshëm nga i mëparshmi apo për gabime </w:t>
      </w:r>
      <w:r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 xml:space="preserve">materiale të konstatuara. Për këtë vendim mund të bëhet ankim në Gjykatën Administrative Tiranë, brenda 30 ditëve kalendarike nga dita e publikimit në Fletoren Zyrtare. </w:t>
      </w:r>
    </w:p>
    <w:p w14:paraId="38A6A1F8" w14:textId="77777777" w:rsidR="00EA0694" w:rsidRPr="0053544D" w:rsidRDefault="00EA0694" w:rsidP="00FC0E0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>Ky vendim botohet në Fletoren Zyrtare.</w:t>
      </w:r>
    </w:p>
    <w:p w14:paraId="6BA06895" w14:textId="77777777" w:rsidR="00EA0694" w:rsidRPr="0053544D" w:rsidRDefault="00EA0694" w:rsidP="00EA069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03D90389" w14:textId="58F8F044" w:rsidR="00EA0694" w:rsidRPr="0053544D" w:rsidRDefault="00EA0694" w:rsidP="00EA0694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3544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KRYETAR </w:t>
      </w:r>
    </w:p>
    <w:p w14:paraId="3769455C" w14:textId="61264DB9" w:rsidR="00EA0694" w:rsidRPr="0053544D" w:rsidRDefault="00EA0694" w:rsidP="00EA0694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53544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Petrit Ahmeti</w:t>
      </w:r>
    </w:p>
    <w:p w14:paraId="71E66D2A" w14:textId="303B1DE2" w:rsidR="00D70529" w:rsidRPr="0053544D" w:rsidRDefault="00D70529" w:rsidP="00EA0694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D70529" w:rsidRPr="0053544D" w:rsidSect="0029137E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F53587E" w14:textId="77777777" w:rsidR="0029137E" w:rsidRDefault="0029137E">
      <w:pPr>
        <w:spacing w:after="0" w:line="240" w:lineRule="auto"/>
      </w:pPr>
      <w:r>
        <w:separator/>
      </w:r>
    </w:p>
  </w:endnote>
  <w:endnote w:type="continuationSeparator" w:id="0">
    <w:p w14:paraId="6E0A2DF0" w14:textId="77777777" w:rsidR="0029137E" w:rsidRDefault="0029137E">
      <w:pPr>
        <w:spacing w:after="0" w:line="240" w:lineRule="auto"/>
      </w:pPr>
      <w:r>
        <w:continuationSeparator/>
      </w:r>
    </w:p>
  </w:endnote>
  <w:endnote w:type="continuationNotice" w:id="1">
    <w:p w14:paraId="46E01FFF" w14:textId="77777777" w:rsidR="00884917" w:rsidRDefault="0088491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-Roman">
    <w:panose1 w:val="00000000000000000000"/>
    <w:charset w:val="00"/>
    <w:family w:val="roman"/>
    <w:notTrueType/>
    <w:pitch w:val="default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F2375DE" w14:textId="77777777" w:rsidR="0029137E" w:rsidRDefault="0029137E">
      <w:pPr>
        <w:spacing w:after="0" w:line="240" w:lineRule="auto"/>
      </w:pPr>
      <w:r>
        <w:separator/>
      </w:r>
    </w:p>
  </w:footnote>
  <w:footnote w:type="continuationSeparator" w:id="0">
    <w:p w14:paraId="3C4D69F3" w14:textId="77777777" w:rsidR="0029137E" w:rsidRDefault="0029137E">
      <w:pPr>
        <w:spacing w:after="0" w:line="240" w:lineRule="auto"/>
      </w:pPr>
      <w:r>
        <w:continuationSeparator/>
      </w:r>
    </w:p>
  </w:footnote>
  <w:footnote w:type="continuationNotice" w:id="1">
    <w:p w14:paraId="565B0E2B" w14:textId="77777777" w:rsidR="00884917" w:rsidRDefault="0088491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9664F9EC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000002"/>
    <w:multiLevelType w:val="hybridMultilevel"/>
    <w:tmpl w:val="F5961986"/>
    <w:lvl w:ilvl="0" w:tplc="0409000B">
      <w:start w:val="1"/>
      <w:numFmt w:val="bullet"/>
      <w:lvlText w:val=""/>
      <w:lvlJc w:val="left"/>
      <w:pPr>
        <w:ind w:left="15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">
    <w:nsid w:val="00000003"/>
    <w:multiLevelType w:val="hybridMultilevel"/>
    <w:tmpl w:val="44503E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0000004"/>
    <w:multiLevelType w:val="hybridMultilevel"/>
    <w:tmpl w:val="88663192"/>
    <w:lvl w:ilvl="0" w:tplc="9CE8DE1A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00000005"/>
    <w:multiLevelType w:val="hybridMultilevel"/>
    <w:tmpl w:val="4CE439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0000006"/>
    <w:multiLevelType w:val="hybridMultilevel"/>
    <w:tmpl w:val="867A8A8C"/>
    <w:lvl w:ilvl="0" w:tplc="04090019">
      <w:start w:val="1"/>
      <w:numFmt w:val="lowerLetter"/>
      <w:lvlText w:val="%1."/>
      <w:lvlJc w:val="left"/>
      <w:pPr>
        <w:ind w:left="1211" w:hanging="360"/>
      </w:pPr>
    </w:lvl>
    <w:lvl w:ilvl="1" w:tplc="04090019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00000007"/>
    <w:multiLevelType w:val="hybridMultilevel"/>
    <w:tmpl w:val="3250A312"/>
    <w:lvl w:ilvl="0" w:tplc="CFF226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0000008"/>
    <w:multiLevelType w:val="hybridMultilevel"/>
    <w:tmpl w:val="E90C233A"/>
    <w:lvl w:ilvl="0" w:tplc="041C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8">
    <w:nsid w:val="00000009"/>
    <w:multiLevelType w:val="hybridMultilevel"/>
    <w:tmpl w:val="7B722FC4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>
    <w:nsid w:val="0000000A"/>
    <w:multiLevelType w:val="hybridMultilevel"/>
    <w:tmpl w:val="F684EC3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0000000B"/>
    <w:multiLevelType w:val="hybridMultilevel"/>
    <w:tmpl w:val="FE20AD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0000000C"/>
    <w:multiLevelType w:val="hybridMultilevel"/>
    <w:tmpl w:val="57D268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000000D"/>
    <w:multiLevelType w:val="hybridMultilevel"/>
    <w:tmpl w:val="6E4E107A"/>
    <w:lvl w:ilvl="0" w:tplc="0409000B">
      <w:start w:val="1"/>
      <w:numFmt w:val="bullet"/>
      <w:lvlText w:val=""/>
      <w:lvlJc w:val="left"/>
      <w:pPr>
        <w:ind w:left="159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231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30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50" w:hanging="360"/>
      </w:pPr>
      <w:rPr>
        <w:rFonts w:ascii="Wingdings" w:hAnsi="Wingdings" w:hint="default"/>
      </w:rPr>
    </w:lvl>
  </w:abstractNum>
  <w:abstractNum w:abstractNumId="13">
    <w:nsid w:val="0000000E"/>
    <w:multiLevelType w:val="hybridMultilevel"/>
    <w:tmpl w:val="E0FA704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0000000F"/>
    <w:multiLevelType w:val="hybridMultilevel"/>
    <w:tmpl w:val="79C86DC6"/>
    <w:lvl w:ilvl="0" w:tplc="9F0AEE64">
      <w:start w:val="1"/>
      <w:numFmt w:val="bullet"/>
      <w:lvlText w:val="-"/>
      <w:lvlJc w:val="left"/>
      <w:pPr>
        <w:ind w:left="895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15">
    <w:nsid w:val="00000010"/>
    <w:multiLevelType w:val="hybridMultilevel"/>
    <w:tmpl w:val="4A50726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00000011"/>
    <w:multiLevelType w:val="hybridMultilevel"/>
    <w:tmpl w:val="0C1E45CE"/>
    <w:lvl w:ilvl="0" w:tplc="0409000B">
      <w:start w:val="1"/>
      <w:numFmt w:val="bullet"/>
      <w:lvlText w:val=""/>
      <w:lvlJc w:val="left"/>
      <w:pPr>
        <w:ind w:left="540" w:hanging="360"/>
      </w:pPr>
      <w:rPr>
        <w:rFonts w:ascii="Wingdings" w:hAnsi="Wingdings" w:hint="default"/>
      </w:rPr>
    </w:lvl>
    <w:lvl w:ilvl="1" w:tplc="041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1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00000012"/>
    <w:multiLevelType w:val="hybridMultilevel"/>
    <w:tmpl w:val="DEBC8C52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00000013"/>
    <w:multiLevelType w:val="hybridMultilevel"/>
    <w:tmpl w:val="B74672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00000014"/>
    <w:multiLevelType w:val="hybridMultilevel"/>
    <w:tmpl w:val="35567A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00000015"/>
    <w:multiLevelType w:val="hybridMultilevel"/>
    <w:tmpl w:val="EE2EFB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BAEFB5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00000016"/>
    <w:multiLevelType w:val="hybridMultilevel"/>
    <w:tmpl w:val="31141FE0"/>
    <w:lvl w:ilvl="0" w:tplc="9F0AEE64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>
    <w:nsid w:val="00000017"/>
    <w:multiLevelType w:val="hybridMultilevel"/>
    <w:tmpl w:val="8B8E61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00000018"/>
    <w:multiLevelType w:val="hybridMultilevel"/>
    <w:tmpl w:val="77F4651A"/>
    <w:lvl w:ilvl="0" w:tplc="041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00000019"/>
    <w:multiLevelType w:val="singleLevel"/>
    <w:tmpl w:val="96D630BC"/>
    <w:lvl w:ilvl="0">
      <w:start w:val="1"/>
      <w:numFmt w:val="bullet"/>
      <w:lvlText w:val="*"/>
      <w:lvlJc w:val="left"/>
    </w:lvl>
  </w:abstractNum>
  <w:abstractNum w:abstractNumId="25">
    <w:nsid w:val="0000001A"/>
    <w:multiLevelType w:val="hybridMultilevel"/>
    <w:tmpl w:val="591284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0000001B"/>
    <w:multiLevelType w:val="hybridMultilevel"/>
    <w:tmpl w:val="FACCF390"/>
    <w:lvl w:ilvl="0" w:tplc="040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27">
    <w:nsid w:val="0000001C"/>
    <w:multiLevelType w:val="hybridMultilevel"/>
    <w:tmpl w:val="646E4ECE"/>
    <w:lvl w:ilvl="0" w:tplc="9F0AEE64">
      <w:start w:val="1"/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1" w:tplc="FE94F97C">
      <w:start w:val="1"/>
      <w:numFmt w:val="bullet"/>
      <w:lvlText w:val="•"/>
      <w:lvlJc w:val="left"/>
      <w:pPr>
        <w:ind w:left="2520" w:hanging="360"/>
      </w:pPr>
      <w:rPr>
        <w:rFonts w:ascii="Times New Roman" w:eastAsia="Calibri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8">
    <w:nsid w:val="0000001D"/>
    <w:multiLevelType w:val="hybridMultilevel"/>
    <w:tmpl w:val="6DFA8D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0000001E"/>
    <w:multiLevelType w:val="hybridMultilevel"/>
    <w:tmpl w:val="3CE0C472"/>
    <w:lvl w:ilvl="0" w:tplc="CD3C3160">
      <w:start w:val="4"/>
      <w:numFmt w:val="bullet"/>
      <w:lvlText w:val="-"/>
      <w:lvlJc w:val="left"/>
      <w:pPr>
        <w:ind w:left="231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30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70" w:hanging="360"/>
      </w:pPr>
      <w:rPr>
        <w:rFonts w:ascii="Wingdings" w:hAnsi="Wingdings" w:hint="default"/>
      </w:rPr>
    </w:lvl>
  </w:abstractNum>
  <w:abstractNum w:abstractNumId="30">
    <w:nsid w:val="0000001F"/>
    <w:multiLevelType w:val="hybridMultilevel"/>
    <w:tmpl w:val="8844393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>
    <w:nsid w:val="00000020"/>
    <w:multiLevelType w:val="hybridMultilevel"/>
    <w:tmpl w:val="F3A4826E"/>
    <w:lvl w:ilvl="0" w:tplc="9F0AEE6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B570F6B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E6D10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AC8DB3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4D0DB3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42E4CD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0E0FC7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396617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A7C953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00000021"/>
    <w:multiLevelType w:val="hybridMultilevel"/>
    <w:tmpl w:val="A50094CC"/>
    <w:lvl w:ilvl="0" w:tplc="AAD6473E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>
    <w:nsid w:val="00000022"/>
    <w:multiLevelType w:val="hybridMultilevel"/>
    <w:tmpl w:val="26362F02"/>
    <w:lvl w:ilvl="0" w:tplc="CD3C3160">
      <w:start w:val="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00000023"/>
    <w:multiLevelType w:val="hybridMultilevel"/>
    <w:tmpl w:val="5FBC27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91C2ACA"/>
    <w:multiLevelType w:val="hybridMultilevel"/>
    <w:tmpl w:val="F77E5EE4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7"/>
  </w:num>
  <w:num w:numId="3">
    <w:abstractNumId w:val="24"/>
    <w:lvlOverride w:ilvl="0">
      <w:lvl w:ilvl="0">
        <w:start w:val="1"/>
        <w:numFmt w:val="bullet"/>
        <w:lvlText w:val=""/>
        <w:lvlJc w:val="left"/>
        <w:rPr>
          <w:rFonts w:ascii="Symbol" w:hAnsi="Symbol" w:hint="default"/>
        </w:rPr>
      </w:lvl>
    </w:lvlOverride>
  </w:num>
  <w:num w:numId="4">
    <w:abstractNumId w:val="3"/>
  </w:num>
  <w:num w:numId="5">
    <w:abstractNumId w:val="9"/>
  </w:num>
  <w:num w:numId="6">
    <w:abstractNumId w:val="8"/>
  </w:num>
  <w:num w:numId="7">
    <w:abstractNumId w:val="35"/>
  </w:num>
  <w:num w:numId="8">
    <w:abstractNumId w:val="0"/>
  </w:num>
  <w:num w:numId="9">
    <w:abstractNumId w:val="4"/>
  </w:num>
  <w:num w:numId="10">
    <w:abstractNumId w:val="6"/>
  </w:num>
  <w:num w:numId="11">
    <w:abstractNumId w:val="5"/>
  </w:num>
  <w:num w:numId="12">
    <w:abstractNumId w:val="2"/>
  </w:num>
  <w:num w:numId="13">
    <w:abstractNumId w:val="1"/>
  </w:num>
  <w:num w:numId="14">
    <w:abstractNumId w:val="11"/>
  </w:num>
  <w:num w:numId="15">
    <w:abstractNumId w:val="30"/>
  </w:num>
  <w:num w:numId="16">
    <w:abstractNumId w:val="19"/>
  </w:num>
  <w:num w:numId="17">
    <w:abstractNumId w:val="14"/>
  </w:num>
  <w:num w:numId="18">
    <w:abstractNumId w:val="15"/>
  </w:num>
  <w:num w:numId="19">
    <w:abstractNumId w:val="26"/>
  </w:num>
  <w:num w:numId="20">
    <w:abstractNumId w:val="12"/>
  </w:num>
  <w:num w:numId="21">
    <w:abstractNumId w:val="20"/>
  </w:num>
  <w:num w:numId="22">
    <w:abstractNumId w:val="34"/>
  </w:num>
  <w:num w:numId="23">
    <w:abstractNumId w:val="25"/>
  </w:num>
  <w:num w:numId="24">
    <w:abstractNumId w:val="29"/>
  </w:num>
  <w:num w:numId="25">
    <w:abstractNumId w:val="16"/>
  </w:num>
  <w:num w:numId="26">
    <w:abstractNumId w:val="17"/>
  </w:num>
  <w:num w:numId="27">
    <w:abstractNumId w:val="13"/>
  </w:num>
  <w:num w:numId="28">
    <w:abstractNumId w:val="23"/>
  </w:num>
  <w:num w:numId="29">
    <w:abstractNumId w:val="22"/>
  </w:num>
  <w:num w:numId="30">
    <w:abstractNumId w:val="28"/>
  </w:num>
  <w:num w:numId="31">
    <w:abstractNumId w:val="18"/>
  </w:num>
  <w:num w:numId="32">
    <w:abstractNumId w:val="27"/>
  </w:num>
  <w:num w:numId="33">
    <w:abstractNumId w:val="20"/>
  </w:num>
  <w:num w:numId="34">
    <w:abstractNumId w:val="10"/>
  </w:num>
  <w:num w:numId="35">
    <w:abstractNumId w:val="21"/>
  </w:num>
  <w:num w:numId="36">
    <w:abstractNumId w:val="33"/>
  </w:num>
  <w:num w:numId="37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7959"/>
    <w:rsid w:val="00001F1A"/>
    <w:rsid w:val="00004C74"/>
    <w:rsid w:val="00136491"/>
    <w:rsid w:val="00166A2E"/>
    <w:rsid w:val="001F48B1"/>
    <w:rsid w:val="002343B6"/>
    <w:rsid w:val="002778C7"/>
    <w:rsid w:val="0029137E"/>
    <w:rsid w:val="003332BB"/>
    <w:rsid w:val="00454043"/>
    <w:rsid w:val="0053544D"/>
    <w:rsid w:val="005718A7"/>
    <w:rsid w:val="005A66BB"/>
    <w:rsid w:val="00615593"/>
    <w:rsid w:val="00632C9C"/>
    <w:rsid w:val="006F11E0"/>
    <w:rsid w:val="00772447"/>
    <w:rsid w:val="00795946"/>
    <w:rsid w:val="007D4DBD"/>
    <w:rsid w:val="007F5A0E"/>
    <w:rsid w:val="00823839"/>
    <w:rsid w:val="00884917"/>
    <w:rsid w:val="00A25195"/>
    <w:rsid w:val="00A51CA2"/>
    <w:rsid w:val="00A521C4"/>
    <w:rsid w:val="00AE663C"/>
    <w:rsid w:val="00AF0A7A"/>
    <w:rsid w:val="00BF29D5"/>
    <w:rsid w:val="00C37959"/>
    <w:rsid w:val="00C4244A"/>
    <w:rsid w:val="00D130EC"/>
    <w:rsid w:val="00D70529"/>
    <w:rsid w:val="00DD6389"/>
    <w:rsid w:val="00E72722"/>
    <w:rsid w:val="00EA0694"/>
    <w:rsid w:val="00EC0265"/>
    <w:rsid w:val="00F83F67"/>
    <w:rsid w:val="00FB3BBD"/>
    <w:rsid w:val="00FC0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B27E3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styleId="Hyperlink">
    <w:name w:val="Hyperlink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rPr>
      <w:color w:val="605E5C"/>
      <w:shd w:val="clear" w:color="auto" w:fill="E1DFDD"/>
    </w:rPr>
  </w:style>
  <w:style w:type="character" w:customStyle="1" w:styleId="fontstyle01">
    <w:name w:val="fontstyle01"/>
    <w:rPr>
      <w:rFonts w:ascii="Times-Roman" w:hAnsi="Times-Roman" w:hint="default"/>
      <w:b w:val="0"/>
      <w:bCs w:val="0"/>
      <w:i w:val="0"/>
      <w:iCs w:val="0"/>
      <w:color w:val="000000"/>
      <w:sz w:val="18"/>
      <w:szCs w:val="18"/>
    </w:rPr>
  </w:style>
  <w:style w:type="paragraph" w:styleId="Revision">
    <w:name w:val="Revision"/>
    <w:uiPriority w:val="9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styleId="Hyperlink">
    <w:name w:val="Hyperlink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rPr>
      <w:color w:val="605E5C"/>
      <w:shd w:val="clear" w:color="auto" w:fill="E1DFDD"/>
    </w:rPr>
  </w:style>
  <w:style w:type="character" w:customStyle="1" w:styleId="fontstyle01">
    <w:name w:val="fontstyle01"/>
    <w:rPr>
      <w:rFonts w:ascii="Times-Roman" w:hAnsi="Times-Roman" w:hint="default"/>
      <w:b w:val="0"/>
      <w:bCs w:val="0"/>
      <w:i w:val="0"/>
      <w:iCs w:val="0"/>
      <w:color w:val="000000"/>
      <w:sz w:val="18"/>
      <w:szCs w:val="18"/>
    </w:rPr>
  </w:style>
  <w:style w:type="paragraph" w:styleId="Revision">
    <w:name w:val="Revision"/>
    <w:uiPriority w:val="9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042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customXml" Target="../customXml/item13.xml"/><Relationship Id="rId18" Type="http://schemas.openxmlformats.org/officeDocument/2006/relationships/settings" Target="settings.xml"/><Relationship Id="rId3" Type="http://schemas.openxmlformats.org/officeDocument/2006/relationships/customXml" Target="../customXml/item3.xml"/><Relationship Id="rId21" Type="http://schemas.openxmlformats.org/officeDocument/2006/relationships/endnotes" Target="endnotes.xml"/><Relationship Id="rId7" Type="http://schemas.openxmlformats.org/officeDocument/2006/relationships/customXml" Target="../customXml/item7.xml"/><Relationship Id="rId12" Type="http://schemas.openxmlformats.org/officeDocument/2006/relationships/customXml" Target="../customXml/item12.xml"/><Relationship Id="rId17" Type="http://schemas.microsoft.com/office/2007/relationships/stylesWithEffects" Target="stylesWithEffects.xml"/><Relationship Id="rId2" Type="http://schemas.openxmlformats.org/officeDocument/2006/relationships/customXml" Target="../customXml/item2.xml"/><Relationship Id="rId16" Type="http://schemas.openxmlformats.org/officeDocument/2006/relationships/styles" Target="styles.xml"/><Relationship Id="rId20" Type="http://schemas.openxmlformats.org/officeDocument/2006/relationships/footnotes" Target="footnotes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5" Type="http://schemas.openxmlformats.org/officeDocument/2006/relationships/customXml" Target="../customXml/item5.xml"/><Relationship Id="rId15" Type="http://schemas.openxmlformats.org/officeDocument/2006/relationships/numbering" Target="numbering.xml"/><Relationship Id="rId23" Type="http://schemas.openxmlformats.org/officeDocument/2006/relationships/theme" Target="theme/theme1.xml"/><Relationship Id="rId10" Type="http://schemas.openxmlformats.org/officeDocument/2006/relationships/customXml" Target="../customXml/item10.xml"/><Relationship Id="rId19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customXml" Target="../customXml/item14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.xml"/></Relationships>
</file>

<file path=customXml/_rels/item1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.xml"/></Relationships>
</file>

<file path=customXml/_rels/item1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8023976E9B1416897BC5F9703E45E1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6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7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190</Nr_x002e__x0020_akti>
    <Data_x0020_e_x0020_Krijimit xmlns="0e656187-b300-4fb0-8bf4-3a50f872073c">2022-08-22T07:17:12Z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2022-08-18T22:00:00Z</Date_x0020_protokolli>
    <Titulli xmlns="0e656187-b300-4fb0-8bf4-3a50f872073c">Mbi licencimin e shoqërisë “NTSP” sh.p.k., në veprimtarinë e prodhimit të energjisë elektrike nga centrali fotovoltaik, me vendndodhje në zonën Bitinckë, Bilisht, qarku Korçë, me kapacitet të instaluar 2 mw</Titulli>
    <Modifikuesi xmlns="0e656187-b300-4fb0-8bf4-3a50f872073c">valjeta.kaftalli</Modifikuesi>
    <Nr_x002e__x0020_prot_x0020_QBZ xmlns="0e656187-b300-4fb0-8bf4-3a50f872073c">1319/4</Nr_x002e__x0020_prot_x0020_QBZ>
    <Data_x0020_e_x0020_Modifikimit xmlns="0e656187-b300-4fb0-8bf4-3a50f872073c">2022-08-22T09:45:36Z</Data_x0020_e_x0020_Modifikimit>
    <Dekretuar xmlns="0e656187-b300-4fb0-8bf4-3a50f872073c">false</Dekretuar>
    <Data xmlns="0e656187-b300-4fb0-8bf4-3a50f872073c">2022-07-20T22:00:00Z</Data>
    <Nr_x002e__x0020_protokolli_x0020_i_x0020_aktit xmlns="0e656187-b300-4fb0-8bf4-3a50f872073c">1469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8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9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0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1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8023976E9B1416897BC5F9703E45E1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1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1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9A7008-93FE-4DC6-BB39-2F7478B92F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F8D0806B-1E71-469C-81A5-FF9C6E8AE0A8}">
  <ds:schemaRefs>
    <ds:schemaRef ds:uri="http://www.wps.cn/android/officeDocument/2013/mofficeCustomData"/>
  </ds:schemaRefs>
</ds:datastoreItem>
</file>

<file path=customXml/itemProps3.xml><?xml version="1.0" encoding="utf-8"?>
<ds:datastoreItem xmlns:ds="http://schemas.openxmlformats.org/officeDocument/2006/customXml" ds:itemID="{2521775F-F2D1-4378-A726-2A8371D0885E}">
  <ds:schemaRefs>
    <ds:schemaRef ds:uri="http://www.wps.cn/android/officeDocument/2013/mofficeCustomData"/>
  </ds:schemaRefs>
</ds:datastoreItem>
</file>

<file path=customXml/itemProps4.xml><?xml version="1.0" encoding="utf-8"?>
<ds:datastoreItem xmlns:ds="http://schemas.openxmlformats.org/officeDocument/2006/customXml" ds:itemID="{CC0127AA-4468-4BE9-88A9-4FB452520F29}">
  <ds:schemaRefs>
    <ds:schemaRef ds:uri="http://www.wps.cn/android/officeDocument/2013/mofficeCustomData"/>
  </ds:schemaRefs>
</ds:datastoreItem>
</file>

<file path=customXml/itemProps5.xml><?xml version="1.0" encoding="utf-8"?>
<ds:datastoreItem xmlns:ds="http://schemas.openxmlformats.org/officeDocument/2006/customXml" ds:itemID="{FB9A59BA-8EC2-470F-A2A9-797E72AFDFF6}">
  <ds:schemaRefs>
    <ds:schemaRef ds:uri="http://www.wps.cn/android/officeDocument/2013/mofficeCustomData"/>
  </ds:schemaRefs>
</ds:datastoreItem>
</file>

<file path=customXml/itemProps6.xml><?xml version="1.0" encoding="utf-8"?>
<ds:datastoreItem xmlns:ds="http://schemas.openxmlformats.org/officeDocument/2006/customXml" ds:itemID="{157FD1A3-334B-473E-AC9E-146563E380A7}">
  <ds:schemaRefs>
    <ds:schemaRef ds:uri="http://www.wps.cn/android/officeDocument/2013/mofficeCustomData"/>
  </ds:schemaRefs>
</ds:datastoreItem>
</file>

<file path=customXml/itemProps7.xml><?xml version="1.0" encoding="utf-8"?>
<ds:datastoreItem xmlns:ds="http://schemas.openxmlformats.org/officeDocument/2006/customXml" ds:itemID="{7FB2A607-C3A4-498C-8391-AC087BDF6365}">
  <ds:schemaRefs>
    <ds:schemaRef ds:uri="http://purl.org/dc/dcmitype/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schemas.microsoft.com/office/2006/metadata/properties"/>
    <ds:schemaRef ds:uri="http://purl.org/dc/terms/"/>
    <ds:schemaRef ds:uri="http://purl.org/dc/elements/1.1/"/>
  </ds:schemaRefs>
</ds:datastoreItem>
</file>

<file path=customXml/itemProps8.xml><?xml version="1.0" encoding="utf-8"?>
<ds:datastoreItem xmlns:ds="http://schemas.openxmlformats.org/officeDocument/2006/customXml" ds:itemID="{94A3949A-9083-47C5-A48B-C6A667A866F8}">
  <ds:schemaRefs>
    <ds:schemaRef ds:uri="http://www.wps.cn/android/officeDocument/2013/mofficeCustomData"/>
  </ds:schemaRefs>
</ds:datastoreItem>
</file>

<file path=customXml/itemProps9.xml><?xml version="1.0" encoding="utf-8"?>
<ds:datastoreItem xmlns:ds="http://schemas.openxmlformats.org/officeDocument/2006/customXml" ds:itemID="{38201DBD-9D73-4B33-A81C-40E7DD6A5F5F}">
  <ds:schemaRefs>
    <ds:schemaRef ds:uri="http://www.wps.cn/android/officeDocument/2013/mofficeCustomData"/>
  </ds:schemaRefs>
</ds:datastoreItem>
</file>

<file path=customXml/itemProps10.xml><?xml version="1.0" encoding="utf-8"?>
<ds:datastoreItem xmlns:ds="http://schemas.openxmlformats.org/officeDocument/2006/customXml" ds:itemID="{1586A41B-64D3-4EF3-BFAA-D164E73D92DA}">
  <ds:schemaRefs>
    <ds:schemaRef ds:uri="http://schemas.microsoft.com/sharepoint/v3/contenttype/forms"/>
  </ds:schemaRefs>
</ds:datastoreItem>
</file>

<file path=customXml/itemProps11.xml><?xml version="1.0" encoding="utf-8"?>
<ds:datastoreItem xmlns:ds="http://schemas.openxmlformats.org/officeDocument/2006/customXml" ds:itemID="{21107663-955F-44CB-A563-B554985B8544}">
  <ds:schemaRefs>
    <ds:schemaRef ds:uri="http://www.wps.cn/android/officeDocument/2013/mofficeCustomData"/>
  </ds:schemaRefs>
</ds:datastoreItem>
</file>

<file path=customXml/itemProps12.xml><?xml version="1.0" encoding="utf-8"?>
<ds:datastoreItem xmlns:ds="http://schemas.openxmlformats.org/officeDocument/2006/customXml" ds:itemID="{8E72354F-D481-474D-94F2-0984BE0131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13.xml><?xml version="1.0" encoding="utf-8"?>
<ds:datastoreItem xmlns:ds="http://schemas.openxmlformats.org/officeDocument/2006/customXml" ds:itemID="{D58742FC-4048-411C-9118-00C056137866}">
  <ds:schemaRefs>
    <ds:schemaRef ds:uri="http://schemas.microsoft.com/sharepoint/v3/contenttype/forms"/>
  </ds:schemaRefs>
</ds:datastoreItem>
</file>

<file path=customXml/itemProps14.xml><?xml version="1.0" encoding="utf-8"?>
<ds:datastoreItem xmlns:ds="http://schemas.openxmlformats.org/officeDocument/2006/customXml" ds:itemID="{B9FF0679-F602-481F-8F61-0613790347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1159</Words>
  <Characters>6262</Characters>
  <Application>Microsoft Office Word</Application>
  <DocSecurity>0</DocSecurity>
  <Lines>447</Lines>
  <Paragraphs>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licencimin e shoqërisë “NTSP” sh.p.k., në veprimtarinë e prodhimit të energjisë elektrike nga centrali fotovoltaik, me vendndodhje në zonën Bitinckë, Bilisht, qarku Korçë, me kapacitet të instaluar 2 mw</vt:lpstr>
    </vt:vector>
  </TitlesOfParts>
  <Company/>
  <LinksUpToDate>false</LinksUpToDate>
  <CharactersWithSpaces>7344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licencimin e shoqërisë “NTSP” sh.p.k., në veprimtarinë e prodhimit të energjisë elektrike nga centrali fotovoltaik, me vendndodhje në zonën Bitinckë, Bilisht, qarku Korçë, me kapacitet të instaluar 2 mw</dc:title>
  <dc:creator>Usrt</dc:creator>
  <cp:lastModifiedBy>Nevila Samarxhi</cp:lastModifiedBy>
  <cp:revision>28</cp:revision>
  <cp:lastPrinted>2022-01-05T08:12:00Z</cp:lastPrinted>
  <dcterms:created xsi:type="dcterms:W3CDTF">2022-07-29T09:41:00Z</dcterms:created>
  <dcterms:modified xsi:type="dcterms:W3CDTF">2022-08-22T11:24:00Z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bfe92bde5af246f39c8d90f61dbf087b</vt:lpwstr>
  </property>
</Properties>
</file>