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9B353" w14:textId="77777777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F151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2ECAB7B" w14:textId="4B414A11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F15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243, </w:t>
      </w:r>
      <w:r w:rsidR="00A81E40" w:rsidRPr="006F1511">
        <w:rPr>
          <w:rFonts w:ascii="Garamond" w:hAnsi="Garamond" w:cs="Times New Roman"/>
          <w:b/>
          <w:bCs/>
          <w:color w:val="000000"/>
          <w:sz w:val="24"/>
          <w:szCs w:val="24"/>
        </w:rPr>
        <w:t>datë 23.</w:t>
      </w:r>
      <w:r w:rsidRPr="006F1511">
        <w:rPr>
          <w:rFonts w:ascii="Garamond" w:hAnsi="Garamond" w:cs="Times New Roman"/>
          <w:b/>
          <w:bCs/>
          <w:color w:val="000000"/>
          <w:sz w:val="24"/>
          <w:szCs w:val="24"/>
        </w:rPr>
        <w:t>9.2022</w:t>
      </w:r>
    </w:p>
    <w:p w14:paraId="1C7B58D7" w14:textId="77777777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27B8979" w14:textId="3E624BC8" w:rsidR="0092743A" w:rsidRPr="006F1511" w:rsidRDefault="006F1511" w:rsidP="00A81E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MBI KËRKESËN</w:t>
      </w:r>
      <w:r w:rsidR="00C178E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E OST SHA</w:t>
      </w:r>
      <w:r w:rsidR="0092743A" w:rsidRPr="006F1511">
        <w:rPr>
          <w:rFonts w:ascii="Garamond" w:hAnsi="Garamond" w:cs="Times New Roman"/>
          <w:b/>
          <w:bCs/>
          <w:color w:val="000000"/>
          <w:sz w:val="24"/>
          <w:szCs w:val="24"/>
        </w:rPr>
        <w:t>, PËR PËRCAKTIMIN E TARIFËS SË TRANSMETIMIT TË ENERGJISË ELEKTRIKE PËR VITIN 2023 DHE PERIUDHËN 2023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b/>
          <w:bCs/>
          <w:color w:val="000000"/>
          <w:sz w:val="24"/>
          <w:szCs w:val="24"/>
        </w:rPr>
        <w:t>2025</w:t>
      </w:r>
    </w:p>
    <w:p w14:paraId="3855D8C6" w14:textId="77777777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069FA65" w14:textId="6ED62F32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Në mbështetje të neneve 16, 19,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>germa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“c”, pika “i”, nenit 21 dhe nenit 55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të ligjit nr. 43/2015, “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6F1511">
        <w:rPr>
          <w:rFonts w:ascii="Garamond" w:hAnsi="Garamond" w:cs="Times New Roman"/>
          <w:color w:val="000000"/>
          <w:sz w:val="24"/>
          <w:szCs w:val="24"/>
        </w:rPr>
        <w:t>të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6F1511">
        <w:rPr>
          <w:rFonts w:ascii="Garamond" w:hAnsi="Garamond" w:cs="Times New Roman"/>
          <w:color w:val="000000"/>
          <w:sz w:val="24"/>
          <w:szCs w:val="24"/>
        </w:rPr>
        <w:t>të v</w:t>
      </w:r>
      <w:r w:rsidRPr="006F1511">
        <w:rPr>
          <w:rFonts w:ascii="Garamond" w:hAnsi="Garamond" w:cs="Times New Roman"/>
          <w:color w:val="000000"/>
          <w:sz w:val="24"/>
          <w:szCs w:val="24"/>
        </w:rPr>
        <w:t>endimit të Këshillit të Min</w:t>
      </w:r>
      <w:r w:rsidR="006F1511">
        <w:rPr>
          <w:rFonts w:ascii="Garamond" w:hAnsi="Garamond" w:cs="Times New Roman"/>
          <w:color w:val="000000"/>
          <w:sz w:val="24"/>
          <w:szCs w:val="24"/>
        </w:rPr>
        <w:t>istrave (VKM) nr. 456, datë 29.</w:t>
      </w:r>
      <w:r w:rsidRPr="006F1511">
        <w:rPr>
          <w:rFonts w:ascii="Garamond" w:hAnsi="Garamond" w:cs="Times New Roman"/>
          <w:color w:val="000000"/>
          <w:sz w:val="24"/>
          <w:szCs w:val="24"/>
        </w:rPr>
        <w:t>6.2022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6F1511">
        <w:rPr>
          <w:rFonts w:ascii="Garamond" w:hAnsi="Garamond" w:cs="Times New Roman"/>
          <w:color w:val="000000"/>
          <w:sz w:val="24"/>
          <w:szCs w:val="24"/>
        </w:rPr>
        <w:t>nenit 15 dhe nenit 19, pika 1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>germa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“c” dhe pika 3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6F1511">
        <w:rPr>
          <w:rFonts w:ascii="Garamond" w:hAnsi="Garamond" w:cs="Times New Roman"/>
          <w:color w:val="000000"/>
          <w:sz w:val="24"/>
          <w:szCs w:val="24"/>
        </w:rPr>
        <w:t>“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6F1511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F1511">
        <w:rPr>
          <w:rFonts w:ascii="Garamond" w:hAnsi="Garamond" w:cs="Times New Roman"/>
          <w:color w:val="000000"/>
          <w:sz w:val="24"/>
          <w:szCs w:val="24"/>
        </w:rPr>
        <w:t>të Entit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 Rregullator të Energjisë (ERE) nr. 96, datë 17.</w:t>
      </w:r>
      <w:r w:rsidRPr="006F1511">
        <w:rPr>
          <w:rFonts w:ascii="Garamond" w:hAnsi="Garamond" w:cs="Times New Roman"/>
          <w:color w:val="000000"/>
          <w:sz w:val="24"/>
          <w:szCs w:val="24"/>
        </w:rPr>
        <w:t>6.2016; “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>Metodologjisë së llogaritjes së tarifave të transmetimit të energjisë elektrike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F1511">
        <w:rPr>
          <w:rFonts w:ascii="Garamond" w:hAnsi="Garamond" w:cs="Times New Roman"/>
          <w:color w:val="000000"/>
          <w:sz w:val="24"/>
          <w:szCs w:val="24"/>
        </w:rPr>
        <w:t>të ERE-s nr.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 180, datë 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8.11.2017, si dhe 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vendimit të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F1511">
        <w:rPr>
          <w:rFonts w:ascii="Garamond" w:hAnsi="Garamond" w:cs="Times New Roman"/>
          <w:color w:val="000000"/>
          <w:sz w:val="24"/>
          <w:szCs w:val="24"/>
        </w:rPr>
        <w:t>të ERE-s nr. 244, datë 26.11.2018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sistemit të </w:t>
      </w:r>
      <w:r w:rsidR="006F1511" w:rsidRPr="006F1511">
        <w:rPr>
          <w:rFonts w:ascii="Garamond" w:hAnsi="Garamond" w:cs="Times New Roman"/>
          <w:iCs/>
          <w:color w:val="000000"/>
          <w:sz w:val="24"/>
          <w:szCs w:val="24"/>
        </w:rPr>
        <w:t>njehsuar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 xml:space="preserve"> dhe të standardizuar të llogarive për të licencuarit në sektorin e energjisë elektrike për aktivitetet e transmetimit, shpërndarjes dhe </w:t>
      </w:r>
      <w:r w:rsidR="006F1511" w:rsidRPr="006F1511">
        <w:rPr>
          <w:rFonts w:ascii="Garamond" w:hAnsi="Garamond" w:cs="Times New Roman"/>
          <w:iCs/>
          <w:color w:val="000000"/>
          <w:sz w:val="24"/>
          <w:szCs w:val="24"/>
        </w:rPr>
        <w:t xml:space="preserve">Furnizuesit 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6F1511" w:rsidRPr="006F1511">
        <w:rPr>
          <w:rFonts w:ascii="Garamond" w:hAnsi="Garamond" w:cs="Times New Roman"/>
          <w:iCs/>
          <w:color w:val="000000"/>
          <w:sz w:val="24"/>
          <w:szCs w:val="24"/>
        </w:rPr>
        <w:t xml:space="preserve">Shërbimit Universal 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>të energjisë elektrike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i ERE-s, </w:t>
      </w:r>
      <w:r w:rsidR="006F1511">
        <w:rPr>
          <w:rFonts w:ascii="Garamond" w:hAnsi="Garamond" w:cs="Times New Roman"/>
          <w:color w:val="000000"/>
          <w:sz w:val="24"/>
          <w:szCs w:val="24"/>
        </w:rPr>
        <w:t>në mbledhjen e tij të datës 23.</w:t>
      </w:r>
      <w:r w:rsidRPr="006F1511">
        <w:rPr>
          <w:rFonts w:ascii="Garamond" w:hAnsi="Garamond" w:cs="Times New Roman"/>
          <w:color w:val="000000"/>
          <w:sz w:val="24"/>
          <w:szCs w:val="24"/>
        </w:rPr>
        <w:t>9.2022, pasi shqyrtoi relacioni</w:t>
      </w:r>
      <w:r w:rsidR="006F1511">
        <w:rPr>
          <w:rFonts w:ascii="Garamond" w:hAnsi="Garamond" w:cs="Times New Roman"/>
          <w:color w:val="000000"/>
          <w:sz w:val="24"/>
          <w:szCs w:val="24"/>
        </w:rPr>
        <w:t>n me nr. 1522/1 prot., datë 21.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9.2022, të përgatitur nga Drejtoria e Tarifave dhe Çmimeve 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>“Mbi kërkesën për aplikim për tarifën e transmetimit të energjisë elektrike për vitin 2023 dhe periudhën 2023</w:t>
      </w:r>
      <w:r w:rsidR="006F1511">
        <w:rPr>
          <w:rFonts w:ascii="Garamond" w:hAnsi="Garamond" w:cs="Times New Roman"/>
          <w:iCs/>
          <w:color w:val="000000"/>
          <w:sz w:val="24"/>
          <w:szCs w:val="24"/>
        </w:rPr>
        <w:t>–</w:t>
      </w:r>
      <w:r w:rsidRPr="006F1511">
        <w:rPr>
          <w:rFonts w:ascii="Garamond" w:hAnsi="Garamond" w:cs="Times New Roman"/>
          <w:iCs/>
          <w:color w:val="000000"/>
          <w:sz w:val="24"/>
          <w:szCs w:val="24"/>
        </w:rPr>
        <w:t>2025”,</w:t>
      </w:r>
    </w:p>
    <w:p w14:paraId="0601A079" w14:textId="34D68C9F" w:rsidR="0092743A" w:rsidRPr="006F1511" w:rsidRDefault="006F1511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6F1511">
        <w:rPr>
          <w:rFonts w:ascii="Garamond" w:hAnsi="Garamond" w:cs="Times New Roman"/>
          <w:bCs/>
          <w:color w:val="000000"/>
          <w:sz w:val="24"/>
          <w:szCs w:val="24"/>
        </w:rPr>
        <w:t>konstatoi se:</w:t>
      </w:r>
    </w:p>
    <w:p w14:paraId="0775FF54" w14:textId="58C5D053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Shoqëria </w:t>
      </w:r>
      <w:r w:rsidR="006F1511">
        <w:rPr>
          <w:rFonts w:ascii="Garamond" w:hAnsi="Garamond" w:cs="Times New Roman"/>
          <w:color w:val="000000"/>
          <w:sz w:val="24"/>
          <w:szCs w:val="24"/>
        </w:rPr>
        <w:t>“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Operatori i Sistemit të Transmetimit</w:t>
      </w:r>
      <w:r w:rsidR="006F1511">
        <w:rPr>
          <w:rFonts w:ascii="Garamond" w:hAnsi="Garamond" w:cs="Times New Roman"/>
          <w:color w:val="000000"/>
          <w:sz w:val="24"/>
          <w:szCs w:val="24"/>
        </w:rPr>
        <w:t>”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(OST sh.a.) me sh</w:t>
      </w:r>
      <w:r w:rsidR="006F1511">
        <w:rPr>
          <w:rFonts w:ascii="Garamond" w:hAnsi="Garamond" w:cs="Times New Roman"/>
          <w:color w:val="000000"/>
          <w:sz w:val="24"/>
          <w:szCs w:val="24"/>
        </w:rPr>
        <w:t>kresën nr. 5303 prot., datë 31.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8.2022 (protokolluar me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 tonën me nr. 1522 prot., datë 6.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9.2022), ka paraqitur në ERE kërkesën për aplikim për tarifën e transmetimit të energjisë elektrike për vitin 2023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si dhe për periudhën 2023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2025, e cila është në përputhje me afatet e parashikuara në pikën 1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të nenit 21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të “Rregullores për organizimin, funksionimin dhe procedurat e ERE-s”, miratuar me vendimin e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6F1511">
        <w:rPr>
          <w:rFonts w:ascii="Garamond" w:hAnsi="Garamond" w:cs="Times New Roman"/>
          <w:color w:val="000000"/>
          <w:sz w:val="24"/>
          <w:szCs w:val="24"/>
        </w:rPr>
        <w:t>të ERE-s nr. 96, datë 17.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6.2016.</w:t>
      </w:r>
    </w:p>
    <w:p w14:paraId="54D0E3ED" w14:textId="2637CE42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ERE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me anë të vendimit të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nr.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 72, datë 13.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4.2022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ka miratuar tarifën e shërbimit të</w:t>
      </w:r>
      <w:r w:rsidR="00C178E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transmetimit të energjisë elektrike prej 0.85 lekë/kWh, për periudhën rregullatore 1 </w:t>
      </w:r>
      <w:r w:rsidR="006F1511">
        <w:rPr>
          <w:rFonts w:ascii="Garamond" w:hAnsi="Garamond" w:cs="Times New Roman"/>
          <w:color w:val="000000"/>
          <w:sz w:val="24"/>
          <w:szCs w:val="24"/>
        </w:rPr>
        <w:t>maj 2022–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31 </w:t>
      </w:r>
      <w:r w:rsidR="006F1511">
        <w:rPr>
          <w:rFonts w:ascii="Garamond" w:hAnsi="Garamond" w:cs="Times New Roman"/>
          <w:color w:val="000000"/>
          <w:sz w:val="24"/>
          <w:szCs w:val="24"/>
        </w:rPr>
        <w:t>d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hjetor 2024.</w:t>
      </w:r>
    </w:p>
    <w:p w14:paraId="6CC4CD97" w14:textId="5A988176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6F1511">
        <w:rPr>
          <w:rFonts w:ascii="Garamond" w:hAnsi="Garamond" w:cs="Times New Roman"/>
          <w:color w:val="000000"/>
          <w:sz w:val="24"/>
          <w:szCs w:val="24"/>
        </w:rPr>
        <w:t>Shoqëria OST sh.a.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ka paraqitur për miratim në ERE tarifën e transmetimit të energjisë elektrike për vitin 2023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si dhe për periudhën 2023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2025, në shumën prej 2.18 lekë/kWh.</w:t>
      </w:r>
    </w:p>
    <w:p w14:paraId="55101988" w14:textId="00295957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Aplikimi i shoqërisë OST sh.a., i paraqitur në ERE për miratim, i referohet nj</w:t>
      </w:r>
      <w:r w:rsidR="006F1511">
        <w:rPr>
          <w:rFonts w:ascii="Garamond" w:hAnsi="Garamond" w:cs="Times New Roman"/>
          <w:color w:val="000000"/>
          <w:sz w:val="24"/>
          <w:szCs w:val="24"/>
        </w:rPr>
        <w:t>ë periudhe të re rregullatore 3-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vjeçare (2023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2025), e ndryshme nga ajo e kërkuar nga shoqëria dhe e miratuar nga ERE me vendimin e sipërcituar, e cila nuk mbështetet në parashikimet e </w:t>
      </w:r>
      <w:r w:rsidR="006F1511">
        <w:rPr>
          <w:rFonts w:ascii="Garamond" w:hAnsi="Garamond" w:cs="Times New Roman"/>
          <w:color w:val="000000"/>
          <w:sz w:val="24"/>
          <w:szCs w:val="24"/>
        </w:rPr>
        <w:t>“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Metodologjisë së llogaritjes së tarifave të transmetimit</w:t>
      </w:r>
      <w:r w:rsidR="006F1511">
        <w:rPr>
          <w:rFonts w:ascii="Garamond" w:hAnsi="Garamond" w:cs="Times New Roman"/>
          <w:color w:val="000000"/>
          <w:sz w:val="24"/>
          <w:szCs w:val="24"/>
        </w:rPr>
        <w:t>”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, për sa i përket parimeve rregullatore dhe qëndr</w:t>
      </w:r>
      <w:r w:rsidR="006F1511">
        <w:rPr>
          <w:rFonts w:ascii="Garamond" w:hAnsi="Garamond" w:cs="Times New Roman"/>
          <w:color w:val="000000"/>
          <w:sz w:val="24"/>
          <w:szCs w:val="24"/>
        </w:rPr>
        <w:t>ueshmërisë së tarifave në kohë.</w:t>
      </w:r>
    </w:p>
    <w:p w14:paraId="65B06406" w14:textId="7D6FE8D0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Në këtë a</w:t>
      </w:r>
      <w:r w:rsidR="006F1511">
        <w:rPr>
          <w:rFonts w:ascii="Garamond" w:hAnsi="Garamond" w:cs="Times New Roman"/>
          <w:color w:val="000000"/>
          <w:sz w:val="24"/>
          <w:szCs w:val="24"/>
        </w:rPr>
        <w:t>plikim konstatohet se OST sh.a.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ka rishikuar të gjitha kostot apo komponentët e të ardhurave të kërkuara në rritje, nga ato të vlerësuara dhe miratuara nga ERE me vendimin e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nr.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 72, datë 13.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4.2022. Ndryshe nga sa parashikohet në </w:t>
      </w:r>
      <w:r w:rsidR="006F1511">
        <w:rPr>
          <w:rFonts w:ascii="Garamond" w:hAnsi="Garamond" w:cs="Times New Roman"/>
          <w:color w:val="000000"/>
          <w:sz w:val="24"/>
          <w:szCs w:val="24"/>
        </w:rPr>
        <w:t>m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etod</w:t>
      </w:r>
      <w:r w:rsidR="006F1511">
        <w:rPr>
          <w:rFonts w:ascii="Garamond" w:hAnsi="Garamond" w:cs="Times New Roman"/>
          <w:color w:val="000000"/>
          <w:sz w:val="24"/>
          <w:szCs w:val="24"/>
        </w:rPr>
        <w:t>ologjinë sipërcituar, OST sh.a.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nuk ka paraqitur element</w:t>
      </w:r>
      <w:r w:rsidR="006F1511">
        <w:rPr>
          <w:rFonts w:ascii="Garamond" w:hAnsi="Garamond" w:cs="Times New Roman"/>
          <w:color w:val="000000"/>
          <w:sz w:val="24"/>
          <w:szCs w:val="24"/>
        </w:rPr>
        <w:t>et e korrigjuesh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m</w:t>
      </w:r>
      <w:r w:rsidR="006F1511">
        <w:rPr>
          <w:rFonts w:ascii="Garamond" w:hAnsi="Garamond" w:cs="Times New Roman"/>
          <w:color w:val="000000"/>
          <w:sz w:val="24"/>
          <w:szCs w:val="24"/>
        </w:rPr>
        <w:t>e/axhustuesh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m</w:t>
      </w:r>
      <w:r w:rsidR="006F1511">
        <w:rPr>
          <w:rFonts w:ascii="Garamond" w:hAnsi="Garamond" w:cs="Times New Roman"/>
          <w:color w:val="000000"/>
          <w:sz w:val="24"/>
          <w:szCs w:val="24"/>
        </w:rPr>
        <w:t>e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të tarifës mesatare tavan apo të 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ardhurave të kërkuara, të cilat në zbatim të pikës 7, të nenit 11 të saj, parashikon që kryhet axhustim/korrigjim në tarifën mesatare tavan në vitin e ardhshëm, pavarësisht se axhustimet bëhen në periudhën rregullator</w:t>
      </w:r>
      <w:r w:rsidR="006F1511">
        <w:rPr>
          <w:rFonts w:ascii="Garamond" w:hAnsi="Garamond" w:cs="Times New Roman"/>
          <w:color w:val="000000"/>
          <w:sz w:val="24"/>
          <w:szCs w:val="24"/>
        </w:rPr>
        <w:t>e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pasardhëse.</w:t>
      </w:r>
    </w:p>
    <w:p w14:paraId="3AFA306B" w14:textId="508F0284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Me VKM</w:t>
      </w:r>
      <w:r w:rsidR="006F1511">
        <w:rPr>
          <w:rFonts w:ascii="Garamond" w:hAnsi="Garamond" w:cs="Times New Roman"/>
          <w:color w:val="000000"/>
          <w:sz w:val="24"/>
          <w:szCs w:val="24"/>
        </w:rPr>
        <w:t>-në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nr. 456/2022, kosto</w:t>
      </w:r>
      <w:r w:rsidR="006F1511">
        <w:rPr>
          <w:rFonts w:ascii="Garamond" w:hAnsi="Garamond" w:cs="Times New Roman"/>
          <w:color w:val="000000"/>
          <w:sz w:val="24"/>
          <w:szCs w:val="24"/>
        </w:rPr>
        <w:t>ja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e blerjes së energjisë për humbjet do të mbulohet nga shoqëria KESH sh.a., përgjatë gjithë kohëzgjatjes së gjendjes së emergjencës në furnizimin me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lastRenderedPageBreak/>
        <w:t>energji elektrike, me çmimin e blerjes së energjisë nga prodhuesi</w:t>
      </w:r>
      <w:r w:rsidR="006F1511">
        <w:rPr>
          <w:rFonts w:ascii="Garamond" w:hAnsi="Garamond" w:cs="Times New Roman"/>
          <w:color w:val="000000"/>
          <w:sz w:val="24"/>
          <w:szCs w:val="24"/>
        </w:rPr>
        <w:t>t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>ekzistues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me përparësi, çmim i cili ka vlerën tavan prej 8.5652 lekë/kWh.</w:t>
      </w:r>
    </w:p>
    <w:p w14:paraId="2B20447A" w14:textId="0CF1B996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Masat e marra nga qeveria shqiptare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lidhur me gjendjen e emergjencës për furnizim, të cilat janë parashikuar në dispozitat e VKM</w:t>
      </w:r>
      <w:r w:rsidR="006F1511">
        <w:rPr>
          <w:rFonts w:ascii="Garamond" w:hAnsi="Garamond" w:cs="Times New Roman"/>
          <w:color w:val="000000"/>
          <w:sz w:val="24"/>
          <w:szCs w:val="24"/>
        </w:rPr>
        <w:t>-së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nr. 456/2022, lidhur me prokurimin e humbjeve në rrjetin e transmetimit të energjisë elektrike nga OST sh.a., si dhe të ardhurat e tjera të realizuara gjatë kësaj periudhe, i mundësojnë shoqërisë të përballojë këtë shpenzim, duke mos ndikuar në tarifën mesat</w:t>
      </w:r>
      <w:r w:rsidR="006F1511">
        <w:rPr>
          <w:rFonts w:ascii="Garamond" w:hAnsi="Garamond" w:cs="Times New Roman"/>
          <w:color w:val="000000"/>
          <w:sz w:val="24"/>
          <w:szCs w:val="24"/>
        </w:rPr>
        <w:t>are të transmetimit, të miratuar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me vendimin nr. 72/2022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të ERE</w:t>
      </w:r>
      <w:r w:rsidR="006F1511">
        <w:rPr>
          <w:rFonts w:ascii="Garamond" w:hAnsi="Garamond" w:cs="Times New Roman"/>
          <w:color w:val="000000"/>
          <w:sz w:val="24"/>
          <w:szCs w:val="24"/>
        </w:rPr>
        <w:t>-s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FEFBA5D" w14:textId="6BC07244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Bordi i ERE</w:t>
      </w:r>
      <w:r w:rsidR="006F1511">
        <w:rPr>
          <w:rFonts w:ascii="Garamond" w:hAnsi="Garamond" w:cs="Times New Roman"/>
          <w:color w:val="000000"/>
          <w:sz w:val="24"/>
          <w:szCs w:val="24"/>
        </w:rPr>
        <w:t>-s, me vendimin nr. 230, datë 12.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9.2022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, ka miratuar kontratën e shit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blerjes së energjisë elektrike midis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Shoqërisë Publike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>Prodhimit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, e ngarkuar me detyrimin e shërbimit publik “KESH sh.a.” dhe Operatorit të Sistemit të Transmetimit “OST sh.a.”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për mbulimin e humbjeve në sistemin e tra</w:t>
      </w:r>
      <w:r w:rsidR="006F1511">
        <w:rPr>
          <w:rFonts w:ascii="Garamond" w:hAnsi="Garamond" w:cs="Times New Roman"/>
          <w:color w:val="000000"/>
          <w:sz w:val="24"/>
          <w:szCs w:val="24"/>
        </w:rPr>
        <w:t>nsmetimit për periudhën kohore 2.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7.2022 deri në datën 31.12.2022.</w:t>
      </w:r>
    </w:p>
    <w:p w14:paraId="7ACD448B" w14:textId="232EE2A8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Ndër të tjera, </w:t>
      </w:r>
      <w:r w:rsidR="006F1511">
        <w:rPr>
          <w:rFonts w:ascii="Garamond" w:hAnsi="Garamond" w:cs="Times New Roman"/>
          <w:color w:val="000000"/>
          <w:sz w:val="24"/>
          <w:szCs w:val="24"/>
        </w:rPr>
        <w:t>m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etodologjia parashikon në pikën 10, të nenit 11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se në rast të një ngjarje</w:t>
      </w:r>
      <w:r w:rsidR="006F1511">
        <w:rPr>
          <w:rFonts w:ascii="Garamond" w:hAnsi="Garamond" w:cs="Times New Roman"/>
          <w:color w:val="000000"/>
          <w:sz w:val="24"/>
          <w:szCs w:val="24"/>
        </w:rPr>
        <w:t>je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të “forcës madhore” që çrregullon sistemin e transmet</w:t>
      </w:r>
      <w:r w:rsidR="006F1511">
        <w:rPr>
          <w:rFonts w:ascii="Garamond" w:hAnsi="Garamond" w:cs="Times New Roman"/>
          <w:color w:val="000000"/>
          <w:sz w:val="24"/>
          <w:szCs w:val="24"/>
        </w:rPr>
        <w:t>imit, OST sh.a.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mund t’i paraqesë në çdo kohë ERE-s një kërkesë për leje për të axhustuar pagesën e energjisë në tarifën e tran</w:t>
      </w:r>
      <w:r w:rsidR="006F1511">
        <w:rPr>
          <w:rFonts w:ascii="Garamond" w:hAnsi="Garamond" w:cs="Times New Roman"/>
          <w:color w:val="000000"/>
          <w:sz w:val="24"/>
          <w:szCs w:val="24"/>
        </w:rPr>
        <w:t>smetimit në mënyrë që OST sh.a.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të arkëtojë një shumë specifike shtesë të ardhurash por duke synuar të arrijë tarifa transmetimi të qën</w:t>
      </w:r>
      <w:r w:rsidR="006F1511">
        <w:rPr>
          <w:rFonts w:ascii="Garamond" w:hAnsi="Garamond" w:cs="Times New Roman"/>
          <w:color w:val="000000"/>
          <w:sz w:val="24"/>
          <w:szCs w:val="24"/>
        </w:rPr>
        <w:t>drueshme dhe të parashikueshme.</w:t>
      </w:r>
    </w:p>
    <w:p w14:paraId="2FCB82A1" w14:textId="42DC9088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Për aq kohë sa shoqëria nuk është përballur me një shpenzim të jashtëzakonshëm apo me një ngjarje të forcës madhore, atëherë në zbatim të parashikimeve të </w:t>
      </w:r>
      <w:r w:rsidR="006F1511">
        <w:rPr>
          <w:rFonts w:ascii="Garamond" w:hAnsi="Garamond" w:cs="Times New Roman"/>
          <w:color w:val="000000"/>
          <w:sz w:val="24"/>
          <w:szCs w:val="24"/>
        </w:rPr>
        <w:t>m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etodologjisë, komponentët të cilët do të jenë të korrigjueshëm në vitin e dytë të periudhës rregullatore (2023) janë ato të cilët lidhen me: koston e humbjeve, realizimin dhe kapitalizimin e investimeve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si dhe sasinë e energjisë së lëvruar në rrjet, element</w:t>
      </w:r>
      <w:r w:rsidR="006F1511">
        <w:rPr>
          <w:rFonts w:ascii="Garamond" w:hAnsi="Garamond" w:cs="Times New Roman"/>
          <w:color w:val="000000"/>
          <w:sz w:val="24"/>
          <w:szCs w:val="24"/>
        </w:rPr>
        <w:t>e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të cil</w:t>
      </w:r>
      <w:r w:rsidR="006F1511">
        <w:rPr>
          <w:rFonts w:ascii="Garamond" w:hAnsi="Garamond" w:cs="Times New Roman"/>
          <w:color w:val="000000"/>
          <w:sz w:val="24"/>
          <w:szCs w:val="24"/>
        </w:rPr>
        <w:t>a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t mund të kenë pësuar ndryshime eksponenciale në vitin bazë të periudhës rregullatore (viti 2022) nga ato të parashikuar</w:t>
      </w:r>
      <w:r w:rsidR="006F1511">
        <w:rPr>
          <w:rFonts w:ascii="Garamond" w:hAnsi="Garamond" w:cs="Times New Roman"/>
          <w:color w:val="000000"/>
          <w:sz w:val="24"/>
          <w:szCs w:val="24"/>
        </w:rPr>
        <w:t>a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në vendimin për tarifën e transmetim</w:t>
      </w:r>
      <w:r w:rsidR="006F1511">
        <w:rPr>
          <w:rFonts w:ascii="Garamond" w:hAnsi="Garamond" w:cs="Times New Roman"/>
          <w:color w:val="000000"/>
          <w:sz w:val="24"/>
          <w:szCs w:val="24"/>
        </w:rPr>
        <w:t>it për periudhën rregullatore 3-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vjeçare 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2024. </w:t>
      </w:r>
    </w:p>
    <w:p w14:paraId="2D5F3753" w14:textId="1546873D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Metodologjia e llogaritjes së tarifës së transmetimit të energjisë elektrike nuk lejon korrigjimin e kostove të tjera operative dhe kapitale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vit pas viti</w:t>
      </w:r>
      <w:r w:rsidR="006F1511">
        <w:rPr>
          <w:rFonts w:ascii="Garamond" w:hAnsi="Garamond" w:cs="Times New Roman"/>
          <w:color w:val="000000"/>
          <w:sz w:val="24"/>
          <w:szCs w:val="24"/>
        </w:rPr>
        <w:t>, brenda periudhës rregullatore.</w:t>
      </w:r>
    </w:p>
    <w:p w14:paraId="38DA4704" w14:textId="3D307E41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në konstatimet e vendimit nr. 72/2022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, është shprehur se OST sh.a.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duhet të paraqesë planin e investimeve për periudhën rregullatore 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2024 dhe përditësimin e planit të zhvillimit të rrjetit të transmetimit për periudhën 10-vjeçare, 2015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2025, në zbatim të “Rregullores për procedurat e paraqitjes dhe miratimit të planit të investimeve nga operatorët e transmetimit dhe shpërndarjes së energjisë elektrike”, miratuar me vendimin e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6F1511">
        <w:rPr>
          <w:rFonts w:ascii="Garamond" w:hAnsi="Garamond" w:cs="Times New Roman"/>
          <w:color w:val="000000"/>
          <w:sz w:val="24"/>
          <w:szCs w:val="24"/>
        </w:rPr>
        <w:t>të ERE-s nr. 135, datë 6.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9.2017 dhe përcaktimeve të pikës 3</w:t>
      </w:r>
      <w:r w:rsidR="006F1511">
        <w:rPr>
          <w:rFonts w:ascii="Garamond" w:hAnsi="Garamond" w:cs="Times New Roman"/>
          <w:color w:val="000000"/>
          <w:sz w:val="24"/>
          <w:szCs w:val="24"/>
        </w:rPr>
        <w:t>, të VKM-së nr. 584/2021.</w:t>
      </w:r>
    </w:p>
    <w:p w14:paraId="28E33275" w14:textId="4097661A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6F1511">
        <w:rPr>
          <w:rFonts w:ascii="Garamond" w:hAnsi="Garamond" w:cs="Times New Roman"/>
          <w:color w:val="000000"/>
          <w:sz w:val="24"/>
          <w:szCs w:val="24"/>
        </w:rPr>
        <w:t>OST sh.a.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nuk ka përcjellë në ERE për shqyrtim planin e investimeve për periudhën në të cilën shtrihet periudha rregullatore 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2024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6F1511">
        <w:rPr>
          <w:rFonts w:ascii="Garamond" w:hAnsi="Garamond" w:cs="Times New Roman"/>
          <w:color w:val="000000"/>
          <w:sz w:val="24"/>
          <w:szCs w:val="24"/>
        </w:rPr>
        <w:t>i dhe përditësimin e “Planit 10-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vjeçar të zhvillimit të rrjetit të transmetimit (2015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2025)” të miratuar me vendimin e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të ERE-s nr. 212, datë 28.12.2017. OST sh.a.</w:t>
      </w:r>
      <w:r w:rsidR="006F1511">
        <w:rPr>
          <w:rFonts w:ascii="Garamond" w:hAnsi="Garamond" w:cs="Times New Roman"/>
          <w:color w:val="000000"/>
          <w:sz w:val="24"/>
          <w:szCs w:val="24"/>
        </w:rPr>
        <w:t>, me shkresën nr. 3788, datë 15.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6.2022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, përcolli në ERE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kërkesën për miratimin e planit të investimeve të vitit 2022, ndryshe nga sa lënë detyrë në vendimin e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të ERE</w:t>
      </w:r>
      <w:r w:rsidR="006F1511">
        <w:rPr>
          <w:rFonts w:ascii="Garamond" w:hAnsi="Garamond" w:cs="Times New Roman"/>
          <w:color w:val="000000"/>
          <w:sz w:val="24"/>
          <w:szCs w:val="24"/>
        </w:rPr>
        <w:t>-s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nr. 72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, datë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13.4.2022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të sipërcituar.</w:t>
      </w:r>
    </w:p>
    <w:p w14:paraId="2F13695A" w14:textId="7C88C8AA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Në</w:t>
      </w:r>
      <w:r w:rsidR="006F1511">
        <w:rPr>
          <w:rFonts w:ascii="Garamond" w:hAnsi="Garamond" w:cs="Times New Roman"/>
          <w:color w:val="000000"/>
          <w:sz w:val="24"/>
          <w:szCs w:val="24"/>
        </w:rPr>
        <w:t xml:space="preserve"> kushtet kur shoqëria OST sh.a.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 xml:space="preserve"> nuk është përballur me shpenzime të jashtëzakonshme dhe</w:t>
      </w:r>
      <w:r w:rsidR="00C178E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ngjarje të forcës madhore për vitin 2022, kërkesa e shoqërisë për aplikimin e tarifës së transmetimit të energjisë elektrike për vitin 2023 dhe periudhën rregullatore 2023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92743A" w:rsidRPr="006F1511">
        <w:rPr>
          <w:rFonts w:ascii="Garamond" w:hAnsi="Garamond" w:cs="Times New Roman"/>
          <w:color w:val="000000"/>
          <w:sz w:val="24"/>
          <w:szCs w:val="24"/>
        </w:rPr>
        <w:t>2025, vlerësohet si e paarsyetuar dhe e pa mbështetur në parashikimet e legjislacionit në fuqi.</w:t>
      </w:r>
    </w:p>
    <w:p w14:paraId="7DFF8B06" w14:textId="1B0EDE79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6F1511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98833A2" w14:textId="77777777" w:rsidR="00A81E40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4F856AA0" w14:textId="5C8C983B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F151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931A093" w14:textId="77777777" w:rsidR="00A81E40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6CC5509" w14:textId="663D3FF1" w:rsidR="0092743A" w:rsidRPr="006F1511" w:rsidRDefault="0092743A" w:rsidP="00A61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Times New Roman"/>
          <w:color w:val="000000"/>
          <w:sz w:val="24"/>
          <w:szCs w:val="24"/>
        </w:rPr>
        <w:t>1.</w:t>
      </w:r>
      <w:r w:rsidR="00A81E40" w:rsidRPr="006F15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F1511">
        <w:rPr>
          <w:rFonts w:ascii="Garamond" w:hAnsi="Garamond" w:cs="Times New Roman"/>
          <w:color w:val="000000"/>
          <w:sz w:val="24"/>
          <w:szCs w:val="24"/>
        </w:rPr>
        <w:t>Mos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>fillimin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e procedurës për shqyrtimin e kërkesës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për aplikimin e tarifës së transmetimit të energjisë elektrike për vitin 2023</w:t>
      </w:r>
      <w:r w:rsidR="006F1511">
        <w:rPr>
          <w:rFonts w:ascii="Garamond" w:hAnsi="Garamond" w:cs="Times New Roman"/>
          <w:color w:val="000000"/>
          <w:sz w:val="24"/>
          <w:szCs w:val="24"/>
        </w:rPr>
        <w:t>,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si dhe për periudhën 2023</w:t>
      </w:r>
      <w:r w:rsidR="006F1511">
        <w:rPr>
          <w:rFonts w:ascii="Garamond" w:hAnsi="Garamond" w:cs="Times New Roman"/>
          <w:color w:val="000000"/>
          <w:sz w:val="24"/>
          <w:szCs w:val="24"/>
        </w:rPr>
        <w:t>–</w:t>
      </w:r>
      <w:r w:rsidR="00A61104">
        <w:rPr>
          <w:rFonts w:ascii="Garamond" w:hAnsi="Garamond" w:cs="Times New Roman"/>
          <w:color w:val="000000"/>
          <w:sz w:val="24"/>
          <w:szCs w:val="24"/>
        </w:rPr>
        <w:t>2025, prej 2.18 lekë/kWh.</w:t>
      </w:r>
    </w:p>
    <w:p w14:paraId="17E71E9A" w14:textId="696B6614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Times New Roman"/>
          <w:color w:val="000000"/>
          <w:sz w:val="24"/>
          <w:szCs w:val="24"/>
        </w:rPr>
        <w:lastRenderedPageBreak/>
        <w:t>2.</w:t>
      </w:r>
      <w:r w:rsidR="00A81E40" w:rsidRPr="006F15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Drejtoria Juridike dhe e </w:t>
      </w:r>
      <w:r w:rsidR="006F1511">
        <w:rPr>
          <w:rFonts w:ascii="Garamond" w:hAnsi="Garamond" w:cs="Times New Roman"/>
          <w:color w:val="000000"/>
          <w:sz w:val="24"/>
          <w:szCs w:val="24"/>
        </w:rPr>
        <w:t>Zgjidhjes së Mosmarrëveshjeve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 të njoftojë palët e interesuara për vendimin e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F1511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188DB5D1" w14:textId="77777777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296C32A6" w14:textId="77777777" w:rsidR="007F6627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6F1511" w:rsidRPr="006F1511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</w:t>
      </w:r>
    </w:p>
    <w:p w14:paraId="0F84CB6D" w14:textId="2DF93CA7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Times New Roman"/>
          <w:color w:val="000000"/>
          <w:sz w:val="24"/>
          <w:szCs w:val="24"/>
        </w:rPr>
        <w:t xml:space="preserve">Për këtë vendim mund të bëhet ankim në Gjykatën Administrative Tiranë, brenda 30 ditëve kalendarike nga dita e </w:t>
      </w:r>
      <w:r w:rsidR="007F6627">
        <w:rPr>
          <w:rFonts w:ascii="Garamond" w:hAnsi="Garamond" w:cs="Times New Roman"/>
          <w:color w:val="000000"/>
          <w:sz w:val="24"/>
          <w:szCs w:val="24"/>
        </w:rPr>
        <w:t>publikimit në Fletoren Zyrtare.</w:t>
      </w:r>
    </w:p>
    <w:p w14:paraId="747CC66C" w14:textId="77777777" w:rsidR="0092743A" w:rsidRPr="006F1511" w:rsidRDefault="0092743A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F1511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1299CE28" w14:textId="77777777" w:rsidR="00A81E40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1D5156B" w14:textId="0C58FA2B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F1511">
        <w:rPr>
          <w:rFonts w:ascii="Garamond" w:hAnsi="Garamond" w:cs="Times New Roman"/>
          <w:bCs/>
          <w:color w:val="000000"/>
          <w:sz w:val="24"/>
          <w:szCs w:val="24"/>
        </w:rPr>
        <w:t>KRYETAR</w:t>
      </w:r>
      <w:r w:rsidR="0092743A" w:rsidRPr="006F1511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16A39133" w14:textId="264D6FCC" w:rsidR="0092743A" w:rsidRPr="006F1511" w:rsidRDefault="00A81E40" w:rsidP="00A81E4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F1511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38C58989" w14:textId="59577809" w:rsidR="00AA758B" w:rsidRPr="006F1511" w:rsidRDefault="00AA758B" w:rsidP="00A81E4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A758B" w:rsidRPr="006F1511">
      <w:footerReference w:type="default" r:id="rId16"/>
      <w:pgSz w:w="12240" w:h="15840"/>
      <w:pgMar w:top="1440" w:right="1440" w:bottom="1440" w:left="1440" w:header="708" w:footer="2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768F4" w14:textId="77777777" w:rsidR="007F6627" w:rsidRDefault="007F6627">
      <w:pPr>
        <w:spacing w:after="0" w:line="240" w:lineRule="auto"/>
      </w:pPr>
      <w:r>
        <w:separator/>
      </w:r>
    </w:p>
  </w:endnote>
  <w:endnote w:type="continuationSeparator" w:id="0">
    <w:p w14:paraId="07541EAA" w14:textId="77777777" w:rsidR="007F6627" w:rsidRDefault="007F6627">
      <w:pPr>
        <w:spacing w:after="0" w:line="240" w:lineRule="auto"/>
      </w:pPr>
      <w:r>
        <w:continuationSeparator/>
      </w:r>
    </w:p>
  </w:endnote>
  <w:endnote w:type="continuationNotice" w:id="1">
    <w:p w14:paraId="4434B89A" w14:textId="77777777" w:rsidR="00190DFA" w:rsidRDefault="00190D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5AEAB" w14:textId="77777777" w:rsidR="007F6627" w:rsidRDefault="007F6627">
    <w:pPr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DD4F2" w14:textId="77777777" w:rsidR="007F6627" w:rsidRDefault="007F6627">
      <w:pPr>
        <w:spacing w:after="0" w:line="240" w:lineRule="auto"/>
      </w:pPr>
      <w:r>
        <w:separator/>
      </w:r>
    </w:p>
  </w:footnote>
  <w:footnote w:type="continuationSeparator" w:id="0">
    <w:p w14:paraId="2CDD5A88" w14:textId="77777777" w:rsidR="007F6627" w:rsidRDefault="007F6627">
      <w:pPr>
        <w:spacing w:after="0" w:line="240" w:lineRule="auto"/>
      </w:pPr>
      <w:r>
        <w:continuationSeparator/>
      </w:r>
    </w:p>
  </w:footnote>
  <w:footnote w:type="continuationNotice" w:id="1">
    <w:p w14:paraId="26D1ABE2" w14:textId="77777777" w:rsidR="00190DFA" w:rsidRDefault="00190D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703D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D23CFE8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C63457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6C2C3F92"/>
    <w:lvl w:ilvl="0" w:tplc="EDCC2DD8">
      <w:start w:val="1"/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17CAF4F4"/>
    <w:lvl w:ilvl="0" w:tplc="040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20F0E4FA"/>
    <w:lvl w:ilvl="0" w:tplc="EDCC2DD8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848EC57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08DE6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4FA85D50"/>
    <w:lvl w:ilvl="0" w:tplc="041C000F">
      <w:start w:val="1"/>
      <w:numFmt w:val="decimal"/>
      <w:lvlText w:val="%1."/>
      <w:lvlJc w:val="left"/>
      <w:pPr>
        <w:ind w:left="1571" w:hanging="360"/>
      </w:pPr>
    </w:lvl>
    <w:lvl w:ilvl="1" w:tplc="041C0019" w:tentative="1">
      <w:start w:val="1"/>
      <w:numFmt w:val="lowerLetter"/>
      <w:lvlText w:val="%2."/>
      <w:lvlJc w:val="left"/>
      <w:pPr>
        <w:ind w:left="2291" w:hanging="360"/>
      </w:pPr>
    </w:lvl>
    <w:lvl w:ilvl="2" w:tplc="041C001B" w:tentative="1">
      <w:start w:val="1"/>
      <w:numFmt w:val="lowerRoman"/>
      <w:lvlText w:val="%3."/>
      <w:lvlJc w:val="right"/>
      <w:pPr>
        <w:ind w:left="3011" w:hanging="180"/>
      </w:pPr>
    </w:lvl>
    <w:lvl w:ilvl="3" w:tplc="041C000F" w:tentative="1">
      <w:start w:val="1"/>
      <w:numFmt w:val="decimal"/>
      <w:lvlText w:val="%4."/>
      <w:lvlJc w:val="left"/>
      <w:pPr>
        <w:ind w:left="3731" w:hanging="360"/>
      </w:pPr>
    </w:lvl>
    <w:lvl w:ilvl="4" w:tplc="041C0019" w:tentative="1">
      <w:start w:val="1"/>
      <w:numFmt w:val="lowerLetter"/>
      <w:lvlText w:val="%5."/>
      <w:lvlJc w:val="left"/>
      <w:pPr>
        <w:ind w:left="4451" w:hanging="360"/>
      </w:pPr>
    </w:lvl>
    <w:lvl w:ilvl="5" w:tplc="041C001B" w:tentative="1">
      <w:start w:val="1"/>
      <w:numFmt w:val="lowerRoman"/>
      <w:lvlText w:val="%6."/>
      <w:lvlJc w:val="right"/>
      <w:pPr>
        <w:ind w:left="5171" w:hanging="180"/>
      </w:pPr>
    </w:lvl>
    <w:lvl w:ilvl="6" w:tplc="041C000F" w:tentative="1">
      <w:start w:val="1"/>
      <w:numFmt w:val="decimal"/>
      <w:lvlText w:val="%7."/>
      <w:lvlJc w:val="left"/>
      <w:pPr>
        <w:ind w:left="5891" w:hanging="360"/>
      </w:pPr>
    </w:lvl>
    <w:lvl w:ilvl="7" w:tplc="041C0019" w:tentative="1">
      <w:start w:val="1"/>
      <w:numFmt w:val="lowerLetter"/>
      <w:lvlText w:val="%8."/>
      <w:lvlJc w:val="left"/>
      <w:pPr>
        <w:ind w:left="6611" w:hanging="360"/>
      </w:pPr>
    </w:lvl>
    <w:lvl w:ilvl="8" w:tplc="041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0000000C"/>
    <w:multiLevelType w:val="hybridMultilevel"/>
    <w:tmpl w:val="81C27B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AAE6BF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CC8E218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F"/>
    <w:multiLevelType w:val="hybridMultilevel"/>
    <w:tmpl w:val="559EE63A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00000010"/>
    <w:multiLevelType w:val="hybridMultilevel"/>
    <w:tmpl w:val="1898DD8A"/>
    <w:lvl w:ilvl="0" w:tplc="EDCC2DD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25AA67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A0C040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B68270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68261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46A653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EBA68A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F8A4A9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0FE0CE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7024A2AC"/>
    <w:lvl w:ilvl="0" w:tplc="041C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F95E49CA"/>
    <w:lvl w:ilvl="0" w:tplc="E9D638A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>
    <w:nsid w:val="00000013"/>
    <w:multiLevelType w:val="hybridMultilevel"/>
    <w:tmpl w:val="7AD25056"/>
    <w:lvl w:ilvl="0" w:tplc="040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C4BE438C"/>
    <w:lvl w:ilvl="0" w:tplc="BCD6DD92">
      <w:start w:val="7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66240E22"/>
    <w:lvl w:ilvl="0" w:tplc="EDCC2DD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2968D6B4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C1074BE"/>
    <w:multiLevelType w:val="hybridMultilevel"/>
    <w:tmpl w:val="1DC2F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CDD31E5"/>
    <w:multiLevelType w:val="hybridMultilevel"/>
    <w:tmpl w:val="71AAFECA"/>
    <w:lvl w:ilvl="0" w:tplc="C2FE31F2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>
    <w:nsid w:val="0F3B00EC"/>
    <w:multiLevelType w:val="hybridMultilevel"/>
    <w:tmpl w:val="031478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BE140F2"/>
    <w:multiLevelType w:val="hybridMultilevel"/>
    <w:tmpl w:val="866C44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41627CE"/>
    <w:multiLevelType w:val="hybridMultilevel"/>
    <w:tmpl w:val="AA3EBC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08C0C98"/>
    <w:multiLevelType w:val="hybridMultilevel"/>
    <w:tmpl w:val="C31E09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1"/>
  </w:num>
  <w:num w:numId="3">
    <w:abstractNumId w:val="14"/>
  </w:num>
  <w:num w:numId="4">
    <w:abstractNumId w:val="18"/>
  </w:num>
  <w:num w:numId="5">
    <w:abstractNumId w:val="7"/>
  </w:num>
  <w:num w:numId="6">
    <w:abstractNumId w:val="10"/>
  </w:num>
  <w:num w:numId="7">
    <w:abstractNumId w:val="3"/>
  </w:num>
  <w:num w:numId="8">
    <w:abstractNumId w:val="4"/>
  </w:num>
  <w:num w:numId="9">
    <w:abstractNumId w:val="16"/>
  </w:num>
  <w:num w:numId="10">
    <w:abstractNumId w:val="13"/>
  </w:num>
  <w:num w:numId="11">
    <w:abstractNumId w:val="20"/>
  </w:num>
  <w:num w:numId="12">
    <w:abstractNumId w:val="2"/>
  </w:num>
  <w:num w:numId="13">
    <w:abstractNumId w:val="11"/>
  </w:num>
  <w:num w:numId="14">
    <w:abstractNumId w:val="9"/>
  </w:num>
  <w:num w:numId="15">
    <w:abstractNumId w:val="12"/>
  </w:num>
  <w:num w:numId="16">
    <w:abstractNumId w:val="5"/>
  </w:num>
  <w:num w:numId="17">
    <w:abstractNumId w:val="8"/>
  </w:num>
  <w:num w:numId="18">
    <w:abstractNumId w:val="15"/>
  </w:num>
  <w:num w:numId="19">
    <w:abstractNumId w:val="0"/>
  </w:num>
  <w:num w:numId="20">
    <w:abstractNumId w:val="17"/>
  </w:num>
  <w:num w:numId="21">
    <w:abstractNumId w:val="19"/>
  </w:num>
  <w:num w:numId="22">
    <w:abstractNumId w:val="22"/>
  </w:num>
  <w:num w:numId="23">
    <w:abstractNumId w:val="6"/>
  </w:num>
  <w:num w:numId="24">
    <w:abstractNumId w:val="26"/>
  </w:num>
  <w:num w:numId="25">
    <w:abstractNumId w:val="25"/>
  </w:num>
  <w:num w:numId="26">
    <w:abstractNumId w:val="24"/>
  </w:num>
  <w:num w:numId="27">
    <w:abstractNumId w:val="23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58B"/>
    <w:rsid w:val="0000526F"/>
    <w:rsid w:val="00010957"/>
    <w:rsid w:val="0002105F"/>
    <w:rsid w:val="000402BB"/>
    <w:rsid w:val="000C6A0D"/>
    <w:rsid w:val="000E5DAF"/>
    <w:rsid w:val="00135DF8"/>
    <w:rsid w:val="00190DFA"/>
    <w:rsid w:val="00262ABC"/>
    <w:rsid w:val="002A72B0"/>
    <w:rsid w:val="003168A5"/>
    <w:rsid w:val="003461A4"/>
    <w:rsid w:val="00355E21"/>
    <w:rsid w:val="00357CEC"/>
    <w:rsid w:val="00380004"/>
    <w:rsid w:val="0038755D"/>
    <w:rsid w:val="003E4339"/>
    <w:rsid w:val="0045676C"/>
    <w:rsid w:val="00493382"/>
    <w:rsid w:val="00495505"/>
    <w:rsid w:val="00495914"/>
    <w:rsid w:val="004D6746"/>
    <w:rsid w:val="004E1DCE"/>
    <w:rsid w:val="00511123"/>
    <w:rsid w:val="00580ABF"/>
    <w:rsid w:val="00593987"/>
    <w:rsid w:val="005C0D9A"/>
    <w:rsid w:val="005C3D0F"/>
    <w:rsid w:val="005D5055"/>
    <w:rsid w:val="006206E4"/>
    <w:rsid w:val="00627D46"/>
    <w:rsid w:val="006410DF"/>
    <w:rsid w:val="0065038A"/>
    <w:rsid w:val="006B28EA"/>
    <w:rsid w:val="006F1511"/>
    <w:rsid w:val="00713499"/>
    <w:rsid w:val="007403A6"/>
    <w:rsid w:val="00760C07"/>
    <w:rsid w:val="00784B56"/>
    <w:rsid w:val="007B44AD"/>
    <w:rsid w:val="007D6690"/>
    <w:rsid w:val="007E152F"/>
    <w:rsid w:val="007E2DC6"/>
    <w:rsid w:val="007F6627"/>
    <w:rsid w:val="00815077"/>
    <w:rsid w:val="00863045"/>
    <w:rsid w:val="008777DA"/>
    <w:rsid w:val="008919CA"/>
    <w:rsid w:val="008C2CF9"/>
    <w:rsid w:val="008D5FD2"/>
    <w:rsid w:val="008D778F"/>
    <w:rsid w:val="008E4ACB"/>
    <w:rsid w:val="009105C3"/>
    <w:rsid w:val="0092743A"/>
    <w:rsid w:val="009771C6"/>
    <w:rsid w:val="009927CD"/>
    <w:rsid w:val="009A22F2"/>
    <w:rsid w:val="00A1060D"/>
    <w:rsid w:val="00A37608"/>
    <w:rsid w:val="00A61104"/>
    <w:rsid w:val="00A81E40"/>
    <w:rsid w:val="00A84B01"/>
    <w:rsid w:val="00A8623A"/>
    <w:rsid w:val="00AA758B"/>
    <w:rsid w:val="00AC54C6"/>
    <w:rsid w:val="00AC7BEA"/>
    <w:rsid w:val="00AE36B1"/>
    <w:rsid w:val="00B2055A"/>
    <w:rsid w:val="00B32834"/>
    <w:rsid w:val="00B536A0"/>
    <w:rsid w:val="00B8585E"/>
    <w:rsid w:val="00BA2019"/>
    <w:rsid w:val="00C0556B"/>
    <w:rsid w:val="00C178E0"/>
    <w:rsid w:val="00C55AB3"/>
    <w:rsid w:val="00C70A92"/>
    <w:rsid w:val="00CD6660"/>
    <w:rsid w:val="00D924C3"/>
    <w:rsid w:val="00D96C5D"/>
    <w:rsid w:val="00E33998"/>
    <w:rsid w:val="00E82622"/>
    <w:rsid w:val="00EB4EF4"/>
    <w:rsid w:val="00F16718"/>
    <w:rsid w:val="00F341A6"/>
    <w:rsid w:val="00F50D16"/>
    <w:rsid w:val="00F708D9"/>
    <w:rsid w:val="00F8625C"/>
    <w:rsid w:val="00FC2AB9"/>
    <w:rsid w:val="00FD47EA"/>
    <w:rsid w:val="00FE38CD"/>
    <w:rsid w:val="00FF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6CDA5"/>
  <w15:docId w15:val="{9762FE61-DB07-4B95-8F9B-2C3A61CD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ListParagraphChar">
    <w:name w:val="List Paragraph Char"/>
    <w:link w:val="ListParagraph"/>
    <w:uiPriority w:val="34"/>
    <w:qFormat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  <w:style w:type="character" w:styleId="Emphasis">
    <w:name w:val="Emphasis"/>
    <w:basedOn w:val="DefaultParagraphFont"/>
    <w:qFormat/>
    <w:rPr>
      <w:i/>
      <w:iCs/>
    </w:rPr>
  </w:style>
  <w:style w:type="paragraph" w:styleId="PlainText">
    <w:name w:val="Plain Text"/>
    <w:basedOn w:val="Normal"/>
    <w:link w:val="PlainTextChar"/>
    <w:uiPriority w:val="99"/>
    <w:pPr>
      <w:spacing w:after="0" w:line="240" w:lineRule="auto"/>
    </w:pPr>
    <w:rPr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alibri" w:hAnsi="Calibri"/>
      <w:szCs w:val="21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4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4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49F71067A1423EB9B9ACAE95931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2022-09-28T12:57:58Z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kërkesën e OST sh.a., për përcaktimin e tarifës së transmetimit të energjisë elektrike për vitin 2023 dhe periudhën 2023-2025</Titulli>
    <Modifikuesi xmlns="0e656187-b300-4fb0-8bf4-3a50f872073c">Suada.Daci</Modifikuesi>
    <Nr_x002e__x0020_prot_x0020_QBZ xmlns="0e656187-b300-4fb0-8bf4-3a50f872073c">1439/2</Nr_x002e__x0020_prot_x0020_QBZ>
    <Data_x0020_e_x0020_Modifikimit xmlns="0e656187-b300-4fb0-8bf4-3a50f872073c">2022-09-28T17:24:50Z</Data_x0020_e_x0020_Modifikimit>
    <Dekretuar xmlns="0e656187-b300-4fb0-8bf4-3a50f872073c">false</Dekretuar>
    <Data xmlns="0e656187-b300-4fb0-8bf4-3a50f872073c">2022-09-22T22:00:00Z</Data>
    <Nr_x002e__x0020_protokolli_x0020_i_x0020_aktit xmlns="0e656187-b300-4fb0-8bf4-3a50f872073c">1722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49F71067A1423EB9B9ACAE95931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E02B1-423E-4B9C-8387-303B1903ED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0E871-C0E5-45B8-B0B3-5C6049875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424290A-E535-4509-A551-AAB9AD6C21AC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6B45D62-2CD9-4A0F-925E-5A38862DD9BC}">
  <ds:schemaRefs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A2B0CF8A-3A94-4B07-9176-FE684A6D2EF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29E55790-BAF4-4055-A33D-375BC610CEB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1DBF58F-EDF9-47E9-B854-EFB1E6CFA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18764C24-2388-4AB2-B976-B045C96FC71E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AA984F0F-45E5-4535-8879-989E699BA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11</cp:revision>
  <cp:lastPrinted>2022-09-23T09:32:00Z</cp:lastPrinted>
  <dcterms:created xsi:type="dcterms:W3CDTF">2022-09-27T08:58:00Z</dcterms:created>
  <dcterms:modified xsi:type="dcterms:W3CDTF">2022-09-29T12:08:00Z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4c2c3ceb1baa42a69a7a7c143da28cdd</vt:lpwstr>
  </property>
</Properties>
</file>