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3AE01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4371695" w14:textId="396C0DF2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Nr. 339, datë 21.12.2022</w:t>
      </w:r>
    </w:p>
    <w:p w14:paraId="5CD06B66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06A3123" w14:textId="3EFCECBF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NË VENDIMIN E ERE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-s NR. 28, DATË 14.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2.2022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, MBI KËRKESËN E OSSH SHA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, PËR NDRYSHIMIN E VENDIMIT TË ERE-</w:t>
      </w:r>
      <w:r w:rsidR="00AB4B82"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181, DATË 23.11.2016, “PËR DISA NDRYSHIM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E NË VENDIMIN NR. 104, DATË 23.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6.2016, TË BORDIT TË ERE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r w:rsidR="00FA7CEF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MBI PËRCAKTIMIN E METODOLOGJISË SË VLERAVE REFERUESE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RAST SE TË DHËNAT E MATJES JANË PËRKOHËSISHT TË PADISPONUESHME DHE TË PAARRITSHME, SI DHE MBI SHFUQIZIMIN E VENDIMEVE TË ERE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49, DATË 21.10.2004</w:t>
      </w:r>
      <w:r w:rsidR="00AB4B8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NR. 146, DATË 24.12.2013</w:t>
      </w:r>
      <w:r w:rsidR="00FA7CEF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64EBF1D7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AA9B50C" w14:textId="2F658402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Times New Roman"/>
          <w:color w:val="000000"/>
          <w:sz w:val="24"/>
          <w:szCs w:val="24"/>
        </w:rPr>
        <w:t>Në mbështetje të nenit 16 dhe nenit 76, pika 4</w:t>
      </w:r>
      <w:r w:rsidR="003B3BD7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3B3BD7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3B3BD7">
        <w:rPr>
          <w:rFonts w:ascii="Garamond" w:hAnsi="Garamond" w:cs="Times New Roman"/>
          <w:color w:val="000000"/>
          <w:sz w:val="24"/>
          <w:szCs w:val="24"/>
        </w:rPr>
        <w:t>të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ndryshuar; neneve 15 dhe 26 të </w:t>
      </w:r>
      <w:r w:rsidR="003B3BD7">
        <w:rPr>
          <w:rFonts w:ascii="Garamond" w:hAnsi="Garamond" w:cs="Times New Roman"/>
          <w:color w:val="000000"/>
          <w:sz w:val="24"/>
          <w:szCs w:val="24"/>
        </w:rPr>
        <w:t>“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3B3BD7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3B3BD7" w:rsidRPr="001A7B0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color w:val="000000"/>
          <w:sz w:val="24"/>
          <w:szCs w:val="24"/>
        </w:rPr>
        <w:t>të Entit Rregullator të Energjisë (ERE)</w:t>
      </w:r>
      <w:r w:rsidR="003B3BD7">
        <w:rPr>
          <w:rFonts w:ascii="Garamond" w:hAnsi="Garamond" w:cs="Times New Roman"/>
          <w:color w:val="000000"/>
          <w:sz w:val="24"/>
          <w:szCs w:val="24"/>
        </w:rPr>
        <w:t xml:space="preserve"> nr. 96, datë 3.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9.2016; </w:t>
      </w:r>
      <w:r w:rsidR="003B3BD7" w:rsidRPr="001A7B03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1A7B03">
        <w:rPr>
          <w:rFonts w:ascii="Garamond" w:hAnsi="Garamond" w:cs="Times New Roman"/>
          <w:color w:val="000000"/>
          <w:sz w:val="24"/>
          <w:szCs w:val="24"/>
        </w:rPr>
        <w:t>i ERE-s</w:t>
      </w:r>
      <w:r w:rsidR="003B3BD7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në mbledhjen e tij të datës 21.12.2022, mbasi shqyrtoi relacionin e përgatitur nga </w:t>
      </w:r>
      <w:r w:rsidR="004D646B" w:rsidRPr="001A7B03">
        <w:rPr>
          <w:rFonts w:ascii="Garamond" w:hAnsi="Garamond" w:cs="Times New Roman"/>
          <w:color w:val="000000"/>
          <w:sz w:val="24"/>
          <w:szCs w:val="24"/>
        </w:rPr>
        <w:t xml:space="preserve">drejtoritë teknike </w:t>
      </w:r>
      <w:r w:rsidRPr="001A7B03">
        <w:rPr>
          <w:rFonts w:ascii="Garamond" w:hAnsi="Garamond" w:cs="Times New Roman"/>
          <w:color w:val="000000"/>
          <w:sz w:val="24"/>
          <w:szCs w:val="24"/>
        </w:rPr>
        <w:t>me nr. 2094/2 prot., datë 19.12.2022</w:t>
      </w:r>
      <w:r w:rsidR="004D646B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Për një ndryshim në vendimin nr. 28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datë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14 </w:t>
      </w:r>
      <w:r w:rsidR="004D646B"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shkurt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2022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të </w:t>
      </w:r>
      <w:r w:rsidR="004D646B" w:rsidRPr="001A7B03">
        <w:rPr>
          <w:rFonts w:ascii="Garamond" w:hAnsi="Garamond" w:cs="Times New Roman"/>
          <w:iCs/>
          <w:color w:val="000000"/>
          <w:sz w:val="24"/>
          <w:szCs w:val="24"/>
        </w:rPr>
        <w:t>Bordi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t</w:t>
      </w:r>
      <w:r w:rsidR="004D646B"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të ERE-s,</w:t>
      </w:r>
      <w:r w:rsid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mbi kërkesën e OSSH sh.a., për ndryshimin e vendimit të ERE-s nr. 181, datë 23.11.2016, “Për disa ndryshim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e në vendimin nr. 104, datë 23.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6.2016, të </w:t>
      </w:r>
      <w:r w:rsidR="004D646B"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të ERE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, “Mbi përcaktimin e metodologjisë së vlerave referuese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në rast se të dhënat e matjes janë përkohësisht të padisponueshme dhe të paarritshme, si dhe mbi shfuqizimin e vendimeve të </w:t>
      </w:r>
      <w:r w:rsidR="00ED30D2" w:rsidRPr="001A7B03">
        <w:rPr>
          <w:rFonts w:ascii="Garamond" w:hAnsi="Garamond" w:cs="Times New Roman"/>
          <w:iCs/>
          <w:color w:val="000000"/>
          <w:sz w:val="24"/>
          <w:szCs w:val="24"/>
        </w:rPr>
        <w:t>ERE</w:t>
      </w:r>
      <w:r w:rsidR="00ED30D2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="00ED30D2"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nr. 49, datë 21.10.2004</w:t>
      </w:r>
      <w:r w:rsidR="00046A1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dhe nr. 146, datë 24.12.2013</w:t>
      </w:r>
      <w:r w:rsidRPr="001A7B03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6B93756F" w14:textId="03FCA26B" w:rsidR="005745F8" w:rsidRPr="001A7B03" w:rsidRDefault="001A7B03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5745F8" w:rsidRPr="001A7B03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130D08A1" w14:textId="68416250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ERE me vendimin nr.28, datë 14 </w:t>
      </w:r>
      <w:r w:rsidR="004D646B" w:rsidRPr="001A7B03">
        <w:rPr>
          <w:rFonts w:ascii="Garamond" w:hAnsi="Garamond" w:cs="Times New Roman"/>
          <w:color w:val="000000"/>
          <w:sz w:val="24"/>
          <w:szCs w:val="24"/>
        </w:rPr>
        <w:t xml:space="preserve">shkurt </w:t>
      </w:r>
      <w:r w:rsidRPr="001A7B03">
        <w:rPr>
          <w:rFonts w:ascii="Garamond" w:hAnsi="Garamond" w:cs="Times New Roman"/>
          <w:color w:val="000000"/>
          <w:sz w:val="24"/>
          <w:szCs w:val="24"/>
        </w:rPr>
        <w:t>2022</w:t>
      </w:r>
      <w:r w:rsidR="004D646B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vendosi: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Pranimin e pjesshëm të kërkesës së bërë nga OSSH sh.a. për ndryshimin e vendimit të ERE-s nr. 181, datë 23.11.2016, “Për disa ndryshim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e në vendimin nr. 104, datë 23.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6.2016, të </w:t>
      </w:r>
      <w:r w:rsidR="004D646B"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të ERE</w:t>
      </w:r>
      <w:r w:rsidR="004D646B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>, “Mbi përcaktimin e metodologjisë së vlerave referuese</w:t>
      </w:r>
      <w:r w:rsidR="00ED30D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në rast se të dhënat e matjes janë përkohësisht të padisponueshme dhe të paarritshme, si dhe mbi shfuqizimin e vendimeve të ERE</w:t>
      </w:r>
      <w:r w:rsidR="00ED30D2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nr.49, datë 21.10.2004</w:t>
      </w:r>
      <w:r w:rsidR="00046A11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iCs/>
          <w:color w:val="000000"/>
          <w:sz w:val="24"/>
          <w:szCs w:val="24"/>
        </w:rPr>
        <w:t xml:space="preserve"> dhe nr. 146, datë 24.12.2013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”. </w:t>
      </w:r>
    </w:p>
    <w:p w14:paraId="7610D224" w14:textId="3F199AE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Ndryshimet e pranuara lidhen kryesisht me rastet kur </w:t>
      </w:r>
      <w:r w:rsidR="00C57528" w:rsidRPr="001A7B03">
        <w:rPr>
          <w:rFonts w:ascii="Garamond" w:hAnsi="Garamond" w:cs="Times New Roman"/>
          <w:color w:val="000000"/>
          <w:sz w:val="24"/>
          <w:szCs w:val="24"/>
        </w:rPr>
        <w:t xml:space="preserve">furnizuesi </w:t>
      </w:r>
      <w:r w:rsidRPr="001A7B03">
        <w:rPr>
          <w:rFonts w:ascii="Garamond" w:hAnsi="Garamond" w:cs="Times New Roman"/>
          <w:color w:val="000000"/>
          <w:sz w:val="24"/>
          <w:szCs w:val="24"/>
        </w:rPr>
        <w:t>merr dijeni nga Operatori i Sistemit të Shpërndarjes (OSSH) sh.a.</w:t>
      </w:r>
      <w:r w:rsidR="00C57528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se të dhënat e matjes janë përkohësisht të padisponueshme ose të paarritshme për një periudhë më të gjatë se një muaj (matësi është i dëmtuar, matësi është jashtë kushtit teknik apo mungon aksesi në të dhënat e matjes). Në këto rrethana faturimi i energjisë elektrike do të bëhet me vlerë referuese. Kjo vlerë do të përllogaritet bazuar në të njëjtin konsum të muajit respektiv të vitit të mëparshëm. Periudha e faturimit sipas këtyre vlerave referuese nuk mund të zgjasë me shumë se tre muaj.</w:t>
      </w:r>
    </w:p>
    <w:p w14:paraId="7E5A9E1E" w14:textId="05A465DC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Ndryshimet e pranuara me vendimin nr. 28, datë 14 </w:t>
      </w:r>
      <w:r w:rsidR="00CE62B5" w:rsidRPr="001A7B03">
        <w:rPr>
          <w:rFonts w:ascii="Garamond" w:hAnsi="Garamond" w:cs="Times New Roman"/>
          <w:color w:val="000000"/>
          <w:sz w:val="24"/>
          <w:szCs w:val="24"/>
        </w:rPr>
        <w:t xml:space="preserve">shkurt </w:t>
      </w:r>
      <w:r w:rsidRPr="001A7B03">
        <w:rPr>
          <w:rFonts w:ascii="Garamond" w:hAnsi="Garamond" w:cs="Times New Roman"/>
          <w:color w:val="000000"/>
          <w:sz w:val="24"/>
          <w:szCs w:val="24"/>
        </w:rPr>
        <w:t>2022, i shtrojnë efektet juridike deri në datë 31.12.2022.</w:t>
      </w:r>
    </w:p>
    <w:p w14:paraId="7570EC97" w14:textId="655EE8E1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>Me</w:t>
      </w:r>
      <w:r w:rsidR="001A7B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color w:val="000000"/>
          <w:sz w:val="24"/>
          <w:szCs w:val="24"/>
        </w:rPr>
        <w:t>shkresën e tyre të protokolluar me nr. 10620 prot.</w:t>
      </w:r>
      <w:r w:rsidR="0062248F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datë 1 </w:t>
      </w:r>
      <w:r w:rsidR="00C57A97" w:rsidRPr="001A7B03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1A7B03">
        <w:rPr>
          <w:rFonts w:ascii="Garamond" w:hAnsi="Garamond" w:cs="Times New Roman"/>
          <w:color w:val="000000"/>
          <w:sz w:val="24"/>
          <w:szCs w:val="24"/>
        </w:rPr>
        <w:t>2022</w:t>
      </w:r>
      <w:r w:rsidR="0062248F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OSSH sh.a. i është drejtuar ERE-s</w:t>
      </w:r>
      <w:r w:rsidR="0062248F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me qëllim parashtrimin e kërkesës për shtrirjen e efekteve të</w:t>
      </w:r>
      <w:r w:rsidR="001A7B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vendimin e </w:t>
      </w:r>
      <w:r w:rsidR="0062248F" w:rsidRPr="001A7B0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color w:val="000000"/>
          <w:sz w:val="24"/>
          <w:szCs w:val="24"/>
        </w:rPr>
        <w:t>të ERE-s nr. 28/2022 deri në fund të vitit 2023.</w:t>
      </w:r>
    </w:p>
    <w:p w14:paraId="08315B43" w14:textId="65E24751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sz w:val="24"/>
          <w:szCs w:val="24"/>
        </w:rPr>
        <w:t>Në mbështetje të një kërkese të tillë, ata kanë paraqitur në formë tabelare një simulim të llogaritjes së këtyre vlerave me vendimin e mëparshëm të ERE-s (nr. 181</w:t>
      </w:r>
      <w:r w:rsidR="007B1B29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datë 23 </w:t>
      </w:r>
      <w:r w:rsidR="007B1B29" w:rsidRPr="001A7B03">
        <w:rPr>
          <w:rFonts w:ascii="Garamond" w:hAnsi="Garamond" w:cs="Times New Roman"/>
          <w:sz w:val="24"/>
          <w:szCs w:val="24"/>
        </w:rPr>
        <w:t xml:space="preserve">nëntor </w:t>
      </w:r>
      <w:r w:rsidRPr="001A7B03">
        <w:rPr>
          <w:rFonts w:ascii="Garamond" w:hAnsi="Garamond" w:cs="Times New Roman"/>
          <w:sz w:val="24"/>
          <w:szCs w:val="24"/>
        </w:rPr>
        <w:t>2016)</w:t>
      </w:r>
      <w:r w:rsidR="007B1B29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si dhe vlerat referuese në fuqi (vendimin nr. 28</w:t>
      </w:r>
      <w:r w:rsidR="007B1B29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datë 14 </w:t>
      </w:r>
      <w:r w:rsidR="007B1B29" w:rsidRPr="001A7B03">
        <w:rPr>
          <w:rFonts w:ascii="Garamond" w:hAnsi="Garamond" w:cs="Times New Roman"/>
          <w:sz w:val="24"/>
          <w:szCs w:val="24"/>
        </w:rPr>
        <w:t xml:space="preserve">shkurt </w:t>
      </w:r>
      <w:r w:rsidRPr="001A7B03">
        <w:rPr>
          <w:rFonts w:ascii="Garamond" w:hAnsi="Garamond" w:cs="Times New Roman"/>
          <w:sz w:val="24"/>
          <w:szCs w:val="24"/>
        </w:rPr>
        <w:t>2022</w:t>
      </w:r>
      <w:r w:rsidR="007B1B29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i </w:t>
      </w:r>
      <w:r w:rsidR="007B1B29" w:rsidRPr="001A7B03">
        <w:rPr>
          <w:rFonts w:ascii="Garamond" w:hAnsi="Garamond" w:cs="Times New Roman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sz w:val="24"/>
          <w:szCs w:val="24"/>
        </w:rPr>
        <w:t xml:space="preserve">të ERE-s). </w:t>
      </w:r>
    </w:p>
    <w:p w14:paraId="6886DD4C" w14:textId="6EC31701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7B03">
        <w:rPr>
          <w:rFonts w:ascii="Garamond" w:hAnsi="Garamond" w:cs="Symbol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sz w:val="24"/>
          <w:szCs w:val="24"/>
        </w:rPr>
        <w:t xml:space="preserve">Diferenca e përftuar nga ky ndryshim metodologjie në llogaritje është rreth 11 milionë </w:t>
      </w:r>
      <w:r w:rsidR="007B1B29" w:rsidRPr="001A7B03">
        <w:rPr>
          <w:rFonts w:ascii="Garamond" w:hAnsi="Garamond" w:cs="Times New Roman"/>
          <w:sz w:val="24"/>
          <w:szCs w:val="24"/>
        </w:rPr>
        <w:t xml:space="preserve">kwh </w:t>
      </w:r>
      <w:r w:rsidRPr="001A7B03">
        <w:rPr>
          <w:rFonts w:ascii="Garamond" w:hAnsi="Garamond" w:cs="Times New Roman"/>
          <w:sz w:val="24"/>
          <w:szCs w:val="24"/>
        </w:rPr>
        <w:t xml:space="preserve">(29,805,737 </w:t>
      </w:r>
      <w:r w:rsidR="007B1B29">
        <w:rPr>
          <w:rFonts w:ascii="Garamond" w:hAnsi="Garamond" w:cs="Times New Roman"/>
          <w:sz w:val="24"/>
          <w:szCs w:val="24"/>
        </w:rPr>
        <w:t>kwh–</w:t>
      </w:r>
      <w:r w:rsidRPr="001A7B03">
        <w:rPr>
          <w:rFonts w:ascii="Garamond" w:hAnsi="Garamond" w:cs="Times New Roman"/>
          <w:sz w:val="24"/>
          <w:szCs w:val="24"/>
        </w:rPr>
        <w:t xml:space="preserve">18,828,680 </w:t>
      </w:r>
      <w:r w:rsidR="007B1B29" w:rsidRPr="001A7B03">
        <w:rPr>
          <w:rFonts w:ascii="Garamond" w:hAnsi="Garamond" w:cs="Times New Roman"/>
          <w:sz w:val="24"/>
          <w:szCs w:val="24"/>
        </w:rPr>
        <w:t>kwh</w:t>
      </w:r>
      <w:r w:rsidRPr="001A7B03">
        <w:rPr>
          <w:rFonts w:ascii="Garamond" w:hAnsi="Garamond" w:cs="Times New Roman"/>
          <w:sz w:val="24"/>
          <w:szCs w:val="24"/>
        </w:rPr>
        <w:t xml:space="preserve">). Kjo shpjegon se sasia e 29,805,737 kwh që vjen nga aplikimi i vendimit nr. 28/2022 </w:t>
      </w:r>
      <w:r w:rsidR="007B1B29">
        <w:rPr>
          <w:rFonts w:ascii="Garamond" w:hAnsi="Garamond" w:cs="Times New Roman"/>
          <w:sz w:val="24"/>
          <w:szCs w:val="24"/>
        </w:rPr>
        <w:t>është</w:t>
      </w:r>
      <w:r w:rsidRPr="001A7B03">
        <w:rPr>
          <w:rFonts w:ascii="Garamond" w:hAnsi="Garamond" w:cs="Times New Roman"/>
          <w:sz w:val="24"/>
          <w:szCs w:val="24"/>
        </w:rPr>
        <w:t xml:space="preserve"> me afër faktit krahasuar me metodologjinë e vjetër (vendimin nr. 181/2016). </w:t>
      </w:r>
    </w:p>
    <w:p w14:paraId="18E4A326" w14:textId="6EDCDF3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7B03">
        <w:rPr>
          <w:rFonts w:ascii="Garamond" w:hAnsi="Garamond" w:cs="Symbol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sz w:val="24"/>
          <w:szCs w:val="24"/>
        </w:rPr>
        <w:t xml:space="preserve">OSSH sh.a. ka argumentuar në mbështetje të propozimit: Diferenca (në rënie) e konsumit të vitit 2020, konsum që llogaritet sipas metodologjisë së vendimit nr. 181, si shkak i pandemisë COVID 19, ku rënies së konsumit i shtohet edhe pamundësia e leximit; Rritja e konsumit të energjisë elektrike menjëherë pas periudhës së emergjencës COVID 19 (vjeshtë, dimër 2020); Për </w:t>
      </w:r>
      <w:r w:rsidRPr="001A7B03">
        <w:rPr>
          <w:rFonts w:ascii="Garamond" w:hAnsi="Garamond" w:cs="Times New Roman"/>
          <w:sz w:val="24"/>
          <w:szCs w:val="24"/>
        </w:rPr>
        <w:lastRenderedPageBreak/>
        <w:t>kontratat e reja është aplikuar mesatarja e muajve me matje, ndërkohë që, në kushte të tjera (vendimi nr. 181</w:t>
      </w:r>
      <w:r w:rsidR="00BD3115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datë 23 </w:t>
      </w:r>
      <w:r w:rsidR="00BD3115" w:rsidRPr="001A7B03">
        <w:rPr>
          <w:rFonts w:ascii="Garamond" w:hAnsi="Garamond" w:cs="Times New Roman"/>
          <w:sz w:val="24"/>
          <w:szCs w:val="24"/>
        </w:rPr>
        <w:t xml:space="preserve">nëntor </w:t>
      </w:r>
      <w:r w:rsidRPr="001A7B03">
        <w:rPr>
          <w:rFonts w:ascii="Garamond" w:hAnsi="Garamond" w:cs="Times New Roman"/>
          <w:sz w:val="24"/>
          <w:szCs w:val="24"/>
        </w:rPr>
        <w:t>2016) do të bënte që ato të llogariteshin me konsum 0 (zero); Kontratat që nuk kanë pasur historik faturimi, pra, që në të shkuarën e tyre llogariteshin për më</w:t>
      </w:r>
      <w:r w:rsidR="00C57A97">
        <w:rPr>
          <w:rFonts w:ascii="Garamond" w:hAnsi="Garamond" w:cs="Times New Roman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sz w:val="24"/>
          <w:szCs w:val="24"/>
        </w:rPr>
        <w:t>se 1 (një) vit me konsum 0 (zero), me metodologjinë e re të llogaritjes (</w:t>
      </w:r>
      <w:r w:rsidR="00BD3115" w:rsidRPr="001A7B03">
        <w:rPr>
          <w:rFonts w:ascii="Garamond" w:hAnsi="Garamond" w:cs="Times New Roman"/>
          <w:sz w:val="24"/>
          <w:szCs w:val="24"/>
        </w:rPr>
        <w:t xml:space="preserve">vendimi </w:t>
      </w:r>
      <w:r w:rsidR="00BD3115">
        <w:rPr>
          <w:rFonts w:ascii="Garamond" w:hAnsi="Garamond" w:cs="Times New Roman"/>
          <w:sz w:val="24"/>
          <w:szCs w:val="24"/>
        </w:rPr>
        <w:t>nr. 28, datë 14.2.</w:t>
      </w:r>
      <w:r w:rsidRPr="001A7B03">
        <w:rPr>
          <w:rFonts w:ascii="Garamond" w:hAnsi="Garamond" w:cs="Times New Roman"/>
          <w:sz w:val="24"/>
          <w:szCs w:val="24"/>
        </w:rPr>
        <w:t>2022</w:t>
      </w:r>
      <w:r w:rsidR="00BD3115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i </w:t>
      </w:r>
      <w:r w:rsidR="00BD3115" w:rsidRPr="001A7B03">
        <w:rPr>
          <w:rFonts w:ascii="Garamond" w:hAnsi="Garamond" w:cs="Times New Roman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sz w:val="24"/>
          <w:szCs w:val="24"/>
        </w:rPr>
        <w:t>të ERE-s), janë faturuar sipas mesatares së konsumit të vitit të fundit, duke qenë më afër realitetit.</w:t>
      </w:r>
    </w:p>
    <w:p w14:paraId="1653A9EC" w14:textId="097F2615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>OSSH sh.a.</w:t>
      </w:r>
      <w:r w:rsidR="00460EDC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sa </w:t>
      </w:r>
      <w:r w:rsidR="00460EDC">
        <w:rPr>
          <w:rFonts w:ascii="Garamond" w:hAnsi="Garamond" w:cs="Times New Roman"/>
          <w:color w:val="000000"/>
          <w:sz w:val="24"/>
          <w:szCs w:val="24"/>
        </w:rPr>
        <w:t>u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përket dy krahasimeve të metodologjive të aplikuara për kontratat në të cilat është aplikuar vlera zëvendësuese për periudhën </w:t>
      </w:r>
      <w:r w:rsidR="00460EDC" w:rsidRPr="001A7B03">
        <w:rPr>
          <w:rFonts w:ascii="Garamond" w:hAnsi="Garamond" w:cs="Times New Roman"/>
          <w:color w:val="000000"/>
          <w:sz w:val="24"/>
          <w:szCs w:val="24"/>
        </w:rPr>
        <w:t>shkurt</w:t>
      </w:r>
      <w:r w:rsidR="00460EDC">
        <w:rPr>
          <w:rFonts w:ascii="Garamond" w:hAnsi="Garamond" w:cs="Times New Roman"/>
          <w:color w:val="000000"/>
          <w:sz w:val="24"/>
          <w:szCs w:val="24"/>
        </w:rPr>
        <w:t>–</w:t>
      </w:r>
      <w:r w:rsidR="00460EDC" w:rsidRPr="001A7B03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2022, ka konstatuar se diferenca në sasi </w:t>
      </w:r>
      <w:r w:rsidR="00C57A97" w:rsidRPr="001A7B03">
        <w:rPr>
          <w:rFonts w:ascii="Garamond" w:hAnsi="Garamond" w:cs="Times New Roman"/>
          <w:color w:val="000000"/>
          <w:sz w:val="24"/>
          <w:szCs w:val="24"/>
        </w:rPr>
        <w:t xml:space="preserve">kwh </w:t>
      </w:r>
      <w:r w:rsidRPr="001A7B03">
        <w:rPr>
          <w:rFonts w:ascii="Garamond" w:hAnsi="Garamond" w:cs="Times New Roman"/>
          <w:color w:val="000000"/>
          <w:sz w:val="24"/>
          <w:szCs w:val="24"/>
        </w:rPr>
        <w:t>midis dy metodologjive të aplikuara është e madhe, afro 11 milion</w:t>
      </w:r>
      <w:r w:rsidR="00460EDC">
        <w:rPr>
          <w:rFonts w:ascii="Garamond" w:hAnsi="Garamond" w:cs="Times New Roman"/>
          <w:color w:val="000000"/>
          <w:sz w:val="24"/>
          <w:szCs w:val="24"/>
        </w:rPr>
        <w:t>ë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60EDC" w:rsidRPr="001A7B03">
        <w:rPr>
          <w:rFonts w:ascii="Garamond" w:hAnsi="Garamond" w:cs="Times New Roman"/>
          <w:color w:val="000000"/>
          <w:sz w:val="24"/>
          <w:szCs w:val="24"/>
        </w:rPr>
        <w:t>kwh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. Për sa </w:t>
      </w:r>
      <w:r w:rsidR="00460EDC">
        <w:rPr>
          <w:rFonts w:ascii="Garamond" w:hAnsi="Garamond" w:cs="Times New Roman"/>
          <w:color w:val="000000"/>
          <w:sz w:val="24"/>
          <w:szCs w:val="24"/>
        </w:rPr>
        <w:t>u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përket faktorëve që OSSH sh.a. ka përmendur</w:t>
      </w:r>
      <w:r w:rsidR="00C00228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si pasojë e diferencës që vjen mes dy metodologjive</w:t>
      </w:r>
      <w:r w:rsidR="00C00228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vlerësojmë</w:t>
      </w:r>
      <w:r w:rsidR="00C00228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si më poshtë:</w:t>
      </w:r>
    </w:p>
    <w:p w14:paraId="22AA704B" w14:textId="550FD165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>Aplikimi i vlerës zëvendësuese që përllogaritet bazuar në të njëjtin konsum të muajit respektiv të vitit të mëparshëm</w:t>
      </w:r>
      <w:r w:rsidR="00CF5002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kur të dhënat e matjes janë të padisponueshme</w:t>
      </w:r>
      <w:r w:rsidR="00CF5002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sipas vendimit nr. 28/2022</w:t>
      </w:r>
      <w:r w:rsidR="00CF5002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i afrohen me shum</w:t>
      </w:r>
      <w:r w:rsidR="00CF5002">
        <w:rPr>
          <w:rFonts w:ascii="Garamond" w:hAnsi="Garamond" w:cs="Times New Roman"/>
          <w:color w:val="000000"/>
          <w:sz w:val="24"/>
          <w:szCs w:val="24"/>
        </w:rPr>
        <w:t>ë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konsumit faktik. </w:t>
      </w:r>
    </w:p>
    <w:p w14:paraId="7FA2B181" w14:textId="5892DAAC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>Për kontratat e reja është aplikuar mesatarja e muajve me matje, ndërkohë që, në kushte të tjera (vendimi nr. 181</w:t>
      </w:r>
      <w:r w:rsidR="00CF5002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datë 23 </w:t>
      </w:r>
      <w:r w:rsidR="00CF5002" w:rsidRPr="001A7B03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1A7B03">
        <w:rPr>
          <w:rFonts w:ascii="Garamond" w:hAnsi="Garamond" w:cs="Times New Roman"/>
          <w:color w:val="000000"/>
          <w:sz w:val="24"/>
          <w:szCs w:val="24"/>
        </w:rPr>
        <w:t>2016) do të bënte që ato të llogariteshin me konsum 0 (zero).</w:t>
      </w:r>
    </w:p>
    <w:p w14:paraId="1F808DEA" w14:textId="3225E9EC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sz w:val="24"/>
          <w:szCs w:val="24"/>
        </w:rPr>
        <w:t>Kontratat që nuk kanë pasur historik faturimi, pra, që në të shkuarën e tyre llogariteshin për më</w:t>
      </w:r>
      <w:r w:rsidR="00C57A97">
        <w:rPr>
          <w:rFonts w:ascii="Garamond" w:hAnsi="Garamond" w:cs="Times New Roman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sz w:val="24"/>
          <w:szCs w:val="24"/>
        </w:rPr>
        <w:t>se 1 (një) vit me konsum 0 (zero), me metodologjinë e re të llogaritjes (vendimi nr. 28</w:t>
      </w:r>
      <w:r w:rsidR="00CF5002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datë 14 </w:t>
      </w:r>
      <w:r w:rsidR="00CF5002" w:rsidRPr="001A7B03">
        <w:rPr>
          <w:rFonts w:ascii="Garamond" w:hAnsi="Garamond" w:cs="Times New Roman"/>
          <w:sz w:val="24"/>
          <w:szCs w:val="24"/>
        </w:rPr>
        <w:t xml:space="preserve">shkurt </w:t>
      </w:r>
      <w:r w:rsidRPr="001A7B03">
        <w:rPr>
          <w:rFonts w:ascii="Garamond" w:hAnsi="Garamond" w:cs="Times New Roman"/>
          <w:sz w:val="24"/>
          <w:szCs w:val="24"/>
        </w:rPr>
        <w:t>2022</w:t>
      </w:r>
      <w:r w:rsidR="00CF5002">
        <w:rPr>
          <w:rFonts w:ascii="Garamond" w:hAnsi="Garamond" w:cs="Times New Roman"/>
          <w:sz w:val="24"/>
          <w:szCs w:val="24"/>
        </w:rPr>
        <w:t>,</w:t>
      </w:r>
      <w:r w:rsidRPr="001A7B03">
        <w:rPr>
          <w:rFonts w:ascii="Garamond" w:hAnsi="Garamond" w:cs="Times New Roman"/>
          <w:sz w:val="24"/>
          <w:szCs w:val="24"/>
        </w:rPr>
        <w:t xml:space="preserve"> </w:t>
      </w:r>
      <w:r w:rsidR="00CF5002">
        <w:rPr>
          <w:rFonts w:ascii="Garamond" w:hAnsi="Garamond" w:cs="Times New Roman"/>
          <w:sz w:val="24"/>
          <w:szCs w:val="24"/>
        </w:rPr>
        <w:t>të</w:t>
      </w:r>
      <w:r w:rsidRPr="001A7B03">
        <w:rPr>
          <w:rFonts w:ascii="Garamond" w:hAnsi="Garamond" w:cs="Times New Roman"/>
          <w:sz w:val="24"/>
          <w:szCs w:val="24"/>
        </w:rPr>
        <w:t xml:space="preserve"> </w:t>
      </w:r>
      <w:r w:rsidR="00CF5002" w:rsidRPr="001A7B03">
        <w:rPr>
          <w:rFonts w:ascii="Garamond" w:hAnsi="Garamond" w:cs="Times New Roman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sz w:val="24"/>
          <w:szCs w:val="24"/>
        </w:rPr>
        <w:t>të ERE-s), janë faturuar sipas mesatares së konsumit të vitit të fundit, duke qenë më afër realitetit.</w:t>
      </w:r>
    </w:p>
    <w:p w14:paraId="21D0FACA" w14:textId="730CD5CE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Nga verifikimet e bëra për ankesat e dërguara në ERE për mosmarrëveshje nga klientët, vërejmë vetëm 1 (një) ankesë të ardhur për vlerë referuese të përcaktuar në zbatim të vendimit të </w:t>
      </w:r>
      <w:r w:rsidR="001D4CAD" w:rsidRPr="001A7B0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color w:val="000000"/>
          <w:sz w:val="24"/>
          <w:szCs w:val="24"/>
        </w:rPr>
        <w:t>të ERE</w:t>
      </w:r>
      <w:r w:rsidR="001D4CAD">
        <w:rPr>
          <w:rFonts w:ascii="Garamond" w:hAnsi="Garamond" w:cs="Times New Roman"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nr. 28/2022. Për këtë arsye</w:t>
      </w:r>
      <w:r w:rsidR="00BC7149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vlerësohet aplikimi i metodologjisë së vlerave referuese sikurse përcakt</w:t>
      </w:r>
      <w:r w:rsidR="00BC7149">
        <w:rPr>
          <w:rFonts w:ascii="Garamond" w:hAnsi="Garamond" w:cs="Times New Roman"/>
          <w:color w:val="000000"/>
          <w:sz w:val="24"/>
          <w:szCs w:val="24"/>
        </w:rPr>
        <w:t>ohet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në pik</w:t>
      </w:r>
      <w:r w:rsidR="006D7280">
        <w:rPr>
          <w:rFonts w:ascii="Garamond" w:hAnsi="Garamond" w:cs="Times New Roman"/>
          <w:color w:val="000000"/>
          <w:sz w:val="24"/>
          <w:szCs w:val="24"/>
        </w:rPr>
        <w:t>at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2 dhe 3 të vendimit të </w:t>
      </w:r>
      <w:r w:rsidR="009F73C9" w:rsidRPr="001A7B0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1A7B03">
        <w:rPr>
          <w:rFonts w:ascii="Garamond" w:hAnsi="Garamond" w:cs="Times New Roman"/>
          <w:color w:val="000000"/>
          <w:sz w:val="24"/>
          <w:szCs w:val="24"/>
        </w:rPr>
        <w:t>të ERE</w:t>
      </w:r>
      <w:r w:rsidR="009F73C9">
        <w:rPr>
          <w:rFonts w:ascii="Garamond" w:hAnsi="Garamond" w:cs="Times New Roman"/>
          <w:color w:val="000000"/>
          <w:sz w:val="24"/>
          <w:szCs w:val="24"/>
        </w:rPr>
        <w:t>-s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nr. 28/2022</w:t>
      </w:r>
      <w:r w:rsidR="009F73C9">
        <w:rPr>
          <w:rFonts w:ascii="Garamond" w:hAnsi="Garamond" w:cs="Times New Roman"/>
          <w:color w:val="000000"/>
          <w:sz w:val="24"/>
          <w:szCs w:val="24"/>
        </w:rPr>
        <w:t>,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 për një periudhë të pacaktuar.</w:t>
      </w:r>
    </w:p>
    <w:p w14:paraId="37AD3B2C" w14:textId="639E258F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9F73C9" w:rsidRPr="001A7B03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9F73C9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0BC3C7BA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0D1DBA5" w14:textId="5883B7F3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A99B6F3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2A607FD" w14:textId="77777777" w:rsidR="00BF706F" w:rsidRDefault="00BF706F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D8EB881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1. Për disa ndryshime në vendimin nr. 28, datë 14 shkurt 2022, të Bordit të ERE-s, në lidhje me përcaktimin e metodologjisë së vlerave referuese në rast se të dhënat e matjes janë përkohësisht të padisponueshme dhe të paarritshme.</w:t>
      </w:r>
    </w:p>
    <w:p w14:paraId="274901C2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 xml:space="preserve">(Bashkëlidhur, </w:t>
      </w:r>
      <w:r w:rsidRPr="00E636BF">
        <w:rPr>
          <w:rFonts w:ascii="Garamond" w:hAnsi="Garamond"/>
          <w:color w:val="000000"/>
          <w:lang w:val="sq-AL"/>
        </w:rPr>
        <w:t>metodologjia</w:t>
      </w:r>
      <w:r w:rsidRPr="00DD3779">
        <w:rPr>
          <w:rFonts w:ascii="Garamond" w:hAnsi="Garamond"/>
          <w:color w:val="000000"/>
          <w:lang w:val="sq-AL"/>
        </w:rPr>
        <w:t xml:space="preserve"> e vlerave referuese në rast se të dhënat e matjes janë përkohësisht të padisponueshme dhe të paarritshme.)</w:t>
      </w:r>
    </w:p>
    <w:p w14:paraId="36D54199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 xml:space="preserve">2. Pika 4 e vendimit të ERE-s nr. 28, datë 14.2.2022, ndryshon dhe bëhet: </w:t>
      </w:r>
    </w:p>
    <w:p w14:paraId="2E42676B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“Ndryshimet e parashikuara në pikën 2 i shtrijnë efektet juridike nga data 15.2.2022.”.</w:t>
      </w:r>
    </w:p>
    <w:p w14:paraId="44864FBC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3. Pika 5 e vendimit nr. 28/2022, shfuqizohet dhe pika 6 ndryshon dhe bëhet:</w:t>
      </w:r>
    </w:p>
    <w:p w14:paraId="6FADAD4B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“6. Furnizuesit të cilët lëshojnë faturë me vlerë referuese të raportojnë në ERE periodikisht (çdo katër muaj) jo më vonë se data 20 e muajit pasardhës së raportimit në lidhje me aplikimin e vlerave referuese dhe gjetjet respektive nga Furnizuesi nga përpunimi i të dhënave.”.</w:t>
      </w:r>
    </w:p>
    <w:p w14:paraId="74DE19D1" w14:textId="77777777" w:rsidR="00BF706F" w:rsidRPr="00DD3779" w:rsidRDefault="00BF706F" w:rsidP="00BF706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D3779">
        <w:rPr>
          <w:rFonts w:ascii="Garamond" w:hAnsi="Garamond"/>
          <w:color w:val="000000"/>
          <w:lang w:val="sq-AL"/>
        </w:rPr>
        <w:t>4. Drejtoria Juridike dhe e Zgjidhjes së Mosmarrëveshjeve të njoftojë palët e përfshira dhe palët e tjera të interesit për vendimin e Bordit të ERE-s.</w:t>
      </w:r>
    </w:p>
    <w:p w14:paraId="4B6530FB" w14:textId="368D20AB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i shtrin efektet nga data </w:t>
      </w:r>
      <w:r w:rsidR="001A0FC4">
        <w:rPr>
          <w:rFonts w:ascii="Garamond" w:hAnsi="Garamond" w:cs="Times New Roman"/>
          <w:color w:val="000000"/>
          <w:sz w:val="24"/>
          <w:szCs w:val="24"/>
        </w:rPr>
        <w:t>1.</w:t>
      </w:r>
      <w:r w:rsidRPr="001A7B03">
        <w:rPr>
          <w:rFonts w:ascii="Garamond" w:hAnsi="Garamond" w:cs="Times New Roman"/>
          <w:color w:val="000000"/>
          <w:sz w:val="24"/>
          <w:szCs w:val="24"/>
        </w:rPr>
        <w:t>1.2023.</w:t>
      </w:r>
    </w:p>
    <w:p w14:paraId="0414ED78" w14:textId="4907E618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</w:t>
      </w:r>
      <w:r w:rsidR="00C57A97">
        <w:rPr>
          <w:rFonts w:ascii="Garamond" w:hAnsi="Garamond" w:cs="Times New Roman"/>
          <w:color w:val="000000"/>
          <w:sz w:val="24"/>
          <w:szCs w:val="24"/>
        </w:rPr>
        <w:t>p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rocedurë mund t’i kërkojë ERE-s, brenda 7 ditëve kalendarike nga data e marrjes së vendimit, rishikimin e vendimit të </w:t>
      </w:r>
      <w:r w:rsidR="00562947" w:rsidRPr="001A7B03">
        <w:rPr>
          <w:rFonts w:ascii="Garamond" w:hAnsi="Garamond" w:cs="Times New Roman"/>
          <w:color w:val="000000"/>
          <w:sz w:val="24"/>
          <w:szCs w:val="24"/>
        </w:rPr>
        <w:t>Bordit</w:t>
      </w:r>
      <w:r w:rsidR="00562947">
        <w:rPr>
          <w:rFonts w:ascii="Garamond" w:hAnsi="Garamond" w:cs="Times New Roman"/>
          <w:color w:val="000000"/>
          <w:sz w:val="24"/>
          <w:szCs w:val="24"/>
        </w:rPr>
        <w:t>,</w:t>
      </w:r>
      <w:r w:rsidR="00562947" w:rsidRPr="001A7B0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A7B03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562947" w:rsidRPr="001A7B03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1A7B03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1E6D7BB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A7B03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7FEEF12E" w14:textId="77777777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A76029" w14:textId="79C577A5" w:rsidR="005745F8" w:rsidRPr="001A7B03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0C20AE7C" w14:textId="16DEB464" w:rsidR="005745F8" w:rsidRDefault="005745F8" w:rsidP="005745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A7B03">
        <w:rPr>
          <w:rFonts w:ascii="Garamond" w:hAnsi="Garamond" w:cs="Times New Roman"/>
          <w:b/>
          <w:bCs/>
          <w:color w:val="000000"/>
          <w:sz w:val="24"/>
          <w:szCs w:val="24"/>
        </w:rPr>
        <w:lastRenderedPageBreak/>
        <w:t>Petrit Ahmeti</w:t>
      </w:r>
    </w:p>
    <w:p w14:paraId="78BB1C91" w14:textId="3D43E861" w:rsidR="00BF706F" w:rsidRDefault="00BF706F" w:rsidP="005745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A761385" w14:textId="77777777" w:rsidR="00BF706F" w:rsidRDefault="00BF706F" w:rsidP="00BF706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5FB1638" w14:textId="70FAA418" w:rsidR="00BF706F" w:rsidRPr="00DD3779" w:rsidRDefault="00BF706F" w:rsidP="00BF706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>METODOLOGJIA E VLERAVE REFERUESE NË RAST SE TË DHËNAT E MATJES JANË PËRKOHËSISHT TË PADISPONUESHME DHE TË PAARRITSHME</w:t>
      </w:r>
    </w:p>
    <w:p w14:paraId="1C903418" w14:textId="77777777" w:rsidR="00BF706F" w:rsidRPr="00DD3779" w:rsidRDefault="00BF706F" w:rsidP="00BF706F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32B36B6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>a) Në rastet kur Furnizuesi merr dijeni nga Operatori i Sistemit të Shpë</w:t>
      </w:r>
      <w:r>
        <w:rPr>
          <w:rFonts w:ascii="Garamond" w:hAnsi="Garamond"/>
          <w:sz w:val="24"/>
        </w:rPr>
        <w:t>rn</w:t>
      </w:r>
      <w:r w:rsidRPr="00DD3779">
        <w:rPr>
          <w:rFonts w:ascii="Garamond" w:hAnsi="Garamond"/>
          <w:sz w:val="24"/>
        </w:rPr>
        <w:t xml:space="preserve">darjes se të dhënat e matjes janë përkohësisht të padisponueshme ose të paarritshme për një periudhë më të gjatë se një muaj (matësi është i dëmtuar, matësi është jashtë kushtit teknik apo mungon aksesi në të dhënat e matjes), faturimi i energjisë elektrike do të bëhet me vlerë referuese. Kjo vlerë do të përllogaritet bazuar në të njëjtin konsum të muajit respektiv të vitit të mëparshëm. Periudha e faturimit sipas këtyre vlerave referuese nuk mund të zgjasë më shumë se tre muaj. </w:t>
      </w:r>
    </w:p>
    <w:p w14:paraId="0BDED497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>b) Për kontratat e furnizimit me energji elektrike që nuk kanë faturime të viteve të mëparshme të konsumit me matje të energjisë elektrike, faturimi me vlera referuese të bëhet bazuar në mesataren e konsumit me matje të energjisë elektrike, të regjistruar gjatë vitit të fundit në sistemin e faturimit.</w:t>
      </w:r>
    </w:p>
    <w:p w14:paraId="7E8E4A9E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 xml:space="preserve">c) Për kontratat e furnizimit me energji elektrike me matës të energjisë elektrike të instaluar në boks kolektiv, përjashtohet faturimi i energjisë elektrike me vlerë referuese si pasojë e mungesës së aksesit në të dhënat e matjes. </w:t>
      </w:r>
    </w:p>
    <w:p w14:paraId="33D17E38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>ç) Për faturimet me vlerë referuese si pasojë e mungesës së aksesit në të dhënat e matjes, në momentin e leximit të të dhënave të matjes, Furnizuesi do të a</w:t>
      </w:r>
      <w:r>
        <w:rPr>
          <w:rFonts w:ascii="Garamond" w:hAnsi="Garamond"/>
          <w:sz w:val="24"/>
        </w:rPr>
        <w:t>xh</w:t>
      </w:r>
      <w:r w:rsidRPr="00DD3779">
        <w:rPr>
          <w:rFonts w:ascii="Garamond" w:hAnsi="Garamond"/>
          <w:sz w:val="24"/>
        </w:rPr>
        <w:t xml:space="preserve">ustojë në faturën pasardhëse të energjisë elektrike, diferencën ndërmjet sasisë së energjisë së faturuar me vlerë referuese dhe sasisë së energjisë së konsumuar referuar të dhënave të matjes. </w:t>
      </w:r>
    </w:p>
    <w:p w14:paraId="06E3F6B3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 xml:space="preserve">d) Konsumatorët që nuk kanë referencë asnjë muaj të leximit të matjes së energjisë elektrike do të faturohen me vlerë referuese 0 kWh. </w:t>
      </w:r>
    </w:p>
    <w:p w14:paraId="727BE806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D3779">
        <w:rPr>
          <w:rFonts w:ascii="Garamond" w:hAnsi="Garamond"/>
          <w:sz w:val="24"/>
        </w:rPr>
        <w:t>dh) Konsumatorët që kanë lexim me matje të energjisë elektrike në një periudhë nga 1 (një) deri në 11 (njëmbëdhjetë) muaj, do të faturohen me vlerë referuese bazuar në vlerën mesatare për muajt e matur të konsumit të energjisë elektrike</w:t>
      </w:r>
      <w:r>
        <w:rPr>
          <w:rFonts w:ascii="Garamond" w:hAnsi="Garamond"/>
          <w:sz w:val="24"/>
        </w:rPr>
        <w:t>.</w:t>
      </w:r>
    </w:p>
    <w:p w14:paraId="16811476" w14:textId="77777777" w:rsidR="00BF706F" w:rsidRPr="00DD3779" w:rsidRDefault="00BF706F" w:rsidP="00BF706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13694E5" w14:textId="77777777" w:rsidR="00BF706F" w:rsidRPr="001A7B03" w:rsidRDefault="00BF706F" w:rsidP="005745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sectPr w:rsidR="00BF706F" w:rsidRPr="001A7B03" w:rsidSect="00562947">
      <w:pgSz w:w="12240" w:h="15840"/>
      <w:pgMar w:top="1080" w:right="1440" w:bottom="99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51540" w14:textId="77777777" w:rsidR="004A7696" w:rsidRDefault="004A7696">
      <w:pPr>
        <w:spacing w:after="0" w:line="240" w:lineRule="auto"/>
      </w:pPr>
      <w:r>
        <w:separator/>
      </w:r>
    </w:p>
  </w:endnote>
  <w:endnote w:type="continuationSeparator" w:id="0">
    <w:p w14:paraId="4014DF9E" w14:textId="77777777" w:rsidR="004A7696" w:rsidRDefault="004A7696">
      <w:pPr>
        <w:spacing w:after="0" w:line="240" w:lineRule="auto"/>
      </w:pPr>
      <w:r>
        <w:continuationSeparator/>
      </w:r>
    </w:p>
  </w:endnote>
  <w:endnote w:type="continuationNotice" w:id="1">
    <w:p w14:paraId="7B1AF278" w14:textId="77777777" w:rsidR="004A7696" w:rsidRDefault="004A76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14272" w14:textId="77777777" w:rsidR="004A7696" w:rsidRDefault="004A7696">
      <w:pPr>
        <w:spacing w:after="0" w:line="240" w:lineRule="auto"/>
      </w:pPr>
      <w:r>
        <w:separator/>
      </w:r>
    </w:p>
  </w:footnote>
  <w:footnote w:type="continuationSeparator" w:id="0">
    <w:p w14:paraId="2D086F42" w14:textId="77777777" w:rsidR="004A7696" w:rsidRDefault="004A7696">
      <w:pPr>
        <w:spacing w:after="0" w:line="240" w:lineRule="auto"/>
      </w:pPr>
      <w:r>
        <w:continuationSeparator/>
      </w:r>
    </w:p>
  </w:footnote>
  <w:footnote w:type="continuationNotice" w:id="1">
    <w:p w14:paraId="38EC7526" w14:textId="77777777" w:rsidR="004A7696" w:rsidRDefault="004A76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39515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A1EA22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7E68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02BC4498"/>
    <w:lvl w:ilvl="0" w:tplc="0409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89ECC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B8A24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1921D22"/>
    <w:lvl w:ilvl="0" w:tplc="85823D02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1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A7527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604BEC4"/>
    <w:lvl w:ilvl="0" w:tplc="F7B2052E">
      <w:start w:val="1"/>
      <w:numFmt w:val="bullet"/>
      <w:lvlText w:val=""/>
      <w:lvlJc w:val="left"/>
      <w:pPr>
        <w:ind w:left="126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4F85ED4"/>
    <w:lvl w:ilvl="0" w:tplc="F7B2052E">
      <w:start w:val="1"/>
      <w:numFmt w:val="bullet"/>
      <w:lvlText w:val=""/>
      <w:lvlJc w:val="left"/>
      <w:pPr>
        <w:ind w:left="1170" w:hanging="360"/>
      </w:pPr>
      <w:rPr>
        <w:rFonts w:ascii="Symbol" w:hAnsi="Symbol" w:cs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19A638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80ED9E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C5E2F98"/>
    <w:lvl w:ilvl="0" w:tplc="537E68E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  <w:sz w:val="24"/>
        <w:szCs w:val="24"/>
      </w:rPr>
    </w:lvl>
    <w:lvl w:ilvl="1" w:tplc="D7CC5C3A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8DB8322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3C0E1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B2CD7D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72A6B7B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ED0879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7164792C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1F0946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A3D80E6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8E70F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F0CECE06"/>
    <w:lvl w:ilvl="0" w:tplc="4BD221E4">
      <w:start w:val="1"/>
      <w:numFmt w:val="decimal"/>
      <w:lvlText w:val="%1."/>
      <w:lvlJc w:val="left"/>
      <w:pPr>
        <w:ind w:left="36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B6FEC05C"/>
    <w:lvl w:ilvl="0" w:tplc="537E68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C0E48BDC"/>
    <w:lvl w:ilvl="0" w:tplc="537E68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0A5CA62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00000015"/>
    <w:multiLevelType w:val="hybridMultilevel"/>
    <w:tmpl w:val="C96258D0"/>
    <w:lvl w:ilvl="0" w:tplc="7966AB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C2221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7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multilevel"/>
    <w:tmpl w:val="41B21B2F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00000019"/>
    <w:multiLevelType w:val="hybridMultilevel"/>
    <w:tmpl w:val="850E0E4C"/>
    <w:lvl w:ilvl="0" w:tplc="537E68EA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25A08EC"/>
    <w:lvl w:ilvl="0" w:tplc="A216C0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</w:rPr>
    </w:lvl>
    <w:lvl w:ilvl="1" w:tplc="D924B9CC" w:tentative="1">
      <w:start w:val="1"/>
      <w:numFmt w:val="lowerLetter"/>
      <w:lvlText w:val="%2."/>
      <w:lvlJc w:val="left"/>
      <w:pPr>
        <w:ind w:left="1080" w:hanging="360"/>
      </w:pPr>
    </w:lvl>
    <w:lvl w:ilvl="2" w:tplc="782C8FC0" w:tentative="1">
      <w:start w:val="1"/>
      <w:numFmt w:val="lowerRoman"/>
      <w:lvlText w:val="%3."/>
      <w:lvlJc w:val="right"/>
      <w:pPr>
        <w:ind w:left="1800" w:hanging="180"/>
      </w:pPr>
    </w:lvl>
    <w:lvl w:ilvl="3" w:tplc="60CAB6E6" w:tentative="1">
      <w:start w:val="1"/>
      <w:numFmt w:val="decimal"/>
      <w:lvlText w:val="%4."/>
      <w:lvlJc w:val="left"/>
      <w:pPr>
        <w:ind w:left="2520" w:hanging="360"/>
      </w:pPr>
    </w:lvl>
    <w:lvl w:ilvl="4" w:tplc="4986F8D4" w:tentative="1">
      <w:start w:val="1"/>
      <w:numFmt w:val="lowerLetter"/>
      <w:lvlText w:val="%5."/>
      <w:lvlJc w:val="left"/>
      <w:pPr>
        <w:ind w:left="3240" w:hanging="360"/>
      </w:pPr>
    </w:lvl>
    <w:lvl w:ilvl="5" w:tplc="A7168F44" w:tentative="1">
      <w:start w:val="1"/>
      <w:numFmt w:val="lowerRoman"/>
      <w:lvlText w:val="%6."/>
      <w:lvlJc w:val="right"/>
      <w:pPr>
        <w:ind w:left="3960" w:hanging="180"/>
      </w:pPr>
    </w:lvl>
    <w:lvl w:ilvl="6" w:tplc="D0F842AA" w:tentative="1">
      <w:start w:val="1"/>
      <w:numFmt w:val="decimal"/>
      <w:lvlText w:val="%7."/>
      <w:lvlJc w:val="left"/>
      <w:pPr>
        <w:ind w:left="4680" w:hanging="360"/>
      </w:pPr>
    </w:lvl>
    <w:lvl w:ilvl="7" w:tplc="E564D022" w:tentative="1">
      <w:start w:val="1"/>
      <w:numFmt w:val="lowerLetter"/>
      <w:lvlText w:val="%8."/>
      <w:lvlJc w:val="left"/>
      <w:pPr>
        <w:ind w:left="5400" w:hanging="360"/>
      </w:pPr>
    </w:lvl>
    <w:lvl w:ilvl="8" w:tplc="4E50DD6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000001B"/>
    <w:multiLevelType w:val="hybridMultilevel"/>
    <w:tmpl w:val="4C70B330"/>
    <w:lvl w:ilvl="0" w:tplc="EA6E4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0000001C"/>
    <w:multiLevelType w:val="hybridMultilevel"/>
    <w:tmpl w:val="E0E2D7E8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54F46C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0000001E"/>
    <w:multiLevelType w:val="hybridMultilevel"/>
    <w:tmpl w:val="E9BA4BDE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singleLevel"/>
    <w:tmpl w:val="2F786366"/>
    <w:lvl w:ilvl="0">
      <w:start w:val="1"/>
      <w:numFmt w:val="upperLetter"/>
      <w:lvlText w:val="%1."/>
      <w:lvlJc w:val="left"/>
      <w:pPr>
        <w:tabs>
          <w:tab w:val="left" w:pos="312"/>
        </w:tabs>
      </w:pPr>
      <w:rPr>
        <w:b/>
        <w:bCs/>
      </w:rPr>
    </w:lvl>
  </w:abstractNum>
  <w:abstractNum w:abstractNumId="33" w15:restartNumberingAfterBreak="0">
    <w:nsid w:val="00000022"/>
    <w:multiLevelType w:val="hybridMultilevel"/>
    <w:tmpl w:val="1512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2C9E0002"/>
    <w:lvl w:ilvl="0" w:tplc="537E68E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E4D44D96"/>
    <w:lvl w:ilvl="0" w:tplc="537E68EA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29224B6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52F4D1D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1E012F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A58ED55A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8F34300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B0C4C06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314884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6542F32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E36E96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390617E4"/>
    <w:lvl w:ilvl="0" w:tplc="537E68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13060EF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2" w:tplc="F53CA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B241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2823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C2B7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149F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24F0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B0FD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CE2E35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000028"/>
    <w:multiLevelType w:val="hybridMultilevel"/>
    <w:tmpl w:val="0E0C5F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537E68E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2" w:tplc="8A22A4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C20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442B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A6D3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A49E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EC5F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3443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0C5A4E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 w:tplc="B55E5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EC9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AAD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7C6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860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8DD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8AED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0000002A"/>
    <w:multiLevelType w:val="hybridMultilevel"/>
    <w:tmpl w:val="E2E613E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2" w15:restartNumberingAfterBreak="0">
    <w:nsid w:val="0000002B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F336557"/>
    <w:multiLevelType w:val="hybridMultilevel"/>
    <w:tmpl w:val="609CDF2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3"/>
  </w:num>
  <w:num w:numId="3">
    <w:abstractNumId w:val="22"/>
  </w:num>
  <w:num w:numId="4">
    <w:abstractNumId w:val="0"/>
  </w:num>
  <w:num w:numId="5">
    <w:abstractNumId w:val="31"/>
  </w:num>
  <w:num w:numId="6">
    <w:abstractNumId w:val="7"/>
  </w:num>
  <w:num w:numId="7">
    <w:abstractNumId w:val="42"/>
  </w:num>
  <w:num w:numId="8">
    <w:abstractNumId w:val="30"/>
  </w:num>
  <w:num w:numId="9">
    <w:abstractNumId w:val="18"/>
  </w:num>
  <w:num w:numId="10">
    <w:abstractNumId w:val="38"/>
  </w:num>
  <w:num w:numId="11">
    <w:abstractNumId w:val="29"/>
  </w:num>
  <w:num w:numId="12">
    <w:abstractNumId w:val="27"/>
  </w:num>
  <w:num w:numId="13">
    <w:abstractNumId w:val="34"/>
  </w:num>
  <w:num w:numId="14">
    <w:abstractNumId w:val="6"/>
  </w:num>
  <w:num w:numId="15">
    <w:abstractNumId w:val="4"/>
  </w:num>
  <w:num w:numId="16">
    <w:abstractNumId w:val="39"/>
  </w:num>
  <w:num w:numId="17">
    <w:abstractNumId w:val="13"/>
  </w:num>
  <w:num w:numId="18">
    <w:abstractNumId w:val="24"/>
  </w:num>
  <w:num w:numId="19">
    <w:abstractNumId w:val="5"/>
  </w:num>
  <w:num w:numId="20">
    <w:abstractNumId w:val="15"/>
  </w:num>
  <w:num w:numId="21">
    <w:abstractNumId w:val="35"/>
  </w:num>
  <w:num w:numId="22">
    <w:abstractNumId w:val="10"/>
  </w:num>
  <w:num w:numId="23">
    <w:abstractNumId w:val="12"/>
  </w:num>
  <w:num w:numId="24">
    <w:abstractNumId w:val="9"/>
  </w:num>
  <w:num w:numId="25">
    <w:abstractNumId w:val="8"/>
  </w:num>
  <w:num w:numId="26">
    <w:abstractNumId w:val="14"/>
  </w:num>
  <w:num w:numId="27">
    <w:abstractNumId w:val="33"/>
  </w:num>
  <w:num w:numId="28">
    <w:abstractNumId w:val="40"/>
  </w:num>
  <w:num w:numId="29">
    <w:abstractNumId w:val="3"/>
  </w:num>
  <w:num w:numId="30">
    <w:abstractNumId w:val="20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</w:num>
  <w:num w:numId="33">
    <w:abstractNumId w:val="25"/>
  </w:num>
  <w:num w:numId="34">
    <w:abstractNumId w:val="19"/>
  </w:num>
  <w:num w:numId="35">
    <w:abstractNumId w:val="17"/>
  </w:num>
  <w:num w:numId="36">
    <w:abstractNumId w:val="23"/>
  </w:num>
  <w:num w:numId="37">
    <w:abstractNumId w:val="41"/>
  </w:num>
  <w:num w:numId="38">
    <w:abstractNumId w:val="28"/>
  </w:num>
  <w:num w:numId="39">
    <w:abstractNumId w:val="21"/>
  </w:num>
  <w:num w:numId="40">
    <w:abstractNumId w:val="1"/>
  </w:num>
  <w:num w:numId="41">
    <w:abstractNumId w:val="32"/>
  </w:num>
  <w:num w:numId="42">
    <w:abstractNumId w:val="16"/>
  </w:num>
  <w:num w:numId="43">
    <w:abstractNumId w:val="36"/>
  </w:num>
  <w:num w:numId="44">
    <w:abstractNumId w:val="26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BD"/>
    <w:rsid w:val="00046A11"/>
    <w:rsid w:val="00095290"/>
    <w:rsid w:val="001A0FC4"/>
    <w:rsid w:val="001A7B03"/>
    <w:rsid w:val="001C53E6"/>
    <w:rsid w:val="001D4CAD"/>
    <w:rsid w:val="00217D6D"/>
    <w:rsid w:val="0029531B"/>
    <w:rsid w:val="002D1FBD"/>
    <w:rsid w:val="003A7071"/>
    <w:rsid w:val="003B3BD7"/>
    <w:rsid w:val="003F010C"/>
    <w:rsid w:val="00405020"/>
    <w:rsid w:val="00460EDC"/>
    <w:rsid w:val="004A7696"/>
    <w:rsid w:val="004D646B"/>
    <w:rsid w:val="00562947"/>
    <w:rsid w:val="005745F8"/>
    <w:rsid w:val="005761D4"/>
    <w:rsid w:val="0062248F"/>
    <w:rsid w:val="006B731F"/>
    <w:rsid w:val="006C361A"/>
    <w:rsid w:val="006D7280"/>
    <w:rsid w:val="00753660"/>
    <w:rsid w:val="007B1B29"/>
    <w:rsid w:val="008539D5"/>
    <w:rsid w:val="009F73C9"/>
    <w:rsid w:val="00A16662"/>
    <w:rsid w:val="00AB4B82"/>
    <w:rsid w:val="00B167D1"/>
    <w:rsid w:val="00BC7149"/>
    <w:rsid w:val="00BD3115"/>
    <w:rsid w:val="00BF706F"/>
    <w:rsid w:val="00C00228"/>
    <w:rsid w:val="00C35EC3"/>
    <w:rsid w:val="00C57528"/>
    <w:rsid w:val="00C57A97"/>
    <w:rsid w:val="00C67FE5"/>
    <w:rsid w:val="00CE62B5"/>
    <w:rsid w:val="00CF3D5C"/>
    <w:rsid w:val="00CF5002"/>
    <w:rsid w:val="00ED30D2"/>
    <w:rsid w:val="00EE6132"/>
    <w:rsid w:val="00F01792"/>
    <w:rsid w:val="00F6333C"/>
    <w:rsid w:val="00FA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3C428"/>
  <w15:docId w15:val="{096F6031-D4B3-4626-9BFC-99641BE3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2E74B5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qFormat/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Times New Roman" w:hAnsi="Calibri Light" w:cs="Times New Roman"/>
      <w:i/>
      <w:iCs/>
      <w:color w:val="2E74B5"/>
      <w:sz w:val="24"/>
      <w:szCs w:val="24"/>
      <w:lang w:val="en-US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markedcontent">
    <w:name w:val="markedcontent"/>
    <w:basedOn w:val="DefaultParagraphFont"/>
    <w:rsid w:val="003A7071"/>
  </w:style>
  <w:style w:type="paragraph" w:styleId="NormalWeb">
    <w:name w:val="Normal (Web)"/>
    <w:basedOn w:val="Normal"/>
    <w:uiPriority w:val="99"/>
    <w:semiHidden/>
    <w:unhideWhenUsed/>
    <w:rsid w:val="00BF7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F14DF8CAC14C11BE986A4D7E5B5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F14DF8CAC14C11BE986A4D7E5B5E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2023-01-19T10:30:34Z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2023-01-17T23:00:00Z</Date_x0020_protokolli>
    <Titulli xmlns="0e656187-b300-4fb0-8bf4-3a50f872073c">Për një ndryshim në vendimin e ERE nr. 28, datë 14.02.2022 mbi kërkesën e OSSH sh.a., për ndryshimin e vendimit të ERE-s nr. 181, datë 23.11.2016, "Për disa ndryshime në vendimin nr. 104, datë 23.06.2016, të Bordit të ERE, "Mbi përcaktimin e metodologjisë së vlerave referuese në rast se të dhënat e matjes janë përkohësisht të padisponueshme dhe të paarritshme, si dhe mbi shfuqizimin e vendimeve të ERE nr. 49, datë 21.10.2004 dhe nr. 146, datë 24.12.2013""</Titulli>
    <Modifikuesi xmlns="0e656187-b300-4fb0-8bf4-3a50f872073c">Suada.Daci</Modifikuesi>
    <Nr_x002e__x0020_prot_x0020_QBZ xmlns="0e656187-b300-4fb0-8bf4-3a50f872073c">86/3</Nr_x002e__x0020_prot_x0020_QBZ>
    <Data_x0020_e_x0020_Modifikimit xmlns="0e656187-b300-4fb0-8bf4-3a50f872073c">2023-01-20T11:22:41Z</Data_x0020_e_x0020_Modifikimit>
    <Dekretuar xmlns="0e656187-b300-4fb0-8bf4-3a50f872073c">false</Dekretuar>
    <Data xmlns="0e656187-b300-4fb0-8bf4-3a50f872073c">2022-12-20T23:00:00Z</Data>
    <Nr_x002e__x0020_protokolli_x0020_i_x0020_aktit xmlns="0e656187-b300-4fb0-8bf4-3a50f872073c">126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045B9-35C2-4488-8364-09BA61A6D9C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C28F9B8B-D7F4-46DE-BB08-C87BB9554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88CA6FCA-9A9B-4371-93EC-6D5F96FAF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4CA65C-9BDF-4343-B229-B98F12F3A102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9488F11-C240-464A-A479-107FB7138C9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404EBD7B-3AEB-4A42-B155-F1E3333FA4BE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640F9E70-C278-4C77-9EA5-A44870F70BF6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D71428CC-FCF2-447D-A5C8-B51CEB0BC9BF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24A20DBF-8204-4A94-AA09-572ECF085FC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F430F550-3166-46B5-A8E7-8EC07BE9601E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182A880-DDA9-4C7C-88C6-80C3699EDDFB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7F1FCA02-2A3B-4AE8-8C65-BBD5434AC06A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FF0E69DF-DE30-4FE0-A1BB-9855F4C689B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DADAE704-FB49-47E8-AA87-5DE786756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1425</Words>
  <Characters>8128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Rovena Lipe</cp:lastModifiedBy>
  <cp:revision>2</cp:revision>
  <dcterms:created xsi:type="dcterms:W3CDTF">2025-01-09T13:44:00Z</dcterms:created>
  <dcterms:modified xsi:type="dcterms:W3CDTF">2025-01-09T13:44:00Z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b394ac84db294c3d8dac8af8cd2f0a26</vt:lpwstr>
  </property>
</Properties>
</file>