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5BC76" w14:textId="777777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85BAEA4" w14:textId="247AF0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BB3AC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110, </w:t>
      </w:r>
      <w:r w:rsidR="00A36C0E"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 w:rsidR="00BB3AC2">
        <w:rPr>
          <w:rFonts w:ascii="Garamond" w:hAnsi="Garamond" w:cs="Times New Roman"/>
          <w:b/>
          <w:bCs/>
          <w:color w:val="000000"/>
          <w:sz w:val="24"/>
          <w:szCs w:val="24"/>
        </w:rPr>
        <w:t>27.</w:t>
      </w:r>
      <w:r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>3.2023</w:t>
      </w:r>
    </w:p>
    <w:p w14:paraId="2047B720" w14:textId="777777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FE5A421" w14:textId="5911244E" w:rsidR="00E7661F" w:rsidRPr="00E7661F" w:rsidRDefault="00E7661F" w:rsidP="00AD662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>KËRKESËN E OST SHA, PËR INTERVALIN KOHOR 1 ORË NË OPERIMIN E PROCESEVE TË TREGUT BALANCUES DHE NOMINIMEVE TË TRANSAKSIONEVE TREGTARE</w:t>
      </w:r>
    </w:p>
    <w:p w14:paraId="07D66A05" w14:textId="777777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7AE0819" w14:textId="4BD3F6D5" w:rsidR="00E7661F" w:rsidRPr="000649C3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0649C3">
        <w:rPr>
          <w:rFonts w:ascii="Garamond" w:hAnsi="Garamond" w:cs="Times New Roman"/>
          <w:color w:val="000000"/>
          <w:sz w:val="24"/>
          <w:szCs w:val="24"/>
        </w:rPr>
        <w:t xml:space="preserve">Në mbështetje të nenit 16, të ligjit nr. 43/2015, </w:t>
      </w:r>
      <w:r w:rsidRPr="000649C3">
        <w:rPr>
          <w:rFonts w:ascii="Garamond" w:hAnsi="Garamond" w:cs="Times New Roman"/>
          <w:iCs/>
          <w:color w:val="000000"/>
          <w:sz w:val="24"/>
          <w:szCs w:val="24"/>
        </w:rPr>
        <w:t xml:space="preserve">“Për sektorin e energjisë elektrike”, </w:t>
      </w:r>
      <w:r w:rsidRPr="000649C3">
        <w:rPr>
          <w:rFonts w:ascii="Garamond" w:hAnsi="Garamond" w:cs="Times New Roman"/>
          <w:color w:val="000000"/>
          <w:sz w:val="24"/>
          <w:szCs w:val="24"/>
        </w:rPr>
        <w:t xml:space="preserve">i ndryshuar, si dhe nenit 15 të </w:t>
      </w:r>
      <w:r w:rsidR="00712B60" w:rsidRPr="000649C3">
        <w:rPr>
          <w:rFonts w:ascii="Garamond" w:hAnsi="Garamond" w:cs="Times New Roman"/>
          <w:color w:val="000000"/>
          <w:sz w:val="24"/>
          <w:szCs w:val="24"/>
        </w:rPr>
        <w:t>“</w:t>
      </w:r>
      <w:r w:rsidRPr="000649C3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712B60" w:rsidRPr="000649C3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0649C3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AD662A" w:rsidRPr="000649C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0649C3">
        <w:rPr>
          <w:rFonts w:ascii="Garamond" w:hAnsi="Garamond" w:cs="Times New Roman"/>
          <w:color w:val="000000"/>
          <w:sz w:val="24"/>
          <w:szCs w:val="24"/>
        </w:rPr>
        <w:t>të Entit Rregullator të Energjisë (ERE) nr. 96, datë 17.6.2016; Bordi i ERE-s, në mbledhjen e tij të datës 27.3.2023, pasi shqyrtoi relacion</w:t>
      </w:r>
      <w:r w:rsidR="00712B60" w:rsidRPr="000649C3">
        <w:rPr>
          <w:rFonts w:ascii="Garamond" w:hAnsi="Garamond" w:cs="Times New Roman"/>
          <w:color w:val="000000"/>
          <w:sz w:val="24"/>
          <w:szCs w:val="24"/>
        </w:rPr>
        <w:t>in me nr. 576/4 prot., datë 24.</w:t>
      </w:r>
      <w:r w:rsidRPr="000649C3">
        <w:rPr>
          <w:rFonts w:ascii="Garamond" w:hAnsi="Garamond" w:cs="Times New Roman"/>
          <w:color w:val="000000"/>
          <w:sz w:val="24"/>
          <w:szCs w:val="24"/>
        </w:rPr>
        <w:t>3.2023 të përgatitur nga Drejtoritë Teknike, “</w:t>
      </w:r>
      <w:r w:rsidRPr="000649C3">
        <w:rPr>
          <w:rFonts w:ascii="Garamond" w:hAnsi="Garamond" w:cs="Times New Roman"/>
          <w:iCs/>
          <w:color w:val="000000"/>
          <w:sz w:val="24"/>
          <w:szCs w:val="24"/>
        </w:rPr>
        <w:t>Mbi kërkesën e OST sh.a., për intervalin kohor 1 orë në operimin e proceseve të tregut balancues, dhe nominimeve të transaksioneve tregtare”,</w:t>
      </w:r>
    </w:p>
    <w:p w14:paraId="24815652" w14:textId="6A749784" w:rsidR="00E7661F" w:rsidRPr="000649C3" w:rsidRDefault="00712B60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0649C3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E7661F" w:rsidRPr="000649C3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10D940F6" w14:textId="258C907A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712B60">
        <w:rPr>
          <w:rFonts w:ascii="Garamond" w:hAnsi="Garamond" w:cs="Times New Roman"/>
          <w:color w:val="000000"/>
          <w:sz w:val="24"/>
          <w:szCs w:val="24"/>
        </w:rPr>
        <w:t>,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 me vendimin nr. 106, datë 2.7.2020, vendosi miratimin e Rregullave të Tregut Shqiptar të Balancimit të Energjisë Elektrike.</w:t>
      </w:r>
    </w:p>
    <w:p w14:paraId="39C8B8F5" w14:textId="30CF7410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>Operatori i Sistemit të Transmetimit (OST) sh.a. në funksion të operimit në Tregun Shqiptar të Balancimit të Energjisë Elektrike nëpërmjet shkresës nr. 756 prot., datë 3.2.2023, protokolluar e ERE me nr. 576 prot., datë 6.2.2023, ndër të tjera ka parashtruar argumentet, kushtet</w:t>
      </w:r>
      <w:r w:rsidR="00F7491F">
        <w:rPr>
          <w:rFonts w:ascii="Garamond" w:hAnsi="Garamond" w:cs="Times New Roman"/>
          <w:color w:val="000000"/>
          <w:sz w:val="24"/>
          <w:szCs w:val="24"/>
        </w:rPr>
        <w:t>,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 si dhe vlerësimet mbi implementimin</w:t>
      </w:r>
      <w:r w:rsidR="003932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7661F">
        <w:rPr>
          <w:rFonts w:ascii="Garamond" w:hAnsi="Garamond" w:cs="Times New Roman"/>
          <w:color w:val="000000"/>
          <w:sz w:val="24"/>
          <w:szCs w:val="24"/>
        </w:rPr>
        <w:t>e platformës së menaxhimit të tregut për intervalin kohor 1 orë ku vlerëson se nuk</w:t>
      </w:r>
      <w:r w:rsidR="003932C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7661F">
        <w:rPr>
          <w:rFonts w:ascii="Garamond" w:hAnsi="Garamond" w:cs="Times New Roman"/>
          <w:color w:val="000000"/>
          <w:sz w:val="24"/>
          <w:szCs w:val="24"/>
        </w:rPr>
        <w:t>mund të operohet me rezolucion 15 minuta.</w:t>
      </w:r>
    </w:p>
    <w:p w14:paraId="2AC8DD21" w14:textId="13DB57F0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>Shoqëria OST sh.a., ndër të tjera deklaron se në vijim të operimit me bazë orare për llogaritjen e disbalancave, për proceset në tregun balancues dhe për proceset e nominimit, ka bërë reflektimet e saj duke i përcjellë si draftpropozime të Rregullave të Tregut Shqiptar të Balancimit. Gjithashtu në vijim të zhvillimeve rajonale, OST sh.a. shprehet se ka infrastrukturën e nevojshme për të vepruar si vendet e rajonit për sa i përket tregut balancues.</w:t>
      </w:r>
    </w:p>
    <w:p w14:paraId="76D809BC" w14:textId="563A26C3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Në zbatim të urdhrit nr. 33, datë </w:t>
      </w:r>
      <w:r w:rsidRPr="008532AE">
        <w:rPr>
          <w:rFonts w:ascii="Garamond" w:hAnsi="Garamond" w:cs="Times New Roman"/>
          <w:color w:val="000000"/>
          <w:sz w:val="24"/>
          <w:szCs w:val="24"/>
        </w:rPr>
        <w:t>24.</w:t>
      </w:r>
      <w:r w:rsidR="008532AE" w:rsidRPr="008532AE">
        <w:rPr>
          <w:rFonts w:ascii="Garamond" w:hAnsi="Garamond" w:cs="Times New Roman"/>
          <w:color w:val="000000"/>
          <w:sz w:val="24"/>
          <w:szCs w:val="24"/>
        </w:rPr>
        <w:t>2</w:t>
      </w:r>
      <w:r w:rsidRPr="008532AE">
        <w:rPr>
          <w:rFonts w:ascii="Garamond" w:hAnsi="Garamond" w:cs="Times New Roman"/>
          <w:color w:val="000000"/>
          <w:sz w:val="24"/>
          <w:szCs w:val="24"/>
        </w:rPr>
        <w:t>.2023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, ERE, organizoi një seancë dëgjimore, mes përfaqësuesve të shoqërisë OST sh.a., Shoqatës Shqiptare të Furnizuesve të Energjisë Elektrike (AAES) dhe </w:t>
      </w:r>
      <w:r w:rsidR="00E51523">
        <w:rPr>
          <w:rFonts w:ascii="Garamond" w:hAnsi="Garamond" w:cs="Times New Roman"/>
          <w:color w:val="000000"/>
          <w:sz w:val="24"/>
          <w:szCs w:val="24"/>
        </w:rPr>
        <w:t>“</w:t>
      </w:r>
      <w:r w:rsidRPr="00E7661F">
        <w:rPr>
          <w:rFonts w:ascii="Garamond" w:hAnsi="Garamond" w:cs="Times New Roman"/>
          <w:color w:val="000000"/>
          <w:sz w:val="24"/>
          <w:szCs w:val="24"/>
        </w:rPr>
        <w:t>Albanian Power Exchange</w:t>
      </w:r>
      <w:r w:rsidR="00E51523">
        <w:rPr>
          <w:rFonts w:ascii="Garamond" w:hAnsi="Garamond" w:cs="Times New Roman"/>
          <w:color w:val="000000"/>
          <w:sz w:val="24"/>
          <w:szCs w:val="24"/>
        </w:rPr>
        <w:t>”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E51523">
        <w:rPr>
          <w:rFonts w:ascii="Garamond" w:hAnsi="Garamond" w:cs="Times New Roman"/>
          <w:color w:val="000000"/>
          <w:sz w:val="24"/>
          <w:szCs w:val="24"/>
        </w:rPr>
        <w:t>“</w:t>
      </w:r>
      <w:r w:rsidR="00E51523" w:rsidRPr="00E7661F">
        <w:rPr>
          <w:rFonts w:ascii="Garamond" w:hAnsi="Garamond" w:cs="Times New Roman"/>
          <w:color w:val="000000"/>
          <w:sz w:val="24"/>
          <w:szCs w:val="24"/>
        </w:rPr>
        <w:t>Alpex</w:t>
      </w:r>
      <w:r w:rsidR="00E51523">
        <w:rPr>
          <w:rFonts w:ascii="Garamond" w:hAnsi="Garamond" w:cs="Times New Roman"/>
          <w:color w:val="000000"/>
          <w:sz w:val="24"/>
          <w:szCs w:val="24"/>
        </w:rPr>
        <w:t>”</w:t>
      </w:r>
      <w:r w:rsidRPr="00E7661F">
        <w:rPr>
          <w:rFonts w:ascii="Garamond" w:hAnsi="Garamond" w:cs="Times New Roman"/>
          <w:color w:val="000000"/>
          <w:sz w:val="24"/>
          <w:szCs w:val="24"/>
        </w:rPr>
        <w:t>) sh.a. për të diskutuar lidhur me kooperimin e platformës së menaxhimit të tregut me platformën e Bursës Shqiptare të Energjisë e cila është me rezolucion orar, duke marre në konsideratë Rregullat e Tregut të Energjisë Elektrike.</w:t>
      </w:r>
    </w:p>
    <w:p w14:paraId="1A5433A9" w14:textId="085877CB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OST sh.a., përgjatë periudhës kohore nga 1 </w:t>
      </w:r>
      <w:r w:rsidR="00843E58">
        <w:rPr>
          <w:rFonts w:ascii="Garamond" w:hAnsi="Garamond" w:cs="Times New Roman"/>
          <w:color w:val="000000"/>
          <w:sz w:val="24"/>
          <w:szCs w:val="24"/>
        </w:rPr>
        <w:t>p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rill 2021, momenti kur ka filluar operimi i tregut të balancimit të energjisë elektrike bazuar në Rregullat e Tregut Shqiptar të Balancimit të Energjisë Elektrike të miratuara me vendimin e </w:t>
      </w:r>
      <w:r w:rsidR="002041B9" w:rsidRPr="00E7661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7661F">
        <w:rPr>
          <w:rFonts w:ascii="Garamond" w:hAnsi="Garamond" w:cs="Times New Roman"/>
          <w:color w:val="000000"/>
          <w:sz w:val="24"/>
          <w:szCs w:val="24"/>
        </w:rPr>
        <w:t>të ERE-s nr. 106/2020, nuk ka aplikuar rezolucionin 15 minutësh, si periudhë kohore e proceseve ku përfshihen edhe nominimet dhe llogaritjet respektive të disbalancave, por intervalin kohor prej 1 orë.</w:t>
      </w:r>
    </w:p>
    <w:p w14:paraId="032EECF3" w14:textId="7D3D2A8A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C634C4">
        <w:rPr>
          <w:rFonts w:ascii="Garamond" w:hAnsi="Garamond" w:cs="Times New Roman"/>
          <w:color w:val="000000"/>
          <w:sz w:val="24"/>
          <w:szCs w:val="24"/>
        </w:rPr>
        <w:t>,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 me vendimin nr. 108, datë 22.4.2021, ka miratuar “Rregullat e përbashkëta të shlyerjes për shkëmbimin e energjisë në përputhje me nenet 50(3) dhe 51(1), të Komisionit Rregullator të Bashkimit Evropian 2017/2195”. Këto rreg</w:t>
      </w:r>
      <w:bookmarkStart w:id="0" w:name="_GoBack"/>
      <w:bookmarkEnd w:id="0"/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ulla aplikohen nga OST-të e Evropës kontinentale, anëtare të ENTSO - E, që nga data 1 </w:t>
      </w:r>
      <w:r w:rsidR="00712B60">
        <w:rPr>
          <w:rFonts w:ascii="Garamond" w:hAnsi="Garamond" w:cs="Times New Roman"/>
          <w:color w:val="000000"/>
          <w:sz w:val="24"/>
          <w:szCs w:val="24"/>
        </w:rPr>
        <w:t>q</w:t>
      </w:r>
      <w:r w:rsidRPr="00E7661F">
        <w:rPr>
          <w:rFonts w:ascii="Garamond" w:hAnsi="Garamond" w:cs="Times New Roman"/>
          <w:color w:val="000000"/>
          <w:sz w:val="24"/>
          <w:szCs w:val="24"/>
        </w:rPr>
        <w:t>ershor 2021. Aktualisht për OST sh.a., aplikimi i këtyre rregullave është duke u realizuar me intervalin kohor prej 1 ore. Në këtë kontekst aplikimi i intervalit kohor prej 1 ore në tregun e brendshëm të balancimit të energjisë elektrike nuk sjell asnjë pasojë për këtë mekanizëm, përkundrazi aplikimi i afatit kohor prej 1 ore edhe në tregun e brendshëm të balancimit ndikon në harmonizimin e këtyre proceseve.</w:t>
      </w:r>
    </w:p>
    <w:p w14:paraId="7F3FE8D3" w14:textId="33A3CCAE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Vlerësimi i dhënë nga </w:t>
      </w:r>
      <w:r w:rsidR="00712B60">
        <w:rPr>
          <w:rFonts w:ascii="Garamond" w:hAnsi="Garamond" w:cs="Times New Roman"/>
          <w:color w:val="000000"/>
          <w:sz w:val="24"/>
          <w:szCs w:val="24"/>
        </w:rPr>
        <w:t>“</w:t>
      </w:r>
      <w:r w:rsidRPr="00E7661F">
        <w:rPr>
          <w:rFonts w:ascii="Garamond" w:hAnsi="Garamond" w:cs="Times New Roman"/>
          <w:color w:val="000000"/>
          <w:sz w:val="24"/>
          <w:szCs w:val="24"/>
        </w:rPr>
        <w:t>AAES</w:t>
      </w:r>
      <w:r w:rsidR="00712B60">
        <w:rPr>
          <w:rFonts w:ascii="Garamond" w:hAnsi="Garamond" w:cs="Times New Roman"/>
          <w:color w:val="000000"/>
          <w:sz w:val="24"/>
          <w:szCs w:val="24"/>
        </w:rPr>
        <w:t>”</w:t>
      </w:r>
      <w:r w:rsidRPr="00E7661F">
        <w:rPr>
          <w:rFonts w:ascii="Garamond" w:hAnsi="Garamond" w:cs="Times New Roman"/>
          <w:color w:val="000000"/>
          <w:sz w:val="24"/>
          <w:szCs w:val="24"/>
        </w:rPr>
        <w:t>, e cila e konsideron si pozitiv funksionimin e tregut shqiptar të balancimit në rezolucionin 15 minutësh, pasi kontribuon në qëndrueshmërinë e sistemit elektroenergjitik është një vlerësim i saktë dhe adreson në mënyrë të drejtë këtë çështje.</w:t>
      </w:r>
    </w:p>
    <w:p w14:paraId="4B1DDC5B" w14:textId="78376254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Duke qenë se për periudhën në vijim të vitit 2023, </w:t>
      </w:r>
      <w:r w:rsidR="00BB3AC2">
        <w:rPr>
          <w:rFonts w:ascii="Garamond" w:hAnsi="Garamond" w:cs="Times New Roman"/>
          <w:color w:val="000000"/>
          <w:sz w:val="24"/>
          <w:szCs w:val="24"/>
        </w:rPr>
        <w:t>“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>Alpex</w:t>
      </w:r>
      <w:r w:rsidR="00BB3AC2">
        <w:rPr>
          <w:rFonts w:ascii="Garamond" w:hAnsi="Garamond" w:cs="Times New Roman"/>
          <w:color w:val="000000"/>
          <w:sz w:val="24"/>
          <w:szCs w:val="24"/>
        </w:rPr>
        <w:t>”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 sh.a. pritet të fillojë operimin komercial të tregut të energjisë elektrike, gjykojmë të arsyeshme pranimin e pjesshëm të kërkesës së OST sh.a. Për periudhën 1 </w:t>
      </w:r>
      <w:r w:rsidR="00BB3AC2">
        <w:rPr>
          <w:rFonts w:ascii="Garamond" w:hAnsi="Garamond" w:cs="Times New Roman"/>
          <w:color w:val="000000"/>
          <w:sz w:val="24"/>
          <w:szCs w:val="24"/>
        </w:rPr>
        <w:t>p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rill 2023 deri </w:t>
      </w:r>
      <w:r w:rsidR="00BB3AC2">
        <w:rPr>
          <w:rFonts w:ascii="Garamond" w:hAnsi="Garamond" w:cs="Times New Roman"/>
          <w:color w:val="000000"/>
          <w:sz w:val="24"/>
          <w:szCs w:val="24"/>
        </w:rPr>
        <w:t xml:space="preserve">më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1 </w:t>
      </w:r>
      <w:r w:rsidR="00BB3AC2">
        <w:rPr>
          <w:rFonts w:ascii="Garamond" w:hAnsi="Garamond" w:cs="Times New Roman"/>
          <w:color w:val="000000"/>
          <w:sz w:val="24"/>
          <w:szCs w:val="24"/>
        </w:rPr>
        <w:t>p</w:t>
      </w:r>
      <w:r w:rsidRPr="00E7661F">
        <w:rPr>
          <w:rFonts w:ascii="Garamond" w:hAnsi="Garamond" w:cs="Times New Roman"/>
          <w:color w:val="000000"/>
          <w:sz w:val="24"/>
          <w:szCs w:val="24"/>
        </w:rPr>
        <w:t>rill 2024, pra për një vit të operohet në tregun e balancimit të energjisë elektrike me intervalin kohor prej 1 ore. Gjatë kësaj periudhe kohore 1</w:t>
      </w:r>
      <w:r w:rsidR="00BB3AC2">
        <w:rPr>
          <w:rFonts w:ascii="Garamond" w:hAnsi="Garamond" w:cs="Times New Roman"/>
          <w:color w:val="000000"/>
          <w:sz w:val="24"/>
          <w:szCs w:val="24"/>
        </w:rPr>
        <w:t>-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vjeçare do të mund të vlerësohet ecuria e operimit të tregut që do të operohet nga </w:t>
      </w:r>
      <w:r w:rsidR="00BB3AC2">
        <w:rPr>
          <w:rFonts w:ascii="Garamond" w:hAnsi="Garamond" w:cs="Times New Roman"/>
          <w:color w:val="000000"/>
          <w:sz w:val="24"/>
          <w:szCs w:val="24"/>
        </w:rPr>
        <w:t>“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>Alpex</w:t>
      </w:r>
      <w:r w:rsidR="00BB3AC2">
        <w:rPr>
          <w:rFonts w:ascii="Garamond" w:hAnsi="Garamond" w:cs="Times New Roman"/>
          <w:color w:val="000000"/>
          <w:sz w:val="24"/>
          <w:szCs w:val="24"/>
        </w:rPr>
        <w:t>”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 sh.a. dhe tregut të balancimit që operohet nga OST sh.a.</w:t>
      </w:r>
    </w:p>
    <w:p w14:paraId="539B5FFB" w14:textId="4B31DD35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E7661F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0ABE009F" w14:textId="5B017A6F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7661F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FB3CA0D" w14:textId="777777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62A7E79" w14:textId="066910B6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7661F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Pranimin e pjesshëm të kërkesës së OST sh.a., “Periudha kohore e proceseve në të cilat përfshihen edhe nominimet dhe llogaritjet respektive të disbalancave të kryhet me interval kohor prej 1 ore, për periudhën 1 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 xml:space="preserve">prill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2023 deri </w:t>
      </w:r>
      <w:r w:rsidR="00BB3AC2">
        <w:rPr>
          <w:rFonts w:ascii="Garamond" w:hAnsi="Garamond" w:cs="Times New Roman"/>
          <w:color w:val="000000"/>
          <w:sz w:val="24"/>
          <w:szCs w:val="24"/>
        </w:rPr>
        <w:t>m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ë 1 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 xml:space="preserve">prill </w:t>
      </w:r>
      <w:r w:rsidRPr="00E7661F">
        <w:rPr>
          <w:rFonts w:ascii="Garamond" w:hAnsi="Garamond" w:cs="Times New Roman"/>
          <w:color w:val="000000"/>
          <w:sz w:val="24"/>
          <w:szCs w:val="24"/>
        </w:rPr>
        <w:t>2024.</w:t>
      </w:r>
    </w:p>
    <w:p w14:paraId="74655F8F" w14:textId="22CE7FA5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7661F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Drejtoria Juridike dhe Zgjidhjes së Mosmarrëveshjeve të njoftojë palët e interesit për vendimin e 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7661F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0FC8405F" w14:textId="777777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105A44E5" w14:textId="11858AFE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BB3AC2" w:rsidRPr="00E7661F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E7661F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211CA7F" w14:textId="777777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7661F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2F926B04" w14:textId="77777777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1F203C1E" w14:textId="1B67C78B" w:rsidR="00E7661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7661F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0967CC34" w14:textId="4D9614FB" w:rsidR="001A07BF" w:rsidRPr="00E7661F" w:rsidRDefault="00E7661F" w:rsidP="00E7661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E7661F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sectPr w:rsidR="001A07BF" w:rsidRPr="00E7661F" w:rsidSect="00BB3AC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C587B7" w14:textId="77777777" w:rsidR="00BB3AC2" w:rsidRDefault="00BB3AC2">
      <w:pPr>
        <w:spacing w:after="0" w:line="240" w:lineRule="auto"/>
      </w:pPr>
      <w:r>
        <w:separator/>
      </w:r>
    </w:p>
  </w:endnote>
  <w:endnote w:type="continuationSeparator" w:id="0">
    <w:p w14:paraId="7EDE8223" w14:textId="77777777" w:rsidR="00BB3AC2" w:rsidRDefault="00BB3AC2">
      <w:pPr>
        <w:spacing w:after="0" w:line="240" w:lineRule="auto"/>
      </w:pPr>
      <w:r>
        <w:continuationSeparator/>
      </w:r>
    </w:p>
  </w:endnote>
  <w:endnote w:type="continuationNotice" w:id="1">
    <w:p w14:paraId="67423766" w14:textId="77777777" w:rsidR="001D4E80" w:rsidRDefault="001D4E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A6F6A" w14:textId="77777777" w:rsidR="00BB3AC2" w:rsidRDefault="00BB3AC2">
      <w:pPr>
        <w:spacing w:after="0" w:line="240" w:lineRule="auto"/>
      </w:pPr>
      <w:r>
        <w:separator/>
      </w:r>
    </w:p>
  </w:footnote>
  <w:footnote w:type="continuationSeparator" w:id="0">
    <w:p w14:paraId="3CD0F638" w14:textId="77777777" w:rsidR="00BB3AC2" w:rsidRDefault="00BB3AC2">
      <w:pPr>
        <w:spacing w:after="0" w:line="240" w:lineRule="auto"/>
      </w:pPr>
      <w:r>
        <w:continuationSeparator/>
      </w:r>
    </w:p>
  </w:footnote>
  <w:footnote w:type="continuationNotice" w:id="1">
    <w:p w14:paraId="595D6904" w14:textId="77777777" w:rsidR="001D4E80" w:rsidRDefault="001D4E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3F26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03EC"/>
    <w:multiLevelType w:val="hybridMultilevel"/>
    <w:tmpl w:val="47A4C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95E5B7B"/>
    <w:multiLevelType w:val="hybridMultilevel"/>
    <w:tmpl w:val="6BB0E0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347FD7"/>
    <w:multiLevelType w:val="hybridMultilevel"/>
    <w:tmpl w:val="610C6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4C0BB2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CD5243"/>
    <w:multiLevelType w:val="hybridMultilevel"/>
    <w:tmpl w:val="45AC3B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7BF"/>
    <w:rsid w:val="000054A4"/>
    <w:rsid w:val="000649C3"/>
    <w:rsid w:val="000F7F96"/>
    <w:rsid w:val="00114E87"/>
    <w:rsid w:val="001A07BF"/>
    <w:rsid w:val="001D4E80"/>
    <w:rsid w:val="002041B9"/>
    <w:rsid w:val="002B79BA"/>
    <w:rsid w:val="003320A0"/>
    <w:rsid w:val="00370C4E"/>
    <w:rsid w:val="003871B4"/>
    <w:rsid w:val="003932CE"/>
    <w:rsid w:val="003A0DB3"/>
    <w:rsid w:val="003E5BE8"/>
    <w:rsid w:val="003F2DC6"/>
    <w:rsid w:val="004127D6"/>
    <w:rsid w:val="004901BB"/>
    <w:rsid w:val="005411A4"/>
    <w:rsid w:val="00577B55"/>
    <w:rsid w:val="005809F4"/>
    <w:rsid w:val="00630EBC"/>
    <w:rsid w:val="0064012B"/>
    <w:rsid w:val="00686313"/>
    <w:rsid w:val="006D724C"/>
    <w:rsid w:val="006F1B88"/>
    <w:rsid w:val="00712B60"/>
    <w:rsid w:val="0072480C"/>
    <w:rsid w:val="007627F4"/>
    <w:rsid w:val="00782281"/>
    <w:rsid w:val="008153F7"/>
    <w:rsid w:val="0084274F"/>
    <w:rsid w:val="00843E58"/>
    <w:rsid w:val="008532AE"/>
    <w:rsid w:val="00856E3E"/>
    <w:rsid w:val="008A301D"/>
    <w:rsid w:val="008B0F38"/>
    <w:rsid w:val="008F5D10"/>
    <w:rsid w:val="00961243"/>
    <w:rsid w:val="00961EDC"/>
    <w:rsid w:val="00994DF5"/>
    <w:rsid w:val="009A2FA2"/>
    <w:rsid w:val="009A683B"/>
    <w:rsid w:val="009D729B"/>
    <w:rsid w:val="00A36C0E"/>
    <w:rsid w:val="00A71B77"/>
    <w:rsid w:val="00AD662A"/>
    <w:rsid w:val="00B45B34"/>
    <w:rsid w:val="00BB3AC2"/>
    <w:rsid w:val="00C14C38"/>
    <w:rsid w:val="00C472EC"/>
    <w:rsid w:val="00C634C4"/>
    <w:rsid w:val="00CA4C56"/>
    <w:rsid w:val="00CC227E"/>
    <w:rsid w:val="00D33176"/>
    <w:rsid w:val="00D5417A"/>
    <w:rsid w:val="00DE68E7"/>
    <w:rsid w:val="00E12602"/>
    <w:rsid w:val="00E20EEA"/>
    <w:rsid w:val="00E51523"/>
    <w:rsid w:val="00E7661F"/>
    <w:rsid w:val="00E83F74"/>
    <w:rsid w:val="00EA01D4"/>
    <w:rsid w:val="00F036E8"/>
    <w:rsid w:val="00F5447A"/>
    <w:rsid w:val="00F7491F"/>
    <w:rsid w:val="00F75145"/>
    <w:rsid w:val="00F93763"/>
    <w:rsid w:val="00FD1A31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BEC02A"/>
  <w15:docId w15:val="{80A99145-3680-4BE1-9400-DAE59ACC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  <w:lang w:val="sq-AL"/>
    </w:rPr>
  </w:style>
  <w:style w:type="character" w:customStyle="1" w:styleId="markedcontent">
    <w:name w:val="markedcontent"/>
    <w:basedOn w:val="DefaultParagraphFont"/>
    <w:rsid w:val="00E1260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71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5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tyles" Target="styles.xml"/><Relationship Id="rId28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numbering" Target="numbering.xml"/><Relationship Id="rId27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51E1D6B6F485FB2A2567DFEA4C3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2023-05-02T13:32:10Z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Mbi kërkesën e OST sh.a., për intervalin kohor 1 orë në operimin e proceseve të tregut balancues dhe nominimeve të transaksioneve tregtare</Titulli>
    <Modifikuesi xmlns="0e656187-b300-4fb0-8bf4-3a50f872073c">nevila.samarxhi</Modifikuesi>
    <Nr_x002e__x0020_prot_x0020_QBZ xmlns="0e656187-b300-4fb0-8bf4-3a50f872073c">665/1</Nr_x002e__x0020_prot_x0020_QBZ>
    <Data_x0020_e_x0020_Modifikimit xmlns="0e656187-b300-4fb0-8bf4-3a50f872073c">2023-05-03T07:35:47Z</Data_x0020_e_x0020_Modifikimit>
    <Dekretuar xmlns="0e656187-b300-4fb0-8bf4-3a50f872073c">false</Dekretuar>
    <Data xmlns="0e656187-b300-4fb0-8bf4-3a50f872073c">2023-03-26T22:00:00Z</Data>
    <Nr_x002e__x0020_protokolli_x0020_i_x0020_aktit xmlns="0e656187-b300-4fb0-8bf4-3a50f872073c">1322/1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51E1D6B6F485FB2A2567DFEA4C3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E307A-9B8D-4087-9AF1-1CCD33FFB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7B0E7D-7D09-487E-A246-1B2D0180956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0C6DB04-8310-49C3-A54B-8B5F5DFD6E9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C0A2D03-30C7-4D79-B566-F8FB73D02A8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826B04D-6AEA-4E57-BDE2-8AAE9899D5A2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7E8BDF0A-21C6-4D9A-BB0E-FD0F610B726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C4C3112-BC74-42F2-8449-2823F64FD7B4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E9CD5A0-194E-4CB6-AA9C-E72E350B82E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0F1440F-99D1-4B7F-B18A-40D55AB0EF60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E70BFC0-6E5A-4EDE-A157-EED05512475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8DDBBC46-E425-4799-81B1-82815221D7E4}">
  <ds:schemaRefs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12.xml><?xml version="1.0" encoding="utf-8"?>
<ds:datastoreItem xmlns:ds="http://schemas.openxmlformats.org/officeDocument/2006/customXml" ds:itemID="{D2102AC1-16C3-46F7-B9DE-3E60B79DB338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46FEDFC9-1BD3-4D63-BBDE-E883C9BBAC7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9CDD621A-1DCD-451B-8080-95EF2AF2FAF5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6DC9F78F-8B5B-41FA-972F-1D61C335A013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0EC481D3-51DA-428B-A935-32B8C02AB5B9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4D6734D6-D02E-4E46-99C2-813ADB6115C7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89AE8584-62F5-481E-BADE-5230CEFE345A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0A413A8D-365B-45C7-A850-8531BC551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0.xml><?xml version="1.0" encoding="utf-8"?>
<ds:datastoreItem xmlns:ds="http://schemas.openxmlformats.org/officeDocument/2006/customXml" ds:itemID="{EF0D8DC5-460D-48F0-B0AA-2932665831D3}">
  <ds:schemaRefs>
    <ds:schemaRef ds:uri="http://schemas.microsoft.com/sharepoint/v3/contenttype/forms"/>
  </ds:schemaRefs>
</ds:datastoreItem>
</file>

<file path=customXml/itemProps21.xml><?xml version="1.0" encoding="utf-8"?>
<ds:datastoreItem xmlns:ds="http://schemas.openxmlformats.org/officeDocument/2006/customXml" ds:itemID="{4980DCA8-FF29-47E1-9A25-D2ACDCCEF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PC_Unknown</dc:creator>
  <cp:lastModifiedBy>Jorina Kryeziu</cp:lastModifiedBy>
  <cp:revision>27</cp:revision>
  <dcterms:created xsi:type="dcterms:W3CDTF">2023-04-20T10:10:00Z</dcterms:created>
  <dcterms:modified xsi:type="dcterms:W3CDTF">2023-05-03T10:08:00Z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0b9ceb3f446b42b7a3717453880ffd2e</vt:lpwstr>
  </property>
</Properties>
</file>