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D144AA" w14:textId="77777777" w:rsidR="00AA39EB" w:rsidRPr="00AA39EB" w:rsidRDefault="00AA39EB" w:rsidP="00AA39EB">
      <w:pPr>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AA39EB">
        <w:rPr>
          <w:rFonts w:ascii="Garamond" w:hAnsi="Garamond" w:cs="Times New Roman"/>
          <w:b/>
          <w:bCs/>
          <w:color w:val="000000"/>
          <w:sz w:val="24"/>
          <w:szCs w:val="24"/>
        </w:rPr>
        <w:t>VENDIM</w:t>
      </w:r>
    </w:p>
    <w:p w14:paraId="6A43DE3C" w14:textId="63534D5D" w:rsidR="00AA39EB" w:rsidRPr="00AA39EB" w:rsidRDefault="00AA39EB" w:rsidP="00AA39EB">
      <w:pPr>
        <w:autoSpaceDE w:val="0"/>
        <w:autoSpaceDN w:val="0"/>
        <w:adjustRightInd w:val="0"/>
        <w:spacing w:after="0" w:line="240" w:lineRule="auto"/>
        <w:ind w:firstLine="284"/>
        <w:jc w:val="center"/>
        <w:outlineLvl w:val="1"/>
        <w:rPr>
          <w:rFonts w:ascii="Garamond" w:hAnsi="Garamond" w:cs="Times New Roman"/>
          <w:b/>
          <w:bCs/>
          <w:color w:val="000000"/>
          <w:sz w:val="24"/>
          <w:szCs w:val="24"/>
        </w:rPr>
      </w:pPr>
      <w:r w:rsidRPr="00AA39EB">
        <w:rPr>
          <w:rFonts w:ascii="Garamond" w:hAnsi="Garamond" w:cs="Times New Roman"/>
          <w:b/>
          <w:bCs/>
          <w:color w:val="000000"/>
          <w:sz w:val="24"/>
          <w:szCs w:val="24"/>
        </w:rPr>
        <w:t>Nr. 361, datë 7.12.2023</w:t>
      </w:r>
    </w:p>
    <w:p w14:paraId="48B191A4" w14:textId="77777777" w:rsidR="00AA39EB" w:rsidRPr="00AA39EB" w:rsidRDefault="00AA39EB" w:rsidP="00AA39EB">
      <w:pPr>
        <w:autoSpaceDE w:val="0"/>
        <w:autoSpaceDN w:val="0"/>
        <w:adjustRightInd w:val="0"/>
        <w:spacing w:after="0" w:line="240" w:lineRule="auto"/>
        <w:ind w:firstLine="284"/>
        <w:rPr>
          <w:rFonts w:ascii="Garamond" w:hAnsi="Garamond" w:cs="Times New Roman"/>
          <w:color w:val="000000"/>
          <w:sz w:val="24"/>
          <w:szCs w:val="24"/>
        </w:rPr>
      </w:pPr>
    </w:p>
    <w:p w14:paraId="61FEF9A9" w14:textId="5CA7B139" w:rsidR="00AA39EB" w:rsidRDefault="00AA39EB" w:rsidP="00AA39EB">
      <w:pPr>
        <w:autoSpaceDE w:val="0"/>
        <w:autoSpaceDN w:val="0"/>
        <w:adjustRightInd w:val="0"/>
        <w:spacing w:after="0" w:line="240" w:lineRule="auto"/>
        <w:ind w:firstLine="284"/>
        <w:jc w:val="center"/>
        <w:rPr>
          <w:rFonts w:ascii="Garamond" w:hAnsi="Garamond" w:cs="Times New Roman"/>
          <w:b/>
          <w:bCs/>
          <w:color w:val="000000"/>
          <w:sz w:val="24"/>
          <w:szCs w:val="24"/>
        </w:rPr>
      </w:pPr>
      <w:r w:rsidRPr="00AA39EB">
        <w:rPr>
          <w:rFonts w:ascii="Garamond" w:hAnsi="Garamond" w:cs="Times New Roman"/>
          <w:b/>
          <w:bCs/>
          <w:color w:val="000000"/>
          <w:sz w:val="24"/>
          <w:szCs w:val="24"/>
        </w:rPr>
        <w:t>MBI LICENCIMIN E SHOQËRISË “GEALB ENERGY” SHPK, NË VEPRIMTARINË E PRODHIMIT TË ENERGJISË ELEKTRIKE NGA HIDROCENTRALET “GURI I BARDHË 1” DHE “GURI I BARDHË 2”</w:t>
      </w:r>
    </w:p>
    <w:p w14:paraId="756D5B8B" w14:textId="4BE6286A" w:rsidR="00533687" w:rsidRDefault="00533687" w:rsidP="00AA39EB">
      <w:pPr>
        <w:autoSpaceDE w:val="0"/>
        <w:autoSpaceDN w:val="0"/>
        <w:adjustRightInd w:val="0"/>
        <w:spacing w:after="0" w:line="240" w:lineRule="auto"/>
        <w:ind w:firstLine="284"/>
        <w:jc w:val="center"/>
        <w:rPr>
          <w:rFonts w:ascii="Garamond" w:hAnsi="Garamond" w:cs="Times New Roman"/>
          <w:bCs/>
          <w:i/>
          <w:color w:val="000000"/>
          <w:sz w:val="24"/>
          <w:szCs w:val="24"/>
        </w:rPr>
      </w:pPr>
      <w:r w:rsidRPr="00533687">
        <w:rPr>
          <w:rFonts w:ascii="Garamond" w:hAnsi="Garamond" w:cs="Times New Roman"/>
          <w:bCs/>
          <w:i/>
          <w:color w:val="000000"/>
          <w:sz w:val="24"/>
          <w:szCs w:val="24"/>
        </w:rPr>
        <w:t>(ndryshuar me Vendimin nr. 36, datë 27.3.2024)</w:t>
      </w:r>
    </w:p>
    <w:p w14:paraId="57A951C2" w14:textId="33B238E4" w:rsidR="00533687" w:rsidRPr="00533687" w:rsidRDefault="00533687" w:rsidP="00533687">
      <w:pPr>
        <w:autoSpaceDE w:val="0"/>
        <w:autoSpaceDN w:val="0"/>
        <w:adjustRightInd w:val="0"/>
        <w:spacing w:after="0" w:line="240" w:lineRule="auto"/>
        <w:ind w:firstLine="284"/>
        <w:jc w:val="right"/>
        <w:rPr>
          <w:rFonts w:ascii="Garamond" w:hAnsi="Garamond" w:cs="Times New Roman"/>
          <w:bCs/>
          <w:i/>
          <w:color w:val="000000"/>
          <w:sz w:val="24"/>
          <w:szCs w:val="24"/>
        </w:rPr>
      </w:pPr>
      <w:r>
        <w:rPr>
          <w:rFonts w:ascii="Garamond" w:hAnsi="Garamond" w:cs="Times New Roman"/>
          <w:bCs/>
          <w:i/>
          <w:color w:val="000000"/>
          <w:sz w:val="24"/>
          <w:szCs w:val="24"/>
        </w:rPr>
        <w:t>( i përditësuar)</w:t>
      </w:r>
    </w:p>
    <w:p w14:paraId="0DBCADED" w14:textId="77777777" w:rsidR="00AA39EB" w:rsidRPr="00533687" w:rsidRDefault="00AA39EB" w:rsidP="00AA39EB">
      <w:pPr>
        <w:autoSpaceDE w:val="0"/>
        <w:autoSpaceDN w:val="0"/>
        <w:adjustRightInd w:val="0"/>
        <w:spacing w:after="0" w:line="240" w:lineRule="auto"/>
        <w:ind w:firstLine="284"/>
        <w:rPr>
          <w:rFonts w:ascii="Garamond" w:hAnsi="Garamond" w:cs="Times New Roman"/>
          <w:bCs/>
          <w:i/>
          <w:color w:val="000000"/>
          <w:sz w:val="24"/>
          <w:szCs w:val="24"/>
        </w:rPr>
      </w:pPr>
    </w:p>
    <w:p w14:paraId="1A69154C" w14:textId="273CEB59" w:rsidR="00AA39EB" w:rsidRPr="007D5C10" w:rsidRDefault="00AA39EB" w:rsidP="00AA39EB">
      <w:pPr>
        <w:autoSpaceDE w:val="0"/>
        <w:autoSpaceDN w:val="0"/>
        <w:adjustRightInd w:val="0"/>
        <w:spacing w:after="0" w:line="240" w:lineRule="auto"/>
        <w:ind w:firstLine="284"/>
        <w:jc w:val="both"/>
        <w:rPr>
          <w:rFonts w:ascii="Garamond" w:hAnsi="Garamond" w:cs="Times New Roman"/>
          <w:bCs/>
          <w:color w:val="000000"/>
          <w:sz w:val="24"/>
          <w:szCs w:val="24"/>
        </w:rPr>
      </w:pPr>
      <w:r w:rsidRPr="007D5C10">
        <w:rPr>
          <w:rFonts w:ascii="Garamond" w:hAnsi="Garamond" w:cs="Times New Roman"/>
          <w:color w:val="000000"/>
          <w:sz w:val="24"/>
          <w:szCs w:val="24"/>
        </w:rPr>
        <w:t>Në mbështetje të neneve 16 dhe 37, pika 2</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38, pika 1,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dhe 39, pika 4</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të ligjit nr. 43/2015</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Pr="007D5C10">
        <w:rPr>
          <w:rFonts w:ascii="Garamond" w:hAnsi="Garamond" w:cs="Times New Roman"/>
          <w:iCs/>
          <w:color w:val="000000"/>
          <w:sz w:val="24"/>
          <w:szCs w:val="24"/>
        </w:rPr>
        <w:t>Për sektorin e energjisë elektrike</w:t>
      </w:r>
      <w:r w:rsidRPr="007D5C10">
        <w:rPr>
          <w:rFonts w:ascii="Garamond" w:hAnsi="Garamond" w:cs="Times New Roman"/>
          <w:color w:val="000000"/>
          <w:sz w:val="24"/>
          <w:szCs w:val="24"/>
        </w:rPr>
        <w:t>”</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007D5C10" w:rsidRPr="007D5C10">
        <w:rPr>
          <w:rFonts w:ascii="Garamond" w:hAnsi="Garamond" w:cs="Times New Roman"/>
          <w:color w:val="000000"/>
          <w:sz w:val="24"/>
          <w:szCs w:val="24"/>
        </w:rPr>
        <w:t>të</w:t>
      </w:r>
      <w:r w:rsidRPr="007D5C10">
        <w:rPr>
          <w:rFonts w:ascii="Garamond" w:hAnsi="Garamond" w:cs="Times New Roman"/>
          <w:color w:val="000000"/>
          <w:sz w:val="24"/>
          <w:szCs w:val="24"/>
        </w:rPr>
        <w:t xml:space="preserve"> ndryshuar; </w:t>
      </w:r>
      <w:r w:rsidR="007D5C10" w:rsidRPr="007D5C10">
        <w:rPr>
          <w:rFonts w:ascii="Garamond" w:hAnsi="Garamond" w:cs="Times New Roman"/>
          <w:color w:val="000000"/>
          <w:sz w:val="24"/>
          <w:szCs w:val="24"/>
        </w:rPr>
        <w:t xml:space="preserve">të </w:t>
      </w:r>
      <w:r w:rsidRPr="007D5C10">
        <w:rPr>
          <w:rFonts w:ascii="Garamond" w:hAnsi="Garamond" w:cs="Times New Roman"/>
          <w:color w:val="000000"/>
          <w:sz w:val="24"/>
          <w:szCs w:val="24"/>
        </w:rPr>
        <w:t xml:space="preserve">neneve 4, pika 1,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5, pika 1</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007D5C10" w:rsidRPr="007D5C10">
        <w:rPr>
          <w:rFonts w:ascii="Garamond" w:hAnsi="Garamond" w:cs="Times New Roman"/>
          <w:color w:val="000000"/>
          <w:sz w:val="24"/>
          <w:szCs w:val="24"/>
        </w:rPr>
        <w:t>germa</w:t>
      </w:r>
      <w:r w:rsidRPr="007D5C10">
        <w:rPr>
          <w:rFonts w:ascii="Garamond" w:hAnsi="Garamond" w:cs="Times New Roman"/>
          <w:color w:val="000000"/>
          <w:sz w:val="24"/>
          <w:szCs w:val="24"/>
        </w:rPr>
        <w:t xml:space="preserve"> “a”, 13 dhe 14, pika 9</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të </w:t>
      </w:r>
      <w:r w:rsidR="007D5C10">
        <w:rPr>
          <w:rFonts w:ascii="Garamond" w:hAnsi="Garamond" w:cs="Times New Roman"/>
          <w:color w:val="000000"/>
          <w:sz w:val="24"/>
          <w:szCs w:val="24"/>
        </w:rPr>
        <w:t>“</w:t>
      </w:r>
      <w:r w:rsidRPr="007D5C10">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7D5C10">
        <w:rPr>
          <w:rFonts w:ascii="Garamond" w:hAnsi="Garamond" w:cs="Times New Roman"/>
          <w:iCs/>
          <w:color w:val="000000"/>
          <w:sz w:val="24"/>
          <w:szCs w:val="24"/>
        </w:rPr>
        <w:t>”</w:t>
      </w:r>
      <w:r w:rsidRPr="007D5C10">
        <w:rPr>
          <w:rFonts w:ascii="Garamond" w:hAnsi="Garamond" w:cs="Times New Roman"/>
          <w:color w:val="000000"/>
          <w:sz w:val="24"/>
          <w:szCs w:val="24"/>
        </w:rPr>
        <w:t xml:space="preserve">, të miratuar me vendimin e </w:t>
      </w:r>
      <w:r w:rsidR="007D5C10" w:rsidRPr="007D5C10">
        <w:rPr>
          <w:rFonts w:ascii="Garamond" w:hAnsi="Garamond" w:cs="Times New Roman"/>
          <w:color w:val="000000"/>
          <w:sz w:val="24"/>
          <w:szCs w:val="24"/>
        </w:rPr>
        <w:t xml:space="preserve">Bordit </w:t>
      </w:r>
      <w:r w:rsidRPr="007D5C10">
        <w:rPr>
          <w:rFonts w:ascii="Garamond" w:hAnsi="Garamond" w:cs="Times New Roman"/>
          <w:color w:val="000000"/>
          <w:sz w:val="24"/>
          <w:szCs w:val="24"/>
        </w:rPr>
        <w:t xml:space="preserve">të Entit Rregullator të Energjisë (ERE) nr. 109, datë 29.6.2016, </w:t>
      </w:r>
      <w:r w:rsidR="007D5C10" w:rsidRPr="007D5C10">
        <w:rPr>
          <w:rFonts w:ascii="Garamond" w:hAnsi="Garamond" w:cs="Times New Roman"/>
          <w:color w:val="000000"/>
          <w:sz w:val="24"/>
          <w:szCs w:val="24"/>
        </w:rPr>
        <w:t>të</w:t>
      </w:r>
      <w:r w:rsidRPr="007D5C10">
        <w:rPr>
          <w:rFonts w:ascii="Garamond" w:hAnsi="Garamond" w:cs="Times New Roman"/>
          <w:color w:val="000000"/>
          <w:sz w:val="24"/>
          <w:szCs w:val="24"/>
        </w:rPr>
        <w:t xml:space="preserve"> ndryshuar; si dhe</w:t>
      </w:r>
      <w:r w:rsidR="007D5C10" w:rsidRPr="007D5C10">
        <w:rPr>
          <w:rFonts w:ascii="Garamond" w:hAnsi="Garamond" w:cs="Times New Roman"/>
          <w:color w:val="000000"/>
          <w:sz w:val="24"/>
          <w:szCs w:val="24"/>
        </w:rPr>
        <w:t xml:space="preserve"> të</w:t>
      </w:r>
      <w:r w:rsidRPr="007D5C10">
        <w:rPr>
          <w:rFonts w:ascii="Garamond" w:hAnsi="Garamond" w:cs="Times New Roman"/>
          <w:color w:val="000000"/>
          <w:sz w:val="24"/>
          <w:szCs w:val="24"/>
        </w:rPr>
        <w:t xml:space="preserve"> nenit 15</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të </w:t>
      </w:r>
      <w:r w:rsidR="007D5C10">
        <w:rPr>
          <w:rFonts w:ascii="Garamond" w:hAnsi="Garamond" w:cs="Times New Roman"/>
          <w:color w:val="000000"/>
          <w:sz w:val="24"/>
          <w:szCs w:val="24"/>
        </w:rPr>
        <w:t>“</w:t>
      </w:r>
      <w:r w:rsidRPr="007D5C10">
        <w:rPr>
          <w:rFonts w:ascii="Garamond" w:hAnsi="Garamond" w:cs="Times New Roman"/>
          <w:iCs/>
          <w:color w:val="000000"/>
          <w:sz w:val="24"/>
          <w:szCs w:val="24"/>
        </w:rPr>
        <w:t>Rregullores për organizimin, funksionimin dhe procedurat e ERE-s</w:t>
      </w:r>
      <w:r w:rsidR="007D5C10">
        <w:rPr>
          <w:rFonts w:ascii="Garamond" w:hAnsi="Garamond" w:cs="Times New Roman"/>
          <w:iCs/>
          <w:color w:val="000000"/>
          <w:sz w:val="24"/>
          <w:szCs w:val="24"/>
        </w:rPr>
        <w:t>”</w:t>
      </w:r>
      <w:r w:rsidRPr="007D5C10">
        <w:rPr>
          <w:rFonts w:ascii="Garamond" w:hAnsi="Garamond" w:cs="Times New Roman"/>
          <w:color w:val="000000"/>
          <w:sz w:val="24"/>
          <w:szCs w:val="24"/>
        </w:rPr>
        <w:t xml:space="preserve">, miratuar me vendimin e </w:t>
      </w:r>
      <w:r w:rsidR="007D5C10" w:rsidRPr="007D5C10">
        <w:rPr>
          <w:rFonts w:ascii="Garamond" w:hAnsi="Garamond" w:cs="Times New Roman"/>
          <w:color w:val="000000"/>
          <w:sz w:val="24"/>
          <w:szCs w:val="24"/>
        </w:rPr>
        <w:t xml:space="preserve">Bordit </w:t>
      </w:r>
      <w:r w:rsidRPr="007D5C10">
        <w:rPr>
          <w:rFonts w:ascii="Garamond" w:hAnsi="Garamond" w:cs="Times New Roman"/>
          <w:color w:val="000000"/>
          <w:sz w:val="24"/>
          <w:szCs w:val="24"/>
        </w:rPr>
        <w:t>të ERE-s nr. 96, datë 17.6.2016; Bordi i ERE-s, në mbledhjen e tij të datës 7.12.2023, mbasi shqyrtoi relacionin me nr. 2042/17 prot., datë 5.12.2023, të Drejtorisë së Licencimit, Autorizimeve dhe Mbikëqyrjes</w:t>
      </w:r>
      <w:r w:rsidR="007D5C10">
        <w:rPr>
          <w:rFonts w:ascii="Garamond" w:hAnsi="Garamond" w:cs="Times New Roman"/>
          <w:color w:val="000000"/>
          <w:sz w:val="24"/>
          <w:szCs w:val="24"/>
        </w:rPr>
        <w:t>,</w:t>
      </w:r>
      <w:r w:rsidRPr="007D5C10">
        <w:rPr>
          <w:rFonts w:ascii="Garamond" w:hAnsi="Garamond" w:cs="Times New Roman"/>
          <w:color w:val="000000"/>
          <w:sz w:val="24"/>
          <w:szCs w:val="24"/>
        </w:rPr>
        <w:t xml:space="preserve"> “</w:t>
      </w:r>
      <w:r w:rsidRPr="007D5C10">
        <w:rPr>
          <w:rFonts w:ascii="Garamond" w:hAnsi="Garamond" w:cs="Times New Roman"/>
          <w:iCs/>
          <w:color w:val="000000"/>
          <w:sz w:val="24"/>
          <w:szCs w:val="24"/>
        </w:rPr>
        <w:t xml:space="preserve">Mbi licencimin e shoqërisë </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Gealb Energy</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 sh.p.k., në veprimtarinë e prodhimit të energjisë elektrike, nga hidrocentralet </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Guri i </w:t>
      </w:r>
      <w:r w:rsidR="007D5C10" w:rsidRPr="007D5C10">
        <w:rPr>
          <w:rFonts w:ascii="Garamond" w:hAnsi="Garamond" w:cs="Times New Roman"/>
          <w:iCs/>
          <w:color w:val="000000"/>
          <w:sz w:val="24"/>
          <w:szCs w:val="24"/>
        </w:rPr>
        <w:t xml:space="preserve">Bardhë </w:t>
      </w:r>
      <w:r w:rsidRPr="007D5C10">
        <w:rPr>
          <w:rFonts w:ascii="Garamond" w:hAnsi="Garamond" w:cs="Times New Roman"/>
          <w:iCs/>
          <w:color w:val="000000"/>
          <w:sz w:val="24"/>
          <w:szCs w:val="24"/>
        </w:rPr>
        <w:t>1</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 dhe </w:t>
      </w:r>
      <w:r w:rsidR="007D5C10">
        <w:rPr>
          <w:rFonts w:ascii="Garamond" w:hAnsi="Garamond" w:cs="Times New Roman"/>
          <w:iCs/>
          <w:color w:val="000000"/>
          <w:sz w:val="24"/>
          <w:szCs w:val="24"/>
        </w:rPr>
        <w:t>‘</w:t>
      </w:r>
      <w:r w:rsidRPr="007D5C10">
        <w:rPr>
          <w:rFonts w:ascii="Garamond" w:hAnsi="Garamond" w:cs="Times New Roman"/>
          <w:iCs/>
          <w:color w:val="000000"/>
          <w:sz w:val="24"/>
          <w:szCs w:val="24"/>
        </w:rPr>
        <w:t xml:space="preserve">Guri i </w:t>
      </w:r>
      <w:r w:rsidR="007D5C10" w:rsidRPr="007D5C10">
        <w:rPr>
          <w:rFonts w:ascii="Garamond" w:hAnsi="Garamond" w:cs="Times New Roman"/>
          <w:iCs/>
          <w:color w:val="000000"/>
          <w:sz w:val="24"/>
          <w:szCs w:val="24"/>
        </w:rPr>
        <w:t xml:space="preserve">Bardhë </w:t>
      </w:r>
      <w:r w:rsidRPr="007D5C10">
        <w:rPr>
          <w:rFonts w:ascii="Garamond" w:hAnsi="Garamond" w:cs="Times New Roman"/>
          <w:iCs/>
          <w:color w:val="000000"/>
          <w:sz w:val="24"/>
          <w:szCs w:val="24"/>
        </w:rPr>
        <w:t>2</w:t>
      </w:r>
      <w:r w:rsidR="007D5C10">
        <w:rPr>
          <w:rFonts w:ascii="Garamond" w:hAnsi="Garamond" w:cs="Times New Roman"/>
          <w:iCs/>
          <w:color w:val="000000"/>
          <w:sz w:val="24"/>
          <w:szCs w:val="24"/>
        </w:rPr>
        <w:t>’”</w:t>
      </w:r>
      <w:r w:rsidRPr="007D5C10">
        <w:rPr>
          <w:rFonts w:ascii="Garamond" w:hAnsi="Garamond" w:cs="Times New Roman"/>
          <w:color w:val="000000"/>
          <w:sz w:val="24"/>
          <w:szCs w:val="24"/>
        </w:rPr>
        <w:t>,</w:t>
      </w:r>
    </w:p>
    <w:p w14:paraId="4C62C0ED" w14:textId="6810C2C7" w:rsidR="00AA39EB" w:rsidRPr="007D5C10" w:rsidRDefault="007D5C10" w:rsidP="00AA39EB">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k</w:t>
      </w:r>
      <w:r w:rsidR="00AA39EB" w:rsidRPr="007D5C10">
        <w:rPr>
          <w:rFonts w:ascii="Garamond" w:hAnsi="Garamond" w:cs="Times New Roman"/>
          <w:bCs/>
          <w:color w:val="000000"/>
          <w:sz w:val="24"/>
          <w:szCs w:val="24"/>
        </w:rPr>
        <w:t>onstatoi se:</w:t>
      </w:r>
    </w:p>
    <w:p w14:paraId="03902668" w14:textId="765EEEE0" w:rsidR="00AA39EB" w:rsidRPr="00AA39EB" w:rsidRDefault="00AA39EB" w:rsidP="00AA39EB">
      <w:pPr>
        <w:autoSpaceDE w:val="0"/>
        <w:autoSpaceDN w:val="0"/>
        <w:adjustRightInd w:val="0"/>
        <w:spacing w:after="0" w:line="240" w:lineRule="auto"/>
        <w:ind w:firstLine="284"/>
        <w:jc w:val="both"/>
        <w:rPr>
          <w:rFonts w:ascii="Garamond" w:hAnsi="Garamond" w:cs="Times New Roman"/>
          <w:sz w:val="24"/>
          <w:szCs w:val="24"/>
        </w:rPr>
      </w:pPr>
      <w:r w:rsidRPr="00AA39EB">
        <w:rPr>
          <w:rFonts w:ascii="Garamond" w:hAnsi="Garamond" w:cs="Times New Roman"/>
          <w:color w:val="000000"/>
          <w:sz w:val="24"/>
          <w:szCs w:val="24"/>
        </w:rPr>
        <w:t xml:space="preserve">- </w:t>
      </w:r>
      <w:r w:rsidRPr="00AA39EB">
        <w:rPr>
          <w:rFonts w:ascii="Garamond" w:hAnsi="Garamond" w:cs="Times New Roman"/>
          <w:sz w:val="24"/>
          <w:szCs w:val="24"/>
        </w:rPr>
        <w:t xml:space="preserve">Shoqëria “Gealb Energy” sh.p.k., me shkresën e protokolluar në ERE me nr. 2042 prot., datë 17.8.2023, paraqiti aplikimin për pajisjen me licencë për prodhimin e energjisë elektrike nga hidrocentralet “Guri i Bardhë 1” dhe “Guri i Bardhë 2”, me vendndodhje në pellgun ujëmbledhës të përrenjve të Zallit të Dishit dhe të Shehut (degë e lumit Mat), </w:t>
      </w:r>
      <w:r w:rsidR="007D5C10">
        <w:rPr>
          <w:rFonts w:ascii="Garamond" w:hAnsi="Garamond" w:cs="Times New Roman"/>
          <w:sz w:val="24"/>
          <w:szCs w:val="24"/>
        </w:rPr>
        <w:t>f</w:t>
      </w:r>
      <w:r w:rsidRPr="00AA39EB">
        <w:rPr>
          <w:rFonts w:ascii="Garamond" w:hAnsi="Garamond" w:cs="Times New Roman"/>
          <w:sz w:val="24"/>
          <w:szCs w:val="24"/>
        </w:rPr>
        <w:t>shati</w:t>
      </w:r>
      <w:r w:rsidR="007D5C10">
        <w:rPr>
          <w:rFonts w:ascii="Garamond" w:hAnsi="Garamond" w:cs="Times New Roman"/>
          <w:sz w:val="24"/>
          <w:szCs w:val="24"/>
        </w:rPr>
        <w:t xml:space="preserve"> </w:t>
      </w:r>
      <w:r w:rsidRPr="00AA39EB">
        <w:rPr>
          <w:rFonts w:ascii="Garamond" w:hAnsi="Garamond" w:cs="Times New Roman"/>
          <w:sz w:val="24"/>
          <w:szCs w:val="24"/>
        </w:rPr>
        <w:t xml:space="preserve">Guri i Bardhë, Njësia Administrative Xibër, Bashkia Klos, </w:t>
      </w:r>
      <w:r w:rsidR="007D5C10">
        <w:rPr>
          <w:rFonts w:ascii="Garamond" w:hAnsi="Garamond" w:cs="Times New Roman"/>
          <w:sz w:val="24"/>
          <w:szCs w:val="24"/>
        </w:rPr>
        <w:t>q</w:t>
      </w:r>
      <w:r w:rsidRPr="00AA39EB">
        <w:rPr>
          <w:rFonts w:ascii="Garamond" w:hAnsi="Garamond" w:cs="Times New Roman"/>
          <w:sz w:val="24"/>
          <w:szCs w:val="24"/>
        </w:rPr>
        <w:t>arku Dibër, me kapacitet total të instaluar 9300 k</w:t>
      </w:r>
      <w:r w:rsidR="007D5C10">
        <w:rPr>
          <w:rFonts w:ascii="Garamond" w:hAnsi="Garamond" w:cs="Times New Roman"/>
          <w:sz w:val="24"/>
          <w:szCs w:val="24"/>
        </w:rPr>
        <w:t>w</w:t>
      </w:r>
      <w:r w:rsidRPr="00AA39EB">
        <w:rPr>
          <w:rFonts w:ascii="Garamond" w:hAnsi="Garamond" w:cs="Times New Roman"/>
          <w:sz w:val="24"/>
          <w:szCs w:val="24"/>
        </w:rPr>
        <w:t xml:space="preserve">. Bordi i ERE-s, me vendimin nr. 256, datë </w:t>
      </w:r>
      <w:r w:rsidRPr="00AA39EB">
        <w:rPr>
          <w:rFonts w:ascii="Garamond" w:hAnsi="Garamond" w:cs="Times New Roman"/>
          <w:color w:val="000000"/>
          <w:sz w:val="24"/>
          <w:szCs w:val="24"/>
        </w:rPr>
        <w:t>23.8.2023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vendosi të fillojë procedurën për licencimin e shoqërisë “Gealb Energy” sh.p.k., në veprimtarinë e prodhimit të energjisë elektrike, nga hidrocentralet “Guri i Bardhë 1” dhe “Guri i Bardhë 2”. </w:t>
      </w:r>
    </w:p>
    <w:p w14:paraId="4C1E233F" w14:textId="0E5EB034"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ERE botoi njoftimin në median e shkruar për fillimin e kësaj procedure (në datat 24.8.2023 dhe 25.8.2023) dhe në përfundim të afatit të pritjes së komenteve apo objeksioneve nga të tretët (data 22.9.2023), nuk rezultoi të ketë të tilla. Njoftimi për fillimin e procedurës u botua edhe në faqen zyrtare të internetit të ERE-s.</w:t>
      </w:r>
    </w:p>
    <w:p w14:paraId="3B3AFBF5" w14:textId="1979C01F"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Me shkresat me nr. 2042/3 prot., datë 30.8.2023 dhe me </w:t>
      </w:r>
      <w:r w:rsidRPr="007D5C10">
        <w:rPr>
          <w:rFonts w:ascii="Garamond" w:hAnsi="Garamond" w:cs="Times New Roman"/>
          <w:i/>
          <w:color w:val="000000"/>
          <w:sz w:val="24"/>
          <w:szCs w:val="24"/>
        </w:rPr>
        <w:t>email</w:t>
      </w:r>
      <w:r w:rsidR="007D5C10">
        <w:rPr>
          <w:rFonts w:ascii="Garamond" w:hAnsi="Garamond" w:cs="Times New Roman"/>
          <w:color w:val="000000"/>
          <w:sz w:val="24"/>
          <w:szCs w:val="24"/>
        </w:rPr>
        <w:t>-</w:t>
      </w:r>
      <w:r w:rsidRPr="00AA39EB">
        <w:rPr>
          <w:rFonts w:ascii="Garamond" w:hAnsi="Garamond" w:cs="Times New Roman"/>
          <w:color w:val="000000"/>
          <w:sz w:val="24"/>
          <w:szCs w:val="24"/>
        </w:rPr>
        <w:t>in me nr. 2042/5 prot., datë 19.9.2023, nr. 2042/8 prot., datë 13.10.2023, ERE i është drejtuar shoqërisë duke i njoftuar fillimin e procedurës dhe duke i kërkuar dokumentacionin e konstatuar të plotësuar pjesërisht.</w:t>
      </w:r>
    </w:p>
    <w:p w14:paraId="60E0B833" w14:textId="0EF6C43B"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Shoqëria</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me shkresat e protokolluara në ERE me nr. 2042/4 prot., datë 15.9.2023, nr. 2042/6 prot</w:t>
      </w:r>
      <w:r w:rsidR="007D5C10">
        <w:rPr>
          <w:rFonts w:ascii="Garamond" w:hAnsi="Garamond" w:cs="Times New Roman"/>
          <w:color w:val="000000"/>
          <w:sz w:val="24"/>
          <w:szCs w:val="24"/>
        </w:rPr>
        <w:t>.</w:t>
      </w:r>
      <w:r w:rsidRPr="00AA39EB">
        <w:rPr>
          <w:rFonts w:ascii="Garamond" w:hAnsi="Garamond" w:cs="Times New Roman"/>
          <w:color w:val="000000"/>
          <w:sz w:val="24"/>
          <w:szCs w:val="24"/>
        </w:rPr>
        <w:t>, datë 21.9.2023, nr. 2042/7 prot., datë 2.10.2023, nr. 2042/9 prot., datë 16.10.2023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ka depozituar dokumentacion plotësues nga i cili rezultonte ende i pa plotësuar vërtetimi që nuk ka detyrime ndaj organeve të sigurimeve shoqërore dhe shëndetësore.</w:t>
      </w:r>
    </w:p>
    <w:p w14:paraId="28076055" w14:textId="4EF592E1"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Meqenëse ky vërtetim është një dokument thelbësor për të vijuar me licencimin e shoqërisë, si i tillë</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w:t>
      </w:r>
      <w:r w:rsidR="007D5C10" w:rsidRPr="00AA39EB">
        <w:rPr>
          <w:rFonts w:ascii="Garamond" w:hAnsi="Garamond" w:cs="Times New Roman"/>
          <w:color w:val="000000"/>
          <w:sz w:val="24"/>
          <w:szCs w:val="24"/>
        </w:rPr>
        <w:t xml:space="preserve">Bordi </w:t>
      </w:r>
      <w:r w:rsidRPr="00AA39EB">
        <w:rPr>
          <w:rFonts w:ascii="Garamond" w:hAnsi="Garamond" w:cs="Times New Roman"/>
          <w:color w:val="000000"/>
          <w:sz w:val="24"/>
          <w:szCs w:val="24"/>
        </w:rPr>
        <w:t>i ERE-s, me vendimin nr. 304, datë 23.10.2023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vendosi të zgjasë deri në 30 (tridhjetë) ditë afatin e vendimmarrjes mbi licencimin e shoqërisë “Gealb Energy” sh.p.k. në veprimtarinë e prodhimit të energjisë elektrike, nga hidrocentralet “Guri i Bardhë 1” dhe “Guri i Bardhë 2”, dhe brenda 20 (njëzetë) ditëve shoqëria “Gealb Energy” sh.p.k. duhet të depozitojë vërtetimin që ka shlyer të gjitha detyrimet ndaj </w:t>
      </w:r>
      <w:r w:rsidR="007D5C10" w:rsidRPr="00AA39EB">
        <w:rPr>
          <w:rFonts w:ascii="Garamond" w:hAnsi="Garamond" w:cs="Times New Roman"/>
          <w:color w:val="000000"/>
          <w:sz w:val="24"/>
          <w:szCs w:val="24"/>
        </w:rPr>
        <w:t>organeve</w:t>
      </w:r>
      <w:r w:rsidRPr="00AA39EB">
        <w:rPr>
          <w:rFonts w:ascii="Garamond" w:hAnsi="Garamond" w:cs="Times New Roman"/>
          <w:color w:val="000000"/>
          <w:sz w:val="24"/>
          <w:szCs w:val="24"/>
        </w:rPr>
        <w:t xml:space="preserve"> të sigurimeve shoqërore e shëndetësore.</w:t>
      </w:r>
    </w:p>
    <w:p w14:paraId="3E07749F" w14:textId="31172312"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Me shkresën me nr. 2042/11 prot., datë 26.10.2023, ERE ka njoftuar shoqërinë mbi vendimmarrjen e </w:t>
      </w:r>
      <w:r w:rsidR="007D5C10" w:rsidRPr="00AA39EB">
        <w:rPr>
          <w:rFonts w:ascii="Garamond" w:hAnsi="Garamond" w:cs="Times New Roman"/>
          <w:color w:val="000000"/>
          <w:sz w:val="24"/>
          <w:szCs w:val="24"/>
        </w:rPr>
        <w:t xml:space="preserve">Bordit </w:t>
      </w:r>
      <w:r w:rsidRPr="00AA39EB">
        <w:rPr>
          <w:rFonts w:ascii="Garamond" w:hAnsi="Garamond" w:cs="Times New Roman"/>
          <w:color w:val="000000"/>
          <w:sz w:val="24"/>
          <w:szCs w:val="24"/>
        </w:rPr>
        <w:t>për zgjatjen e afatit dhe mbi dokumentacionin e mbetur ende pa plotësuar.</w:t>
      </w:r>
    </w:p>
    <w:p w14:paraId="3F11C623" w14:textId="3EC3DFED"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lastRenderedPageBreak/>
        <w:t>- Shoqëria</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me shkresën e protokolluar në ERE me nr. 2042/13 prot., datë 20.11.2023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ka depozituar dokumentacionin</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por nga shqyrtimi nuk rezultoi dokumentacioni i kërkuar, për këtë arsye ERE iu drejtua shoqërisë me shkresën me nr. 2042/15 prot., datë 24.11.2023</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të depozitojë dokumentacionin e kërkuar.</w:t>
      </w:r>
    </w:p>
    <w:p w14:paraId="27EB0668" w14:textId="0BE19963"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Për sa mbetur pa plotësuar me shkresën e protokolluar në ERE me nr. 2042/16 prot., datë 24.11.2023, shoqëria ka depozituar dokumentacionin plotësues të aplikimit.</w:t>
      </w:r>
    </w:p>
    <w:p w14:paraId="7E618783" w14:textId="1A2F2E60"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Shoqëria ka kryer pagesën e aplikimit në zbatim të përcaktimeve të </w:t>
      </w:r>
      <w:r w:rsidR="007D5C10">
        <w:rPr>
          <w:rFonts w:ascii="Garamond" w:hAnsi="Garamond" w:cs="Times New Roman"/>
          <w:color w:val="000000"/>
          <w:sz w:val="24"/>
          <w:szCs w:val="24"/>
        </w:rPr>
        <w:t>a</w:t>
      </w:r>
      <w:r w:rsidRPr="00AA39EB">
        <w:rPr>
          <w:rFonts w:ascii="Garamond" w:hAnsi="Garamond" w:cs="Times New Roman"/>
          <w:color w:val="000000"/>
          <w:sz w:val="24"/>
          <w:szCs w:val="24"/>
        </w:rPr>
        <w:t xml:space="preserve">neksit A të </w:t>
      </w:r>
      <w:r w:rsidR="007D5C10">
        <w:rPr>
          <w:rFonts w:ascii="Garamond" w:hAnsi="Garamond" w:cs="Times New Roman"/>
          <w:color w:val="000000"/>
          <w:sz w:val="24"/>
          <w:szCs w:val="24"/>
        </w:rPr>
        <w:t>r</w:t>
      </w:r>
      <w:r w:rsidRPr="00AA39EB">
        <w:rPr>
          <w:rFonts w:ascii="Garamond" w:hAnsi="Garamond" w:cs="Times New Roman"/>
          <w:color w:val="000000"/>
          <w:sz w:val="24"/>
          <w:szCs w:val="24"/>
        </w:rPr>
        <w:t>regullores.</w:t>
      </w:r>
    </w:p>
    <w:p w14:paraId="7E98B495" w14:textId="006062A2"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Nga aplikimi rezulton se shoqëria “Gealb Energy” sh.p.k. ka plotësuar dokumentacionin sipas përcaktimeve të nenit 9, pikës 1.1</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dhe “c”; pikës 1.2,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“c” dhe “d”; pikës 1.3,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dhe “c”; pikës 2.1, </w:t>
      </w:r>
      <w:r w:rsidR="007D5C10" w:rsidRPr="00AA39EB">
        <w:rPr>
          <w:rFonts w:ascii="Garamond" w:hAnsi="Garamond" w:cs="Times New Roman"/>
          <w:color w:val="000000"/>
          <w:sz w:val="24"/>
          <w:szCs w:val="24"/>
        </w:rPr>
        <w:t>germat</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“a”, “b”, “c”, “d” dhe “e”.</w:t>
      </w:r>
    </w:p>
    <w:p w14:paraId="4354AC0B" w14:textId="0D000EB5"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 Shoqëria ka depozituar në ERE </w:t>
      </w:r>
      <w:r w:rsidR="007D5C10">
        <w:rPr>
          <w:rFonts w:ascii="Garamond" w:hAnsi="Garamond" w:cs="Times New Roman"/>
          <w:iCs/>
          <w:color w:val="000000"/>
          <w:sz w:val="24"/>
          <w:szCs w:val="24"/>
        </w:rPr>
        <w:t>d</w:t>
      </w:r>
      <w:r w:rsidRPr="007D5C10">
        <w:rPr>
          <w:rFonts w:ascii="Garamond" w:hAnsi="Garamond" w:cs="Times New Roman"/>
          <w:iCs/>
          <w:color w:val="000000"/>
          <w:sz w:val="24"/>
          <w:szCs w:val="24"/>
        </w:rPr>
        <w:t>eklaratë</w:t>
      </w:r>
      <w:r w:rsidR="007D5C10">
        <w:rPr>
          <w:rFonts w:ascii="Garamond" w:hAnsi="Garamond" w:cs="Times New Roman"/>
          <w:iCs/>
          <w:color w:val="000000"/>
          <w:sz w:val="24"/>
          <w:szCs w:val="24"/>
        </w:rPr>
        <w:t>n</w:t>
      </w:r>
      <w:r w:rsidRPr="007D5C10">
        <w:rPr>
          <w:rFonts w:ascii="Garamond" w:hAnsi="Garamond" w:cs="Times New Roman"/>
          <w:iCs/>
          <w:color w:val="000000"/>
          <w:sz w:val="24"/>
          <w:szCs w:val="24"/>
        </w:rPr>
        <w:t xml:space="preserve"> </w:t>
      </w:r>
      <w:r w:rsidR="007D5C10">
        <w:rPr>
          <w:rFonts w:ascii="Garamond" w:hAnsi="Garamond" w:cs="Times New Roman"/>
          <w:iCs/>
          <w:color w:val="000000"/>
          <w:sz w:val="24"/>
          <w:szCs w:val="24"/>
        </w:rPr>
        <w:t>m</w:t>
      </w:r>
      <w:r w:rsidRPr="007D5C10">
        <w:rPr>
          <w:rFonts w:ascii="Garamond" w:hAnsi="Garamond" w:cs="Times New Roman"/>
          <w:iCs/>
          <w:color w:val="000000"/>
          <w:sz w:val="24"/>
          <w:szCs w:val="24"/>
        </w:rPr>
        <w:t>jedisore</w:t>
      </w:r>
      <w:r w:rsidRPr="00AA39EB">
        <w:rPr>
          <w:rFonts w:ascii="Garamond" w:hAnsi="Garamond" w:cs="Times New Roman"/>
          <w:color w:val="000000"/>
          <w:sz w:val="24"/>
          <w:szCs w:val="24"/>
        </w:rPr>
        <w:t xml:space="preserve">, e cila aktualisht është e vlefshme por duke </w:t>
      </w:r>
      <w:r w:rsidR="007D5C10" w:rsidRPr="00AA39EB">
        <w:rPr>
          <w:rFonts w:ascii="Garamond" w:hAnsi="Garamond" w:cs="Times New Roman"/>
          <w:color w:val="000000"/>
          <w:sz w:val="24"/>
          <w:szCs w:val="24"/>
        </w:rPr>
        <w:t>qenë</w:t>
      </w:r>
      <w:r w:rsidRPr="00AA39EB">
        <w:rPr>
          <w:rFonts w:ascii="Garamond" w:hAnsi="Garamond" w:cs="Times New Roman"/>
          <w:color w:val="000000"/>
          <w:sz w:val="24"/>
          <w:szCs w:val="24"/>
        </w:rPr>
        <w:t xml:space="preserve"> se shoqëria nuk ka filluar ende punimet, vlerësohet që t’i lihet kusht shoqërisë të informojë ERE-n në lidhje me fillimin e punimeve të ndërtimit të hidrocentraleve brenda datës 3.2.2024</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i cili është dhe afati fundit i vlefshmërisë së VNM-së, në rast se nuk ka filluar ende punimet deri më datë 3.2.2024</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duhet të depozitojë VNM</w:t>
      </w:r>
      <w:r w:rsidR="007D5C10" w:rsidRPr="00AA39EB">
        <w:rPr>
          <w:rFonts w:ascii="Garamond" w:hAnsi="Garamond" w:cs="Times New Roman"/>
          <w:color w:val="000000"/>
          <w:sz w:val="24"/>
          <w:szCs w:val="24"/>
        </w:rPr>
        <w:t>-</w:t>
      </w:r>
      <w:r w:rsidR="007D5C10">
        <w:rPr>
          <w:rFonts w:ascii="Garamond" w:hAnsi="Garamond" w:cs="Times New Roman"/>
          <w:color w:val="000000"/>
          <w:sz w:val="24"/>
          <w:szCs w:val="24"/>
        </w:rPr>
        <w:t>n</w:t>
      </w:r>
      <w:r w:rsidR="007D5C10" w:rsidRPr="00AA39EB">
        <w:rPr>
          <w:rFonts w:ascii="Garamond" w:hAnsi="Garamond" w:cs="Times New Roman"/>
          <w:color w:val="000000"/>
          <w:sz w:val="24"/>
          <w:szCs w:val="24"/>
        </w:rPr>
        <w:t>ë</w:t>
      </w:r>
      <w:r w:rsidRPr="00AA39EB">
        <w:rPr>
          <w:rFonts w:ascii="Garamond" w:hAnsi="Garamond" w:cs="Times New Roman"/>
          <w:color w:val="000000"/>
          <w:sz w:val="24"/>
          <w:szCs w:val="24"/>
        </w:rPr>
        <w:t xml:space="preserve"> e rinovuar brenda kësaj date.</w:t>
      </w:r>
    </w:p>
    <w:p w14:paraId="2258FBD6" w14:textId="586FBD7A"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ERE, në zbatim të nenit 38, të ligjit nr. 43/2015</w:t>
      </w:r>
      <w:r w:rsidR="007D5C10">
        <w:rPr>
          <w:rFonts w:ascii="Garamond" w:hAnsi="Garamond" w:cs="Times New Roman"/>
          <w:color w:val="000000"/>
          <w:sz w:val="24"/>
          <w:szCs w:val="24"/>
        </w:rPr>
        <w:t>,</w:t>
      </w:r>
      <w:r w:rsidRPr="00AA39EB">
        <w:rPr>
          <w:rFonts w:ascii="Garamond" w:hAnsi="Garamond" w:cs="Times New Roman"/>
          <w:color w:val="000000"/>
          <w:sz w:val="24"/>
          <w:szCs w:val="24"/>
        </w:rPr>
        <w:t xml:space="preserve"> “Për sektorin e energjisë elektrike”, </w:t>
      </w:r>
      <w:r w:rsidR="007D5C10">
        <w:rPr>
          <w:rFonts w:ascii="Garamond" w:hAnsi="Garamond" w:cs="Times New Roman"/>
          <w:color w:val="000000"/>
          <w:sz w:val="24"/>
          <w:szCs w:val="24"/>
        </w:rPr>
        <w:t>t</w:t>
      </w:r>
      <w:r w:rsidR="007D5C10" w:rsidRPr="00AA39EB">
        <w:rPr>
          <w:rFonts w:ascii="Garamond" w:hAnsi="Garamond" w:cs="Times New Roman"/>
          <w:color w:val="000000"/>
          <w:sz w:val="24"/>
          <w:szCs w:val="24"/>
        </w:rPr>
        <w:t>ë</w:t>
      </w:r>
      <w:r w:rsidRPr="00AA39EB">
        <w:rPr>
          <w:rFonts w:ascii="Garamond" w:hAnsi="Garamond" w:cs="Times New Roman"/>
          <w:color w:val="000000"/>
          <w:sz w:val="24"/>
          <w:szCs w:val="24"/>
        </w:rPr>
        <w:t xml:space="preserve"> ndryshuar, dhe nenit 5, të “Rregullores për procedurat dhe afatet për dhënien, modifikimin, transferimin, rinovimin, njohjen dhe heqjen e licencave në sektorin e energjisë elektrike”</w:t>
      </w:r>
      <w:r w:rsidR="00F84A59">
        <w:rPr>
          <w:rFonts w:ascii="Garamond" w:hAnsi="Garamond" w:cs="Times New Roman"/>
          <w:color w:val="000000"/>
          <w:sz w:val="24"/>
          <w:szCs w:val="24"/>
        </w:rPr>
        <w:t>,</w:t>
      </w:r>
      <w:r w:rsidRPr="00AA39EB">
        <w:rPr>
          <w:rFonts w:ascii="Garamond" w:hAnsi="Garamond" w:cs="Times New Roman"/>
          <w:color w:val="000000"/>
          <w:sz w:val="24"/>
          <w:szCs w:val="24"/>
        </w:rPr>
        <w:t xml:space="preserve"> të ndryshuar, nuk mund të japë një licencë me afat më të madh se 30 vjet për veprimtarinë e prodhimit të energjisë elektrike.</w:t>
      </w:r>
      <w:r w:rsidRPr="00AA39EB">
        <w:rPr>
          <w:rFonts w:ascii="Garamond" w:hAnsi="Garamond" w:cs="Times New Roman"/>
          <w:color w:val="FF0000"/>
          <w:sz w:val="24"/>
          <w:szCs w:val="24"/>
        </w:rPr>
        <w:t xml:space="preserve"> </w:t>
      </w:r>
      <w:r w:rsidRPr="00AA39EB">
        <w:rPr>
          <w:rFonts w:ascii="Garamond" w:hAnsi="Garamond" w:cs="Times New Roman"/>
          <w:color w:val="000000"/>
          <w:sz w:val="24"/>
          <w:szCs w:val="24"/>
        </w:rPr>
        <w:t xml:space="preserve">Sa konstatohet nga llogaritja e afateve, duke filluar nga data e nënshkrimit të </w:t>
      </w:r>
      <w:r w:rsidR="00F84A59" w:rsidRPr="00AA39EB">
        <w:rPr>
          <w:rFonts w:ascii="Garamond" w:hAnsi="Garamond" w:cs="Times New Roman"/>
          <w:color w:val="000000"/>
          <w:sz w:val="24"/>
          <w:szCs w:val="24"/>
        </w:rPr>
        <w:t>kontratës së koncesionit</w:t>
      </w:r>
      <w:r w:rsidRPr="00AA39EB">
        <w:rPr>
          <w:rFonts w:ascii="Garamond" w:hAnsi="Garamond" w:cs="Times New Roman"/>
          <w:color w:val="000000"/>
          <w:sz w:val="24"/>
          <w:szCs w:val="24"/>
        </w:rPr>
        <w:t>, rezulton se shoqëria ka humbur afërsisht 6 vjet e 7 muaj nga periudha koncesionare dhe periudha e mbetur për licencim është 28 vjet e 5 muaj</w:t>
      </w:r>
      <w:r w:rsidRPr="00AA39EB">
        <w:rPr>
          <w:rFonts w:ascii="Garamond" w:hAnsi="Garamond" w:cs="Times New Roman"/>
          <w:color w:val="FF0000"/>
          <w:sz w:val="24"/>
          <w:szCs w:val="24"/>
        </w:rPr>
        <w:t xml:space="preserve">. </w:t>
      </w:r>
      <w:r w:rsidRPr="00AA39EB">
        <w:rPr>
          <w:rFonts w:ascii="Garamond" w:hAnsi="Garamond" w:cs="Times New Roman"/>
          <w:color w:val="000000"/>
          <w:sz w:val="24"/>
          <w:szCs w:val="24"/>
        </w:rPr>
        <w:t>Ndaj shoqëria vlerësohet të licencohet për afatin e mbetur.</w:t>
      </w:r>
    </w:p>
    <w:p w14:paraId="124945E6" w14:textId="157E04DA" w:rsid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Për gjithë sa më sipër, </w:t>
      </w:r>
      <w:r w:rsidR="00F84A59" w:rsidRPr="00AA39EB">
        <w:rPr>
          <w:rFonts w:ascii="Garamond" w:hAnsi="Garamond" w:cs="Times New Roman"/>
          <w:color w:val="000000"/>
          <w:sz w:val="24"/>
          <w:szCs w:val="24"/>
        </w:rPr>
        <w:t xml:space="preserve">Bordi </w:t>
      </w:r>
      <w:r w:rsidRPr="00AA39EB">
        <w:rPr>
          <w:rFonts w:ascii="Garamond" w:hAnsi="Garamond" w:cs="Times New Roman"/>
          <w:color w:val="000000"/>
          <w:sz w:val="24"/>
          <w:szCs w:val="24"/>
        </w:rPr>
        <w:t>i ERE-s</w:t>
      </w:r>
    </w:p>
    <w:p w14:paraId="10D1581E" w14:textId="77777777" w:rsidR="00533687" w:rsidRPr="00AA39EB" w:rsidRDefault="00533687" w:rsidP="00AA39EB">
      <w:pPr>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bookmarkEnd w:id="0"/>
    </w:p>
    <w:p w14:paraId="200B56C8" w14:textId="5D74C01B" w:rsidR="00AA39EB" w:rsidRPr="00AA39EB" w:rsidRDefault="00AA39EB" w:rsidP="00AA39EB">
      <w:pPr>
        <w:autoSpaceDE w:val="0"/>
        <w:autoSpaceDN w:val="0"/>
        <w:adjustRightInd w:val="0"/>
        <w:spacing w:after="0" w:line="240" w:lineRule="auto"/>
        <w:ind w:firstLine="284"/>
        <w:jc w:val="center"/>
        <w:rPr>
          <w:rFonts w:ascii="Garamond" w:hAnsi="Garamond" w:cs="Times New Roman"/>
          <w:bCs/>
          <w:color w:val="000000"/>
          <w:sz w:val="24"/>
          <w:szCs w:val="24"/>
        </w:rPr>
      </w:pPr>
      <w:r w:rsidRPr="00AA39EB">
        <w:rPr>
          <w:rFonts w:ascii="Garamond" w:hAnsi="Garamond" w:cs="Times New Roman"/>
          <w:bCs/>
          <w:color w:val="000000"/>
          <w:sz w:val="24"/>
          <w:szCs w:val="24"/>
        </w:rPr>
        <w:t>VENDOSI:</w:t>
      </w:r>
    </w:p>
    <w:p w14:paraId="6E0D0268" w14:textId="77777777" w:rsidR="00AA39EB" w:rsidRPr="00AA39EB" w:rsidRDefault="00AA39EB" w:rsidP="00AA39EB">
      <w:pPr>
        <w:autoSpaceDE w:val="0"/>
        <w:autoSpaceDN w:val="0"/>
        <w:adjustRightInd w:val="0"/>
        <w:spacing w:after="0" w:line="240" w:lineRule="auto"/>
        <w:ind w:firstLine="284"/>
        <w:jc w:val="center"/>
        <w:rPr>
          <w:rFonts w:ascii="Garamond" w:hAnsi="Garamond" w:cs="Times New Roman"/>
          <w:b/>
          <w:bCs/>
          <w:color w:val="000000"/>
          <w:sz w:val="24"/>
          <w:szCs w:val="24"/>
        </w:rPr>
      </w:pPr>
    </w:p>
    <w:p w14:paraId="04224220" w14:textId="01CFEA61" w:rsidR="00AA39EB" w:rsidRPr="00AA39EB" w:rsidRDefault="00533687" w:rsidP="00AA39EB">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 xml:space="preserve"> </w:t>
      </w:r>
      <w:r w:rsidR="00AA39EB" w:rsidRPr="00AA39EB">
        <w:rPr>
          <w:rFonts w:ascii="Garamond" w:hAnsi="Garamond" w:cs="Times New Roman"/>
          <w:color w:val="000000"/>
          <w:sz w:val="24"/>
          <w:szCs w:val="24"/>
        </w:rPr>
        <w:t xml:space="preserve">1. Të licencojë shoqërinë “Gealb Energy” sh.p.k. në veprimtarinë e prodhimit të energjisë elektrike nga hidrocentralet “Guri i Bardhë 1”, “Guri i Bardhë 2”, në rrjedhën e përrenjve të Zallit të Dishit dhe të Shehut (degë e lumit Mat), </w:t>
      </w:r>
      <w:r w:rsidR="00F84A59">
        <w:rPr>
          <w:rFonts w:ascii="Garamond" w:hAnsi="Garamond" w:cs="Times New Roman"/>
          <w:color w:val="000000"/>
          <w:sz w:val="24"/>
          <w:szCs w:val="24"/>
        </w:rPr>
        <w:t>f</w:t>
      </w:r>
      <w:r w:rsidR="00AA39EB" w:rsidRPr="00AA39EB">
        <w:rPr>
          <w:rFonts w:ascii="Garamond" w:hAnsi="Garamond" w:cs="Times New Roman"/>
          <w:color w:val="000000"/>
          <w:sz w:val="24"/>
          <w:szCs w:val="24"/>
        </w:rPr>
        <w:t xml:space="preserve">shati Guri i Bardhë, Njësia Administrative Xibër, Bashkia Klos, </w:t>
      </w:r>
      <w:r w:rsidR="00F84A59" w:rsidRPr="00AA39EB">
        <w:rPr>
          <w:rFonts w:ascii="Garamond" w:hAnsi="Garamond" w:cs="Times New Roman"/>
          <w:color w:val="000000"/>
          <w:sz w:val="24"/>
          <w:szCs w:val="24"/>
        </w:rPr>
        <w:t xml:space="preserve">qarku </w:t>
      </w:r>
      <w:r w:rsidR="00AA39EB" w:rsidRPr="00AA39EB">
        <w:rPr>
          <w:rFonts w:ascii="Garamond" w:hAnsi="Garamond" w:cs="Times New Roman"/>
          <w:color w:val="000000"/>
          <w:sz w:val="24"/>
          <w:szCs w:val="24"/>
        </w:rPr>
        <w:t>Dibër, me kapacitet të instaluar 9300 k</w:t>
      </w:r>
      <w:r w:rsidR="00F84A59" w:rsidRPr="00AA39EB">
        <w:rPr>
          <w:rFonts w:ascii="Garamond" w:hAnsi="Garamond" w:cs="Times New Roman"/>
          <w:color w:val="000000"/>
          <w:sz w:val="24"/>
          <w:szCs w:val="24"/>
        </w:rPr>
        <w:t>w</w:t>
      </w:r>
      <w:r w:rsidR="00AA39EB" w:rsidRPr="00AA39EB">
        <w:rPr>
          <w:rFonts w:ascii="Garamond" w:hAnsi="Garamond" w:cs="Times New Roman"/>
          <w:color w:val="000000"/>
          <w:sz w:val="24"/>
          <w:szCs w:val="24"/>
        </w:rPr>
        <w:t>, për një afat 28 vjet e 5 muaj.</w:t>
      </w:r>
    </w:p>
    <w:p w14:paraId="7C6ED030" w14:textId="1D633408" w:rsidR="00533687" w:rsidRPr="00533687" w:rsidRDefault="00533687" w:rsidP="00533687">
      <w:pPr>
        <w:pStyle w:val="NoSpacing"/>
        <w:rPr>
          <w:rFonts w:ascii="Garamond" w:hAnsi="Garamond"/>
          <w:i/>
          <w:sz w:val="24"/>
          <w:szCs w:val="24"/>
        </w:rPr>
      </w:pPr>
      <w:r>
        <w:rPr>
          <w:rFonts w:ascii="Garamond" w:hAnsi="Garamond" w:cs="Times New Roman"/>
          <w:color w:val="000000"/>
          <w:sz w:val="24"/>
          <w:szCs w:val="24"/>
        </w:rPr>
        <w:t xml:space="preserve">     </w:t>
      </w:r>
      <w:r w:rsidR="00AA39EB" w:rsidRPr="00533687">
        <w:rPr>
          <w:rFonts w:ascii="Garamond" w:hAnsi="Garamond" w:cs="Times New Roman"/>
          <w:color w:val="000000"/>
          <w:sz w:val="24"/>
          <w:szCs w:val="24"/>
        </w:rPr>
        <w:t>2</w:t>
      </w:r>
      <w:r w:rsidRPr="00533687">
        <w:rPr>
          <w:rFonts w:ascii="Garamond" w:hAnsi="Garamond" w:cs="Times New Roman"/>
          <w:i/>
          <w:color w:val="000000"/>
          <w:sz w:val="24"/>
          <w:szCs w:val="24"/>
        </w:rPr>
        <w:t>.</w:t>
      </w:r>
      <w:r w:rsidRPr="00533687">
        <w:rPr>
          <w:rFonts w:ascii="Garamond" w:hAnsi="Garamond"/>
          <w:i/>
          <w:sz w:val="24"/>
          <w:szCs w:val="24"/>
        </w:rPr>
        <w:t xml:space="preserve"> </w:t>
      </w:r>
      <w:r w:rsidRPr="00533687">
        <w:rPr>
          <w:rFonts w:ascii="Garamond" w:hAnsi="Garamond"/>
          <w:i/>
          <w:sz w:val="24"/>
          <w:szCs w:val="24"/>
        </w:rPr>
        <w:t>Përpara fillimit të operimit/ushtrimit të veprimtarisë së prodhimit të energjisë elektrike, shoqëria “Gealb Energy” sh.p.k. duhet të depozitojë në ERE:</w:t>
      </w:r>
    </w:p>
    <w:p w14:paraId="0C7F3B3B" w14:textId="77777777" w:rsidR="00533687" w:rsidRPr="00533687" w:rsidRDefault="00533687" w:rsidP="00533687">
      <w:pPr>
        <w:pStyle w:val="NoSpacing"/>
        <w:rPr>
          <w:rFonts w:ascii="Garamond" w:hAnsi="Garamond"/>
          <w:i/>
          <w:sz w:val="24"/>
          <w:szCs w:val="24"/>
        </w:rPr>
      </w:pPr>
      <w:r w:rsidRPr="00533687">
        <w:rPr>
          <w:rFonts w:ascii="Garamond" w:hAnsi="Garamond"/>
          <w:i/>
          <w:sz w:val="24"/>
          <w:szCs w:val="24"/>
        </w:rPr>
        <w:t xml:space="preserve">       </w:t>
      </w:r>
      <w:r w:rsidRPr="00533687">
        <w:rPr>
          <w:rFonts w:ascii="Garamond" w:hAnsi="Garamond"/>
          <w:i/>
          <w:sz w:val="24"/>
          <w:szCs w:val="24"/>
        </w:rPr>
        <w:t>a) deklaratën mjedisore të re;</w:t>
      </w:r>
      <w:r w:rsidRPr="00533687">
        <w:rPr>
          <w:rFonts w:ascii="Garamond" w:hAnsi="Garamond"/>
          <w:i/>
          <w:sz w:val="24"/>
          <w:szCs w:val="24"/>
        </w:rPr>
        <w:t xml:space="preserve"> </w:t>
      </w:r>
    </w:p>
    <w:p w14:paraId="218F36B5" w14:textId="06C5D5B8" w:rsidR="00533687" w:rsidRPr="00533687" w:rsidRDefault="00533687" w:rsidP="00533687">
      <w:pPr>
        <w:pStyle w:val="NoSpacing"/>
        <w:rPr>
          <w:rFonts w:ascii="Garamond" w:hAnsi="Garamond"/>
          <w:i/>
          <w:sz w:val="24"/>
          <w:szCs w:val="24"/>
        </w:rPr>
      </w:pPr>
      <w:r w:rsidRPr="00533687">
        <w:rPr>
          <w:rFonts w:ascii="Garamond" w:hAnsi="Garamond"/>
          <w:i/>
          <w:sz w:val="24"/>
          <w:szCs w:val="24"/>
        </w:rPr>
        <w:t xml:space="preserve">       </w:t>
      </w:r>
      <w:r w:rsidRPr="00533687">
        <w:rPr>
          <w:rFonts w:ascii="Garamond" w:hAnsi="Garamond"/>
          <w:i/>
          <w:sz w:val="24"/>
          <w:szCs w:val="24"/>
        </w:rPr>
        <w:t xml:space="preserve">b) miratimin/qëndrimin e Ministrisë së Infrastrukturës dhe Energjisë në lidhje me zgjatjen e afatit </w:t>
      </w:r>
      <w:r w:rsidRPr="00533687">
        <w:rPr>
          <w:rFonts w:ascii="Garamond" w:hAnsi="Garamond"/>
          <w:i/>
          <w:sz w:val="24"/>
          <w:szCs w:val="24"/>
        </w:rPr>
        <w:t xml:space="preserve">   </w:t>
      </w:r>
      <w:r w:rsidRPr="00533687">
        <w:rPr>
          <w:rFonts w:ascii="Garamond" w:hAnsi="Garamond"/>
          <w:i/>
          <w:sz w:val="24"/>
          <w:szCs w:val="24"/>
        </w:rPr>
        <w:t>të fillimit të punimeve/ndërtimit të hidrocentraleve “Guri i Bardhë 1” dhe “Guri i Bardhë 2”.</w:t>
      </w:r>
    </w:p>
    <w:p w14:paraId="51F99FB3" w14:textId="3C80344D" w:rsidR="00AA39EB" w:rsidRPr="00533687" w:rsidRDefault="00533687" w:rsidP="00533687">
      <w:pPr>
        <w:pStyle w:val="NoSpacing"/>
        <w:rPr>
          <w:rFonts w:ascii="Garamond" w:hAnsi="Garamond" w:cs="Times New Roman"/>
          <w:color w:val="000000"/>
          <w:sz w:val="24"/>
          <w:szCs w:val="24"/>
        </w:rPr>
      </w:pPr>
      <w:r>
        <w:rPr>
          <w:rFonts w:ascii="Garamond" w:hAnsi="Garamond" w:cs="Times New Roman"/>
          <w:color w:val="000000"/>
          <w:sz w:val="24"/>
          <w:szCs w:val="24"/>
        </w:rPr>
        <w:t xml:space="preserve">     </w:t>
      </w:r>
      <w:r w:rsidR="00AA39EB" w:rsidRPr="00533687">
        <w:rPr>
          <w:rFonts w:ascii="Garamond" w:hAnsi="Garamond" w:cs="Times New Roman"/>
          <w:color w:val="000000"/>
          <w:sz w:val="24"/>
          <w:szCs w:val="24"/>
        </w:rPr>
        <w:t>3. Ky vendim është objekt rishikimi nga ERE në varësi të plotësimit të kushtit të lënë në pikën 2 të këtij vendimi.</w:t>
      </w:r>
    </w:p>
    <w:p w14:paraId="707089CA" w14:textId="4D3859F1"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4. Drejtoria e Licencimit, Autorizimeve dhe Mbikëqyrjes të njoftojë shoqërinë “Gealb Energy” sh.p.k., Ministrinë e Infrastrukturës dhe Energjisë, “Operatorin e Sistemit të </w:t>
      </w:r>
      <w:r w:rsidR="00F84A59" w:rsidRPr="00AA39EB">
        <w:rPr>
          <w:rFonts w:ascii="Garamond" w:hAnsi="Garamond" w:cs="Times New Roman"/>
          <w:color w:val="000000"/>
          <w:sz w:val="24"/>
          <w:szCs w:val="24"/>
        </w:rPr>
        <w:t>Transmetimit</w:t>
      </w:r>
      <w:r w:rsidRPr="00AA39EB">
        <w:rPr>
          <w:rFonts w:ascii="Garamond" w:hAnsi="Garamond" w:cs="Times New Roman"/>
          <w:color w:val="000000"/>
          <w:sz w:val="24"/>
          <w:szCs w:val="24"/>
        </w:rPr>
        <w:t>” (OST) sh.a.</w:t>
      </w:r>
      <w:r w:rsidR="00F84A59">
        <w:rPr>
          <w:rFonts w:ascii="Garamond" w:hAnsi="Garamond" w:cs="Times New Roman"/>
          <w:color w:val="000000"/>
          <w:sz w:val="24"/>
          <w:szCs w:val="24"/>
        </w:rPr>
        <w:t xml:space="preserve"> </w:t>
      </w:r>
      <w:r w:rsidRPr="00AA39EB">
        <w:rPr>
          <w:rFonts w:ascii="Garamond" w:hAnsi="Garamond" w:cs="Times New Roman"/>
          <w:color w:val="000000"/>
          <w:sz w:val="24"/>
          <w:szCs w:val="24"/>
        </w:rPr>
        <w:t xml:space="preserve">dhe “Furnizuesin e Tregut të Lirë” (FTL) sh.a. për vendimin e </w:t>
      </w:r>
      <w:r w:rsidR="00F84A59" w:rsidRPr="00AA39EB">
        <w:rPr>
          <w:rFonts w:ascii="Garamond" w:hAnsi="Garamond" w:cs="Times New Roman"/>
          <w:color w:val="000000"/>
          <w:sz w:val="24"/>
          <w:szCs w:val="24"/>
        </w:rPr>
        <w:t xml:space="preserve">Bordit </w:t>
      </w:r>
      <w:r w:rsidRPr="00AA39EB">
        <w:rPr>
          <w:rFonts w:ascii="Garamond" w:hAnsi="Garamond" w:cs="Times New Roman"/>
          <w:color w:val="000000"/>
          <w:sz w:val="24"/>
          <w:szCs w:val="24"/>
        </w:rPr>
        <w:t>të ERE-s.</w:t>
      </w:r>
    </w:p>
    <w:p w14:paraId="70E34117" w14:textId="05DF443A" w:rsidR="00AA39EB" w:rsidRPr="00AA39EB" w:rsidRDefault="00AA39EB" w:rsidP="00AA39EB">
      <w:pPr>
        <w:autoSpaceDE w:val="0"/>
        <w:autoSpaceDN w:val="0"/>
        <w:adjustRightInd w:val="0"/>
        <w:spacing w:after="0" w:line="240" w:lineRule="auto"/>
        <w:ind w:firstLine="284"/>
        <w:rPr>
          <w:rFonts w:ascii="Garamond" w:hAnsi="Garamond" w:cs="Times New Roman"/>
          <w:color w:val="000000"/>
          <w:sz w:val="24"/>
          <w:szCs w:val="24"/>
        </w:rPr>
      </w:pPr>
      <w:r w:rsidRPr="00AA39EB">
        <w:rPr>
          <w:rFonts w:ascii="Garamond" w:hAnsi="Garamond" w:cs="Times New Roman"/>
          <w:color w:val="000000"/>
          <w:sz w:val="24"/>
          <w:szCs w:val="24"/>
        </w:rPr>
        <w:t xml:space="preserve">Ky vendim hyn në fuqi menjëherë. </w:t>
      </w:r>
    </w:p>
    <w:p w14:paraId="48BABAF9" w14:textId="0F62351F"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F84A59" w:rsidRPr="00AA39EB">
        <w:rPr>
          <w:rFonts w:ascii="Garamond" w:hAnsi="Garamond" w:cs="Times New Roman"/>
          <w:color w:val="000000"/>
          <w:sz w:val="24"/>
          <w:szCs w:val="24"/>
        </w:rPr>
        <w:t xml:space="preserve">Bordit </w:t>
      </w:r>
      <w:r w:rsidRPr="00AA39EB">
        <w:rPr>
          <w:rFonts w:ascii="Garamond" w:hAnsi="Garamond" w:cs="Times New Roman"/>
          <w:color w:val="000000"/>
          <w:sz w:val="24"/>
          <w:szCs w:val="24"/>
        </w:rPr>
        <w:t xml:space="preserve">në rast se ka siguruar prova të reja që mund ta çojnë </w:t>
      </w:r>
      <w:r w:rsidR="00F84A59" w:rsidRPr="00AA39EB">
        <w:rPr>
          <w:rFonts w:ascii="Garamond" w:hAnsi="Garamond" w:cs="Times New Roman"/>
          <w:color w:val="000000"/>
          <w:sz w:val="24"/>
          <w:szCs w:val="24"/>
        </w:rPr>
        <w:t xml:space="preserve">Bordin </w:t>
      </w:r>
      <w:r w:rsidRPr="00AA39EB">
        <w:rPr>
          <w:rFonts w:ascii="Garamond"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2ABD9E4F" w14:textId="77777777" w:rsidR="00AA39EB" w:rsidRPr="00AA39EB" w:rsidRDefault="00AA39EB" w:rsidP="00AA39EB">
      <w:pPr>
        <w:autoSpaceDE w:val="0"/>
        <w:autoSpaceDN w:val="0"/>
        <w:adjustRightInd w:val="0"/>
        <w:spacing w:after="0" w:line="240" w:lineRule="auto"/>
        <w:ind w:firstLine="284"/>
        <w:jc w:val="both"/>
        <w:rPr>
          <w:rFonts w:ascii="Garamond" w:hAnsi="Garamond" w:cs="Times New Roman"/>
          <w:color w:val="000000"/>
          <w:sz w:val="24"/>
          <w:szCs w:val="24"/>
        </w:rPr>
      </w:pPr>
      <w:r w:rsidRPr="00AA39EB">
        <w:rPr>
          <w:rFonts w:ascii="Garamond" w:hAnsi="Garamond" w:cs="Times New Roman"/>
          <w:color w:val="000000"/>
          <w:sz w:val="24"/>
          <w:szCs w:val="24"/>
        </w:rPr>
        <w:t>Ky vendim botohet në Fletoren Zyrtare.</w:t>
      </w:r>
    </w:p>
    <w:p w14:paraId="67277AA9" w14:textId="77777777" w:rsidR="00322BF4" w:rsidRPr="00AA39EB" w:rsidRDefault="00322BF4" w:rsidP="00AA39EB">
      <w:pPr>
        <w:spacing w:after="0" w:line="240" w:lineRule="auto"/>
        <w:ind w:firstLine="284"/>
        <w:rPr>
          <w:rFonts w:ascii="Garamond" w:hAnsi="Garamond"/>
        </w:rPr>
      </w:pPr>
    </w:p>
    <w:p w14:paraId="709994BC" w14:textId="77777777" w:rsidR="00322BF4" w:rsidRPr="00AA39EB" w:rsidRDefault="00322BF4" w:rsidP="00AA39EB">
      <w:pPr>
        <w:autoSpaceDE w:val="0"/>
        <w:autoSpaceDN w:val="0"/>
        <w:adjustRightInd w:val="0"/>
        <w:spacing w:after="0" w:line="240" w:lineRule="auto"/>
        <w:ind w:firstLine="284"/>
        <w:jc w:val="right"/>
        <w:rPr>
          <w:rFonts w:ascii="Garamond" w:hAnsi="Garamond" w:cs="Times New Roman"/>
          <w:bCs/>
          <w:color w:val="000000"/>
          <w:sz w:val="24"/>
          <w:szCs w:val="24"/>
        </w:rPr>
      </w:pPr>
      <w:r w:rsidRPr="00AA39EB">
        <w:rPr>
          <w:rFonts w:ascii="Garamond" w:hAnsi="Garamond" w:cs="Times New Roman"/>
          <w:bCs/>
          <w:color w:val="000000"/>
          <w:sz w:val="24"/>
          <w:szCs w:val="24"/>
        </w:rPr>
        <w:t>KRYETAR</w:t>
      </w:r>
    </w:p>
    <w:p w14:paraId="4EEBED5A" w14:textId="77777777" w:rsidR="00322BF4" w:rsidRPr="00AA39EB" w:rsidRDefault="00322BF4" w:rsidP="00AA39EB">
      <w:pPr>
        <w:autoSpaceDE w:val="0"/>
        <w:autoSpaceDN w:val="0"/>
        <w:adjustRightInd w:val="0"/>
        <w:spacing w:after="0" w:line="240" w:lineRule="auto"/>
        <w:ind w:firstLine="284"/>
        <w:jc w:val="right"/>
        <w:rPr>
          <w:rFonts w:ascii="Garamond" w:hAnsi="Garamond" w:cs="Times New Roman"/>
          <w:b/>
          <w:bCs/>
          <w:color w:val="000000"/>
          <w:sz w:val="24"/>
          <w:szCs w:val="24"/>
        </w:rPr>
      </w:pPr>
      <w:r w:rsidRPr="00AA39EB">
        <w:rPr>
          <w:rFonts w:ascii="Garamond" w:hAnsi="Garamond" w:cs="Times New Roman"/>
          <w:b/>
          <w:bCs/>
          <w:color w:val="000000"/>
          <w:sz w:val="24"/>
          <w:szCs w:val="24"/>
        </w:rPr>
        <w:t>Petrit Ahmeti</w:t>
      </w:r>
    </w:p>
    <w:p w14:paraId="4BFD75AE" w14:textId="77777777" w:rsidR="00322BF4" w:rsidRPr="00AA39EB" w:rsidRDefault="00322BF4" w:rsidP="00AA39EB">
      <w:pPr>
        <w:spacing w:after="0" w:line="240" w:lineRule="auto"/>
        <w:ind w:firstLine="284"/>
        <w:rPr>
          <w:rFonts w:ascii="Garamond" w:hAnsi="Garamond"/>
        </w:rPr>
      </w:pPr>
    </w:p>
    <w:sectPr w:rsidR="00322BF4" w:rsidRPr="00AA39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458F1B" w14:textId="77777777" w:rsidR="00B166DD" w:rsidRDefault="00B166DD" w:rsidP="00533687">
      <w:pPr>
        <w:spacing w:after="0" w:line="240" w:lineRule="auto"/>
      </w:pPr>
      <w:r>
        <w:separator/>
      </w:r>
    </w:p>
  </w:endnote>
  <w:endnote w:type="continuationSeparator" w:id="0">
    <w:p w14:paraId="02AFF96E" w14:textId="77777777" w:rsidR="00B166DD" w:rsidRDefault="00B166DD" w:rsidP="00533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B7EBC6" w14:textId="77777777" w:rsidR="00B166DD" w:rsidRDefault="00B166DD" w:rsidP="00533687">
      <w:pPr>
        <w:spacing w:after="0" w:line="240" w:lineRule="auto"/>
      </w:pPr>
      <w:r>
        <w:separator/>
      </w:r>
    </w:p>
  </w:footnote>
  <w:footnote w:type="continuationSeparator" w:id="0">
    <w:p w14:paraId="7C9150AB" w14:textId="77777777" w:rsidR="00B166DD" w:rsidRDefault="00B166DD" w:rsidP="005336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9CD"/>
    <w:rsid w:val="000238F9"/>
    <w:rsid w:val="00082EF5"/>
    <w:rsid w:val="000F74B6"/>
    <w:rsid w:val="00322BF4"/>
    <w:rsid w:val="00495544"/>
    <w:rsid w:val="004C7915"/>
    <w:rsid w:val="00533687"/>
    <w:rsid w:val="007A461B"/>
    <w:rsid w:val="007D5C10"/>
    <w:rsid w:val="007E29CD"/>
    <w:rsid w:val="008C7EE7"/>
    <w:rsid w:val="009E3541"/>
    <w:rsid w:val="00AA39EB"/>
    <w:rsid w:val="00AD6F91"/>
    <w:rsid w:val="00B166DD"/>
    <w:rsid w:val="00C40D04"/>
    <w:rsid w:val="00C76A89"/>
    <w:rsid w:val="00DB3D24"/>
    <w:rsid w:val="00DB70B1"/>
    <w:rsid w:val="00F23FBB"/>
    <w:rsid w:val="00F84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83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uiPriority w:val="99"/>
    <w:qFormat/>
    <w:rsid w:val="00AA39EB"/>
    <w:pPr>
      <w:keepNext/>
      <w:autoSpaceDE w:val="0"/>
      <w:autoSpaceDN w:val="0"/>
      <w:adjustRightInd w:val="0"/>
      <w:spacing w:before="240" w:after="60" w:line="362" w:lineRule="atLeast"/>
      <w:outlineLvl w:val="1"/>
    </w:pPr>
    <w:rPr>
      <w:rFonts w:ascii="Times New Roman" w:hAnsi="Times New Roman" w:cs="Times New Roman"/>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A39EB"/>
    <w:rPr>
      <w:rFonts w:ascii="Times New Roman" w:hAnsi="Times New Roman" w:cs="Times New Roman"/>
      <w:b/>
      <w:bCs/>
      <w:i/>
      <w:iCs/>
      <w:color w:val="000000"/>
      <w:sz w:val="28"/>
      <w:szCs w:val="28"/>
    </w:rPr>
  </w:style>
  <w:style w:type="paragraph" w:styleId="ListParagraph">
    <w:name w:val="List Paragraph"/>
    <w:aliases w:val="Akapit z lista B"/>
    <w:basedOn w:val="Normal"/>
    <w:uiPriority w:val="34"/>
    <w:qFormat/>
    <w:rsid w:val="00AA39EB"/>
    <w:pPr>
      <w:autoSpaceDE w:val="0"/>
      <w:autoSpaceDN w:val="0"/>
      <w:adjustRightInd w:val="0"/>
      <w:spacing w:line="284" w:lineRule="atLeast"/>
      <w:ind w:left="720"/>
    </w:pPr>
    <w:rPr>
      <w:rFonts w:ascii="Times New Roman" w:hAnsi="Times New Roman" w:cs="Times New Roman"/>
      <w:color w:val="000000"/>
    </w:rPr>
  </w:style>
  <w:style w:type="paragraph" w:styleId="NoSpacing">
    <w:name w:val="No Spacing"/>
    <w:uiPriority w:val="1"/>
    <w:qFormat/>
    <w:rsid w:val="00533687"/>
    <w:pPr>
      <w:spacing w:after="0" w:line="240" w:lineRule="auto"/>
    </w:pPr>
    <w:rPr>
      <w:lang w:val="sq-AL"/>
    </w:rPr>
  </w:style>
  <w:style w:type="paragraph" w:styleId="Header">
    <w:name w:val="header"/>
    <w:basedOn w:val="Normal"/>
    <w:link w:val="HeaderChar"/>
    <w:uiPriority w:val="99"/>
    <w:unhideWhenUsed/>
    <w:rsid w:val="00533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687"/>
    <w:rPr>
      <w:lang w:val="sq-AL"/>
    </w:rPr>
  </w:style>
  <w:style w:type="paragraph" w:styleId="Footer">
    <w:name w:val="footer"/>
    <w:basedOn w:val="Normal"/>
    <w:link w:val="FooterChar"/>
    <w:uiPriority w:val="99"/>
    <w:unhideWhenUsed/>
    <w:rsid w:val="00533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687"/>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2">
    <w:name w:val="heading 2"/>
    <w:basedOn w:val="Normal"/>
    <w:next w:val="Normal"/>
    <w:link w:val="Heading2Char"/>
    <w:uiPriority w:val="99"/>
    <w:qFormat/>
    <w:rsid w:val="00AA39EB"/>
    <w:pPr>
      <w:keepNext/>
      <w:autoSpaceDE w:val="0"/>
      <w:autoSpaceDN w:val="0"/>
      <w:adjustRightInd w:val="0"/>
      <w:spacing w:before="240" w:after="60" w:line="362" w:lineRule="atLeast"/>
      <w:outlineLvl w:val="1"/>
    </w:pPr>
    <w:rPr>
      <w:rFonts w:ascii="Times New Roman" w:hAnsi="Times New Roman" w:cs="Times New Roman"/>
      <w:b/>
      <w:bCs/>
      <w:i/>
      <w:iCs/>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AA39EB"/>
    <w:rPr>
      <w:rFonts w:ascii="Times New Roman" w:hAnsi="Times New Roman" w:cs="Times New Roman"/>
      <w:b/>
      <w:bCs/>
      <w:i/>
      <w:iCs/>
      <w:color w:val="000000"/>
      <w:sz w:val="28"/>
      <w:szCs w:val="28"/>
    </w:rPr>
  </w:style>
  <w:style w:type="paragraph" w:styleId="ListParagraph">
    <w:name w:val="List Paragraph"/>
    <w:aliases w:val="Akapit z lista B"/>
    <w:basedOn w:val="Normal"/>
    <w:uiPriority w:val="34"/>
    <w:qFormat/>
    <w:rsid w:val="00AA39EB"/>
    <w:pPr>
      <w:autoSpaceDE w:val="0"/>
      <w:autoSpaceDN w:val="0"/>
      <w:adjustRightInd w:val="0"/>
      <w:spacing w:line="284" w:lineRule="atLeast"/>
      <w:ind w:left="720"/>
    </w:pPr>
    <w:rPr>
      <w:rFonts w:ascii="Times New Roman" w:hAnsi="Times New Roman" w:cs="Times New Roman"/>
      <w:color w:val="000000"/>
    </w:rPr>
  </w:style>
  <w:style w:type="paragraph" w:styleId="NoSpacing">
    <w:name w:val="No Spacing"/>
    <w:uiPriority w:val="1"/>
    <w:qFormat/>
    <w:rsid w:val="00533687"/>
    <w:pPr>
      <w:spacing w:after="0" w:line="240" w:lineRule="auto"/>
    </w:pPr>
    <w:rPr>
      <w:lang w:val="sq-AL"/>
    </w:rPr>
  </w:style>
  <w:style w:type="paragraph" w:styleId="Header">
    <w:name w:val="header"/>
    <w:basedOn w:val="Normal"/>
    <w:link w:val="HeaderChar"/>
    <w:uiPriority w:val="99"/>
    <w:unhideWhenUsed/>
    <w:rsid w:val="005336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687"/>
    <w:rPr>
      <w:lang w:val="sq-AL"/>
    </w:rPr>
  </w:style>
  <w:style w:type="paragraph" w:styleId="Footer">
    <w:name w:val="footer"/>
    <w:basedOn w:val="Normal"/>
    <w:link w:val="FooterChar"/>
    <w:uiPriority w:val="99"/>
    <w:unhideWhenUsed/>
    <w:rsid w:val="005336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687"/>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A70C31ED82E4DD4A104797CFCED18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361</Nr_x002e__x0020_akti>
    <Data_x0020_e_x0020_Krijimit xmlns="0e656187-b300-4fb0-8bf4-3a50f872073c">2024-02-06T12:14:32Z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2024-02-05T00:00:00Z</Date_x0020_protokolli>
    <Titulli xmlns="0e656187-b300-4fb0-8bf4-3a50f872073c">Mbi licencimin e shoqërisë "Gealb Energy" sh.p.k., në veprimtarinë e prodhimit të energjisë elektrike nga hidrocentralet "Guri i Bardhë 1" dhe "Guri i Bardhë 2"</Titulli>
    <Modifikuesi xmlns="0e656187-b300-4fb0-8bf4-3a50f872073c">ermira.bukaci</Modifikuesi>
    <Nr_x002e__x0020_prot_x0020_QBZ xmlns="0e656187-b300-4fb0-8bf4-3a50f872073c">230/1</Nr_x002e__x0020_prot_x0020_QBZ>
    <Data_x0020_e_x0020_Modifikimit xmlns="0e656187-b300-4fb0-8bf4-3a50f872073c">2024-02-06T15:42:11Z</Data_x0020_e_x0020_Modifikimit>
    <Dekretuar xmlns="0e656187-b300-4fb0-8bf4-3a50f872073c">false</Dekretuar>
    <Data xmlns="0e656187-b300-4fb0-8bf4-3a50f872073c">2023-12-07T00:00:00Z</Data>
    <Nr_x002e__x0020_protokolli_x0020_i_x0020_aktit xmlns="0e656187-b300-4fb0-8bf4-3a50f872073c">560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A70C31ED82E4DD4A104797CFCED18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F497CE-5E4C-4C01-B111-FCA07FE23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57CD253-8A95-4D2F-884D-0EE5A7977EEF}">
  <ds:schemaRefs>
    <ds:schemaRef ds:uri="http://schemas.microsoft.com/sharepoint/v3/contenttype/forms"/>
  </ds:schemaRefs>
</ds:datastoreItem>
</file>

<file path=customXml/itemProps3.xml><?xml version="1.0" encoding="utf-8"?>
<ds:datastoreItem xmlns:ds="http://schemas.openxmlformats.org/officeDocument/2006/customXml" ds:itemID="{617978BB-D016-45B7-A3A7-8B7267E6617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C05C85B-92A3-46A4-BEB7-B51B57300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D9A3D06-168D-43D4-B94F-E9CEA3A92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Mbi licencimin e shoqërisë "Gealb Energy" sh.p.k., në veprimtarinë e prodhimit të energjisë elektrike nga hidrocentralet "Guri i Bardhë 1" dhe "Guri i Bardhë 2"</vt:lpstr>
    </vt:vector>
  </TitlesOfParts>
  <Company/>
  <LinksUpToDate>false</LinksUpToDate>
  <CharactersWithSpaces>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"Gealb Energy" sh.p.k., në veprimtarinë e prodhimit të energjisë elektrike nga hidrocentralet "Guri i Bardhë 1" dhe "Guri i Bardhë 2"</dc:title>
  <dc:creator>Entela Suli</dc:creator>
  <cp:lastModifiedBy>Marsela Xhepa</cp:lastModifiedBy>
  <cp:revision>2</cp:revision>
  <dcterms:created xsi:type="dcterms:W3CDTF">2024-04-23T13:07:00Z</dcterms:created>
  <dcterms:modified xsi:type="dcterms:W3CDTF">2024-04-23T13:07:00Z</dcterms:modified>
</cp:coreProperties>
</file>