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F948A" w14:textId="0E201DB3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6B66D000" w14:textId="6F681E48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44, datë 29.3.2024</w:t>
      </w:r>
    </w:p>
    <w:p w14:paraId="662E76D1" w14:textId="77777777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EA64912" w14:textId="3CB4678C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MBI SHQYRTIMIN E KËRKESËS SË SHOQATËS SHQIPTARE TË FURNIZUESVE TË </w:t>
      </w:r>
      <w:r w:rsidRPr="007F0899">
        <w:rPr>
          <w:rFonts w:ascii="Garamond" w:eastAsiaTheme="minorHAnsi" w:hAnsi="Garamond" w:cs="Times New Roman"/>
          <w:b/>
          <w:bCs/>
          <w:sz w:val="24"/>
          <w:szCs w:val="24"/>
        </w:rPr>
        <w:t>ENERGJISË ELEKTRIKE (</w:t>
      </w:r>
      <w:proofErr w:type="spellStart"/>
      <w:r w:rsidRPr="007F0899">
        <w:rPr>
          <w:rFonts w:ascii="Garamond" w:eastAsiaTheme="minorHAnsi" w:hAnsi="Garamond" w:cs="Times New Roman"/>
          <w:b/>
          <w:bCs/>
          <w:sz w:val="24"/>
          <w:szCs w:val="24"/>
        </w:rPr>
        <w:t>AAES</w:t>
      </w:r>
      <w:proofErr w:type="spellEnd"/>
      <w:r w:rsidRPr="007F0899">
        <w:rPr>
          <w:rFonts w:ascii="Garamond" w:eastAsiaTheme="minorHAnsi" w:hAnsi="Garamond" w:cs="Times New Roman"/>
          <w:b/>
          <w:bCs/>
          <w:sz w:val="24"/>
          <w:szCs w:val="24"/>
        </w:rPr>
        <w:t>) PËR DISA NDRYSHIME DHE KUFIZIME NË ZBATIMIN E VENDIMIT TË BORDIT TË ERE-</w:t>
      </w:r>
      <w:r w:rsidR="007F0899">
        <w:rPr>
          <w:rFonts w:ascii="Garamond" w:eastAsiaTheme="minorHAnsi" w:hAnsi="Garamond" w:cs="Times New Roman"/>
          <w:b/>
          <w:bCs/>
          <w:sz w:val="24"/>
          <w:szCs w:val="24"/>
        </w:rPr>
        <w:t>s</w:t>
      </w:r>
      <w:r w:rsidRPr="007F0899">
        <w:rPr>
          <w:rFonts w:ascii="Garamond" w:eastAsiaTheme="minorHAnsi" w:hAnsi="Garamond" w:cs="Times New Roman"/>
          <w:b/>
          <w:bCs/>
          <w:sz w:val="24"/>
          <w:szCs w:val="24"/>
        </w:rPr>
        <w:t xml:space="preserve"> NR. 186, DATË 6.6.2023</w:t>
      </w:r>
      <w:r w:rsidR="00412495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</w:p>
    <w:p w14:paraId="3FC04AC2" w14:textId="27C31501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</w:rPr>
      </w:pPr>
    </w:p>
    <w:p w14:paraId="4F00CB51" w14:textId="2DF2CF34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43/2015, “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neneve 33, pika 1,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>germa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105 dhe 144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Kodi i Procedurave Administrative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Republikës së Shqipërisë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”; si dhe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neneve 5, pika 23, 15 dhe 16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Entit Rregullator të Energjisë (ERE) nr. 96, datë 17.6.2016;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ERE-s, në mbledhjen e tij të datës 29.3.2024, mbasi shqyrtoi relacionin e përgatitur nga Drejtoritë Teknike me nr. 661/2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., datë 27.3.2024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Mbi shqyrtimin e kërkesës së</w:t>
      </w:r>
      <w:r w:rsidR="00412495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Shoqatës Shqiptare të Furnizuesve të Energjisë Elektrike (</w:t>
      </w:r>
      <w:proofErr w:type="spellStart"/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AAES</w:t>
      </w:r>
      <w:proofErr w:type="spellEnd"/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)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 disa ndryshime dhe kufizime në zbatimin e vendimit të </w:t>
      </w:r>
      <w:r w:rsidR="007F0899"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të ERE-s nr. 186, datë 6.6.2023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”,</w:t>
      </w:r>
    </w:p>
    <w:p w14:paraId="6C84D045" w14:textId="6EB06981" w:rsidR="00386015" w:rsidRPr="007F0899" w:rsidRDefault="007F0899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bCs/>
          <w:color w:val="000000"/>
          <w:sz w:val="24"/>
          <w:szCs w:val="24"/>
        </w:rPr>
        <w:t>k</w:t>
      </w:r>
      <w:r w:rsidR="00386015" w:rsidRPr="007F0899">
        <w:rPr>
          <w:rFonts w:ascii="Garamond" w:eastAsiaTheme="minorHAnsi" w:hAnsi="Garamond" w:cs="Times New Roman"/>
          <w:bCs/>
          <w:color w:val="000000"/>
          <w:sz w:val="24"/>
          <w:szCs w:val="24"/>
        </w:rPr>
        <w:t>onstatoi se:</w:t>
      </w:r>
    </w:p>
    <w:p w14:paraId="1FC0FA16" w14:textId="2CCB4ACD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vendimin nr.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186, datë 6.6.2023, vendosi: </w:t>
      </w:r>
    </w:p>
    <w:p w14:paraId="4946CFF8" w14:textId="6BF09BE6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1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Miratimin e kërkesës së Shoqatës Shqiptare të Furnizuesve të Energjisë Elektrike (</w:t>
      </w:r>
      <w:proofErr w:type="spellStart"/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AAES</w:t>
      </w:r>
      <w:proofErr w:type="spellEnd"/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) për disa ndryshime dhe kufizime në zbatimin e vendimit të </w:t>
      </w:r>
      <w:r w:rsidR="007F0899"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të ERE-s nr. 23, datë 14.2.2022.</w:t>
      </w:r>
    </w:p>
    <w:p w14:paraId="3CA53CDA" w14:textId="268DF4B7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2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Të gjithë 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f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urnizuesit që ushtrojnë aktivitetin e furnizimit në treg të lirë përjashtohen deri në datë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n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31.12.2023 nga detyrimi për implementimin e masave të parashikuara në nenin 1.2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7F0899"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germat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: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“a”, “b”, “d”, “e”, “f”, “g” dhe “j”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në nenet 2.1 dhe 2.2</w:t>
      </w:r>
      <w:r w:rsid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si dhe në nenet 4.1. dhe 4.2.</w:t>
      </w:r>
    </w:p>
    <w:p w14:paraId="2A1C5648" w14:textId="190A1056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vijim të kësaj vendimmarrjeje, shoqata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anë të shkresës nr. 1812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18.12.2023, protokolluar në ERE me nr. 2536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., datë 19.12.2023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paraqiti një kërkesë për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derogim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pjesshëm të dispozitave të “Rregullores mbi masat e të licencuarve në aktivitetin e furnizimit me energji për arritjen e treguesve të matjes dhe vlerësimit nga ERE të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performancës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së shërbimit ndaj klientit”, miratuar me vendimin 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ERE-s nr. 23, datë 14.2.2022, duke pretenduar se furnizuesit alternativë adresojnë një numër mjaft të kufizuar klientësh fundorë dhe për këtë arsye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sipas shoqatës është e rëndësishme të ketë një ndarje të qartë të detyrave, përgjegjësive dhe të drejtave të furnizuesve, ndarje e cila t’i atribuohet nivelit të tensionit të klientit fundor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të reflektojë koston e operimit të furnizuesve.</w:t>
      </w:r>
    </w:p>
    <w:p w14:paraId="1C26CEE4" w14:textId="2EA4C93A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-ja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pretendon se në caktimin e detyrimeve të cilat duhen përmbushur nga furnizuesi,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regullorja nuk ka konsideruar faktin që numri i konsumatorëve që duhet furnizuar duhet të jetë tejet i lartë në mënyrë që të përballohen kostot e investimit në decentralizim të shërbimit të kujdesit ndaj klientit (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KNK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) dhe investimet e nevojshme në personel dhe sisteme menaxhimi/faturimi nga ana e furnizuesve.</w:t>
      </w:r>
    </w:p>
    <w:p w14:paraId="17DBC64A" w14:textId="190B12C2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Gjithashtu,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-ja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shprehet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se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qenë se një pjesë e konsiderueshme e kërkesave të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regullores mbi masat e të licencuarve në aktivitetin e furnizimit me energji për arritjen e treguesve të matjes dhe vlerësimit nga ERE të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performancës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së shërbimit ndaj klientit, miratuar me vendimin 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nr. 23/2022, janë të aplikueshme vetëm për klientët fundorë të lidhur në tension të ulët, kërkohet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derogimi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disa dispozitave të parashikuara në të.</w:t>
      </w:r>
    </w:p>
    <w:p w14:paraId="6552C6F8" w14:textId="762315A6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- Nga sa analizuar, rezulton që gjatë vit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eve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2023 dhe 2024, numri i konsumatorëve që kanë dalë në treg të lirë, është ndjeshëm shumë më i ulët se totali i konsumatorëve të furnizuar në një vit kalendarik nga furnizuesi publik. </w:t>
      </w:r>
    </w:p>
    <w:p w14:paraId="33A7F9E0" w14:textId="1AE9F8BD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Rregullorja mbi masat e të licencuarve në aktivitetin e furnizimit me energji për arritjen e treguesve të matjes dhe vlerësimit nga ERE të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performancës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së shërbimit ndaj klientit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, ka për qëllim ndër të tjera, mbrojtjen e interesave të klientëve në tërësi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bazuar në një trajtim të barabartë dhe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jodiskriminues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përmes procedurave ligjore e transparente, si dhe monitorimin dhe kontrollin e shërbimeve që ofron i licencuari ndaj klientëve të energjisë elektrike.</w:t>
      </w:r>
    </w:p>
    <w:p w14:paraId="4E29E1C9" w14:textId="6F6251F3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Përveç sa përcaktuar në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regulloren sipërcituar, standardet bazë për sigurimin e një procesi të drejtë dhe efektiv të shërbimit të furnizimit të klientëve të energjisë elektrike i ka të parashikuara dhe në aktet e tjera nënligjore në fuqi, siç janë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k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ushtet e përgjithshme të kontratës së shërbimit universal të furnizimit me energji elektrike për klientët fundorë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ERE-s nr. 15, datë 10.1.2018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Rregullorja mbi kushtet e përgjithshme të shërbimit të furnizimit me energji elektrike për klientët fundor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-s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203, datë 18.12.2017.</w:t>
      </w:r>
    </w:p>
    <w:p w14:paraId="37C7CCF0" w14:textId="44FA2656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Pavarësisht që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-ja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nuk ka përcaktuar një afat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derogimi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nisur edhe nga vendimmarrjet e mëhershme të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por edhe nga shkalla e rëndësisë që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Rregullorja mbi masat e të licencuarve në aktivitetin e furnizimit me energji për arritjen e treguesve të matjes dhe vlerësimit nga ERE të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performancës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së shërbimit ndaj klientit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ka për garantimin e cilësisë së shërbimit ndaj klientëve të energjisë, si dhe duke pasur parasysh që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 ka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diskrecion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në çdo kohe të</w:t>
      </w:r>
      <w:r w:rsidR="00412495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rishohë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vendimmarrjet e tij nëse rrethanat e faktit ndryshojnë, vlerësohet se përcaktimi i një afati 1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(një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)vjeçar për pezullimin e përkohshëm të dispozitave të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regullores objekt shqyrtimi, reflekton më mirë rrethanat për të cilat është adresuar kërkesa në ERE.</w:t>
      </w:r>
    </w:p>
    <w:p w14:paraId="070DE2C4" w14:textId="0E3DF970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- Më herët, shoqëria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përmes shkresës nr. 1003/2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1.12.2021, ka propozuar që implementimi i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derogimit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dispozitat e propozuara të kësaj rregullore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je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cili shtrinte efektet në nenet 1.2 a, 1.2.b, 1.2.e, 1.2.f, 1.2.h, 1.2.j, në fund të paragrafit të shtohet: “</w:t>
      </w: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e aplikueshme vetëm për furnizuesit që furnizojnë klientë fundorë të lidhur në tension të ulët, si dhe për furnizuesit që furnizojnë me shumë se 100 klientë fundorë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”. Ky propozim është paraqitur për të justifikuar kostot e larta t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investimit për të përmbushur kushtet e vendosura n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këto dispozita. </w:t>
      </w:r>
    </w:p>
    <w:p w14:paraId="3AC128EF" w14:textId="09FF7D55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- Duke qenë se një numër i madh konsumatorësh furnizohen nga Furnizuesi i Mundësisë së Fundit dhe nga Furnizuesi i Tregut të Lirë (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FTL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), me qëllim garantimin e mbrojtjes së tyre sa i përket shërbimit nga klienti, vlerësohet që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derogimi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propozuar nga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-ja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aplikohet vetëm për ata furnizues q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bookmarkStart w:id="0" w:name="_GoBack"/>
      <w:bookmarkEnd w:id="0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kanë mbi 100 konsumatorë gjatë një viti kalendarik.</w:t>
      </w:r>
    </w:p>
    <w:p w14:paraId="262B0377" w14:textId="2581754D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3C294212" w14:textId="77777777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3D5D60DC" w14:textId="2FC49C1C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4259BA4E" w14:textId="77777777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074D08C6" w14:textId="10DE80DD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1. Miratimin e kërkesës së Shoqatës Shqiptare të Furnizuesve të Energjisë Elektrike (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AAES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) për disa ndryshime dhe kufizime në zbatimin e vendimit të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ERE-s nr. 186, datë 6.6.2023.</w:t>
      </w:r>
    </w:p>
    <w:p w14:paraId="31563D84" w14:textId="199E6BF7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Pika 2 e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dispozitivit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ERE-s nr. 186, datë 6.6.2023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ndryshon dhe bëhet:</w:t>
      </w:r>
    </w:p>
    <w:p w14:paraId="5482C386" w14:textId="3B71F6C9" w:rsidR="00386015" w:rsidRPr="007F0899" w:rsidRDefault="007F0899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>
        <w:rPr>
          <w:rFonts w:ascii="Garamond" w:eastAsiaTheme="minorHAnsi" w:hAnsi="Garamond" w:cs="Garamond"/>
          <w:color w:val="000000"/>
          <w:sz w:val="24"/>
          <w:szCs w:val="24"/>
        </w:rPr>
        <w:t>“</w:t>
      </w:r>
      <w:r w:rsidR="00386015" w:rsidRPr="007F0899">
        <w:rPr>
          <w:rFonts w:ascii="Garamond" w:eastAsiaTheme="minorHAnsi" w:hAnsi="Garamond" w:cs="Garamond"/>
          <w:color w:val="000000"/>
          <w:sz w:val="24"/>
          <w:szCs w:val="24"/>
        </w:rPr>
        <w:t xml:space="preserve">- 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>Furnizuesit që ushtrojnë aktivitetin e furnizimit në treg të liberalizuar, të cilët furnizojnë njëkohësisht më pak se 100 konsumatorë, përjashtohen deri në datë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386015"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31.12.2024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,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nga detyrimi për implementimin e masave të parashikuara në nenin 1.2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germat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: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“a”, “b”, “d”, “e”, “f”, “g” dhe “j”, në nenet 2.1 dhe 2.2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në nenet 4.1 dhe 4.2.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”.</w:t>
      </w:r>
    </w:p>
    <w:p w14:paraId="3793CBF7" w14:textId="55B34C26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Pas pikës 2 shtohen pikat 3 dhe 4 me përmbajtjen si më poshtë: </w:t>
      </w:r>
    </w:p>
    <w:p w14:paraId="3C0485DE" w14:textId="73C9CC40" w:rsidR="00386015" w:rsidRPr="007F0899" w:rsidRDefault="007F0899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386015" w:rsidRPr="007F0899">
        <w:rPr>
          <w:rFonts w:ascii="Garamond" w:eastAsiaTheme="minorHAnsi" w:hAnsi="Garamond" w:cs="Times New Roman"/>
          <w:color w:val="000000"/>
          <w:sz w:val="24"/>
          <w:szCs w:val="24"/>
        </w:rPr>
        <w:t>3</w:t>
      </w:r>
      <w:r w:rsidR="00386015"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. Të gjithë furnizuesit detyrohen të raportojnë çdo 3 muaj mbi numrin e konsumatorëve të furnizuar në treg të lirë.</w:t>
      </w:r>
    </w:p>
    <w:p w14:paraId="149065E6" w14:textId="48176F0B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4. Ky vendim është objekt rishikimi nëse gjatë këtij viti rrethanat e hapjes/liberalizimit të tregut ndryshojnë.</w:t>
      </w:r>
      <w:r w:rsidR="007F0899" w:rsidRPr="007F0899">
        <w:rPr>
          <w:rFonts w:ascii="Garamond" w:eastAsiaTheme="minorHAnsi" w:hAnsi="Garamond" w:cs="Times New Roman"/>
          <w:iCs/>
          <w:color w:val="000000"/>
          <w:sz w:val="24"/>
          <w:szCs w:val="24"/>
        </w:rPr>
        <w:t>”.</w:t>
      </w:r>
    </w:p>
    <w:p w14:paraId="02A1F0A4" w14:textId="30E995DF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4. Pika 3 e vendimit të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ERE-s nr. 186, datë 6.6.2023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bëhet pika 5.</w:t>
      </w:r>
    </w:p>
    <w:p w14:paraId="5851EB34" w14:textId="5C0E49CD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 Drejtoria e Mbrojtjes së Konsumatorit, </w:t>
      </w:r>
      <w:proofErr w:type="spellStart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Performancës</w:t>
      </w:r>
      <w:proofErr w:type="spellEnd"/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Standardeve të njoftojë palët e interesit për vendimin e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2A8BC633" w14:textId="3CCEDD10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vendim hyn në fuqi menjëherë dhe i shtrin efektet juridike nga data 1 </w:t>
      </w:r>
      <w:r w:rsidR="007F0899">
        <w:rPr>
          <w:rFonts w:ascii="Garamond" w:eastAsiaTheme="minorHAnsi" w:hAnsi="Garamond" w:cs="Times New Roman"/>
          <w:color w:val="000000"/>
          <w:sz w:val="24"/>
          <w:szCs w:val="24"/>
        </w:rPr>
        <w:t>j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anar 2024.</w:t>
      </w:r>
    </w:p>
    <w:p w14:paraId="4F3F6C97" w14:textId="035FE6E7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 xml:space="preserve">çojnë </w:t>
      </w:r>
      <w:r w:rsidR="007F0899" w:rsidRPr="007F0899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F35C36F" w14:textId="19889CC2" w:rsidR="00386015" w:rsidRPr="007F0899" w:rsidRDefault="00386015" w:rsidP="0038601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24EBF832" w14:textId="77777777" w:rsidR="00B608D6" w:rsidRPr="007F0899" w:rsidRDefault="00B608D6" w:rsidP="00F15AE8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</w:p>
    <w:p w14:paraId="4C5E9DC0" w14:textId="023E23B1" w:rsidR="00386015" w:rsidRPr="007F0899" w:rsidRDefault="00386015" w:rsidP="00F15AE8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7F0899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KRYETARE NË DETYRË</w:t>
      </w:r>
    </w:p>
    <w:p w14:paraId="5BA58ABD" w14:textId="21AC15E0" w:rsidR="00EC6A00" w:rsidRPr="007F0899" w:rsidRDefault="00386015" w:rsidP="00F15AE8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Erjola</w:t>
      </w:r>
      <w:proofErr w:type="spellEnd"/>
      <w:r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F15AE8" w:rsidRPr="007F089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Sadushi</w:t>
      </w:r>
      <w:proofErr w:type="spellEnd"/>
    </w:p>
    <w:sectPr w:rsidR="00EC6A00" w:rsidRPr="007F0899" w:rsidSect="00386015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743CC" w14:textId="77777777" w:rsidR="007F0899" w:rsidRDefault="007F0899">
      <w:pPr>
        <w:spacing w:after="0" w:line="240" w:lineRule="auto"/>
      </w:pPr>
      <w:r>
        <w:separator/>
      </w:r>
    </w:p>
  </w:endnote>
  <w:endnote w:type="continuationSeparator" w:id="0">
    <w:p w14:paraId="03836F7D" w14:textId="77777777" w:rsidR="007F0899" w:rsidRDefault="007F0899">
      <w:pPr>
        <w:spacing w:after="0" w:line="240" w:lineRule="auto"/>
      </w:pPr>
      <w:r>
        <w:continuationSeparator/>
      </w:r>
    </w:p>
  </w:endnote>
  <w:endnote w:type="continuationNotice" w:id="1">
    <w:p w14:paraId="39DF8C7C" w14:textId="77777777" w:rsidR="007F0899" w:rsidRDefault="007F08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74A3F" w14:textId="77777777" w:rsidR="007F0899" w:rsidRPr="00453F40" w:rsidRDefault="007F0899" w:rsidP="00453F40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DE8B5" w14:textId="77777777" w:rsidR="007F0899" w:rsidRDefault="007F0899">
      <w:pPr>
        <w:spacing w:after="0" w:line="240" w:lineRule="auto"/>
      </w:pPr>
      <w:r>
        <w:separator/>
      </w:r>
    </w:p>
  </w:footnote>
  <w:footnote w:type="continuationSeparator" w:id="0">
    <w:p w14:paraId="387FD88D" w14:textId="77777777" w:rsidR="007F0899" w:rsidRDefault="007F0899">
      <w:pPr>
        <w:spacing w:after="0" w:line="240" w:lineRule="auto"/>
      </w:pPr>
      <w:r>
        <w:continuationSeparator/>
      </w:r>
    </w:p>
  </w:footnote>
  <w:footnote w:type="continuationNotice" w:id="1">
    <w:p w14:paraId="673A4D3A" w14:textId="77777777" w:rsidR="007F0899" w:rsidRDefault="007F08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5779E"/>
    <w:multiLevelType w:val="hybridMultilevel"/>
    <w:tmpl w:val="6E3683D2"/>
    <w:lvl w:ilvl="0" w:tplc="50BE1B9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679A1"/>
    <w:multiLevelType w:val="hybridMultilevel"/>
    <w:tmpl w:val="6F601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6E7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0D36DF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1A4933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D2C73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53"/>
    <w:rsid w:val="000137FE"/>
    <w:rsid w:val="00036607"/>
    <w:rsid w:val="000707A4"/>
    <w:rsid w:val="00071840"/>
    <w:rsid w:val="000D5C3A"/>
    <w:rsid w:val="00114D8C"/>
    <w:rsid w:val="0015779E"/>
    <w:rsid w:val="001A4237"/>
    <w:rsid w:val="001F7240"/>
    <w:rsid w:val="0026433A"/>
    <w:rsid w:val="00291693"/>
    <w:rsid w:val="00311DAB"/>
    <w:rsid w:val="00341967"/>
    <w:rsid w:val="0034548B"/>
    <w:rsid w:val="003657F4"/>
    <w:rsid w:val="00386015"/>
    <w:rsid w:val="003C2363"/>
    <w:rsid w:val="003D0701"/>
    <w:rsid w:val="003E2409"/>
    <w:rsid w:val="003E5216"/>
    <w:rsid w:val="003F1F35"/>
    <w:rsid w:val="004106B2"/>
    <w:rsid w:val="00410727"/>
    <w:rsid w:val="00412495"/>
    <w:rsid w:val="00453F40"/>
    <w:rsid w:val="00535957"/>
    <w:rsid w:val="00551CDF"/>
    <w:rsid w:val="005E3935"/>
    <w:rsid w:val="005F2C87"/>
    <w:rsid w:val="006619FE"/>
    <w:rsid w:val="006E2731"/>
    <w:rsid w:val="006F6D6C"/>
    <w:rsid w:val="007F0899"/>
    <w:rsid w:val="0098345D"/>
    <w:rsid w:val="009B49C6"/>
    <w:rsid w:val="009B6622"/>
    <w:rsid w:val="00A73630"/>
    <w:rsid w:val="00B13E27"/>
    <w:rsid w:val="00B32291"/>
    <w:rsid w:val="00B34B4C"/>
    <w:rsid w:val="00B608D6"/>
    <w:rsid w:val="00BA450F"/>
    <w:rsid w:val="00BB3EE8"/>
    <w:rsid w:val="00BD7A85"/>
    <w:rsid w:val="00BF7CAE"/>
    <w:rsid w:val="00C10901"/>
    <w:rsid w:val="00C16DAF"/>
    <w:rsid w:val="00C37A53"/>
    <w:rsid w:val="00C7034B"/>
    <w:rsid w:val="00C73673"/>
    <w:rsid w:val="00CA7A37"/>
    <w:rsid w:val="00CD0C0B"/>
    <w:rsid w:val="00D44BA3"/>
    <w:rsid w:val="00D50B60"/>
    <w:rsid w:val="00DA2B0A"/>
    <w:rsid w:val="00E27861"/>
    <w:rsid w:val="00E358DB"/>
    <w:rsid w:val="00EA67A1"/>
    <w:rsid w:val="00EC6A00"/>
    <w:rsid w:val="00ED0704"/>
    <w:rsid w:val="00EF5425"/>
    <w:rsid w:val="00F00427"/>
    <w:rsid w:val="00F15AE8"/>
    <w:rsid w:val="00F70C49"/>
    <w:rsid w:val="00F8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B11CC4"/>
  <w15:chartTrackingRefBased/>
  <w15:docId w15:val="{FF851D34-9821-4CDE-A7FB-2AC04884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A53"/>
    <w:pPr>
      <w:spacing w:line="256" w:lineRule="auto"/>
    </w:pPr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C37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A53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List Paragraph1,Bullet1,Citation List,Graphic,List Paragraph Char Char,Bullets,Table of contents numbered,Resume Title,Ha,lp1,List Paragraph11,List Paragraph1 Char Char,Figure_name,Bullet List,FooterText,numbered,Dot pt"/>
    <w:basedOn w:val="Normal"/>
    <w:link w:val="ListParagraphChar"/>
    <w:uiPriority w:val="34"/>
    <w:qFormat/>
    <w:rsid w:val="00C37A5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3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A53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semiHidden/>
    <w:unhideWhenUsed/>
    <w:rsid w:val="00C37A53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1 Char,Bullet1 Char,Citation List Char,Graphic Char,List Paragraph Char Char Char,Bullets Char,Table of contents numbered Char,Resume Title Char,Ha Char,lp1 Char,List Paragraph11 Char,Dot pt Char"/>
    <w:link w:val="ListParagraph"/>
    <w:uiPriority w:val="34"/>
    <w:qFormat/>
    <w:locked/>
    <w:rsid w:val="00C37A53"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ED07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04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04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70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F40"/>
    <w:rPr>
      <w:rFonts w:ascii="Calibri" w:eastAsia="Calibri" w:hAnsi="Calibri" w:cs="SimSun"/>
    </w:rPr>
  </w:style>
  <w:style w:type="paragraph" w:customStyle="1" w:styleId="Default">
    <w:name w:val="Default"/>
    <w:rsid w:val="00DA2B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0CD7766030422DA1BA07E3E02E96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</Nr_x002e__x0020_akti>
    <Data_x0020_e_x0020_Krijimit xmlns="0e656187-b300-4fb0-8bf4-3a50f872073c">2024-04-18T11:41:39Z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Mbi shqyrtimin e kërkesës së shoqatës shqiptare të furnizuesve të energjisë elektrike (AAES) për disa ndryshime dhe kufizime në zbatimin e vendimit të Bordit të ERE-s nr. 186, datë 06.06.2023</Titulli>
    <Modifikuesi xmlns="0e656187-b300-4fb0-8bf4-3a50f872073c">nevila.samarxhi</Modifikuesi>
    <Nr_x002e__x0020_prot_x0020_QBZ xmlns="0e656187-b300-4fb0-8bf4-3a50f872073c">691/4</Nr_x002e__x0020_prot_x0020_QBZ>
    <Data_x0020_e_x0020_Modifikimit xmlns="0e656187-b300-4fb0-8bf4-3a50f872073c">2024-04-19T08:02:37Z</Data_x0020_e_x0020_Modifikimit>
    <Dekretuar xmlns="0e656187-b300-4fb0-8bf4-3a50f872073c">false</Dekretuar>
    <Data xmlns="0e656187-b300-4fb0-8bf4-3a50f872073c">2024-03-29T00:00:00Z</Data>
    <Nr_x002e__x0020_protokolli_x0020_i_x0020_aktit xmlns="0e656187-b300-4fb0-8bf4-3a50f872073c">930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0CD7766030422DA1BA07E3E02E96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9ADF1-93DE-482C-BA21-9DA6F54DBE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FAB77C-6AE1-4B48-BB5C-1843F7304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B57E4DC-3D38-47A4-844E-54E49528AEBD}">
  <ds:schemaRefs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BAA2032-66B1-442D-823C-9E343BB56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27E992-203C-4993-B77D-7154658B7F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së shoqatës shqiptare të furnizuesve të energjisë elektrike (AAES) për disa ndryshime dhe kufizime në zbatimin e vendimit të Bordit të ERE-s nr. 186, datë 06.06.2023</vt:lpstr>
    </vt:vector>
  </TitlesOfParts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së shoqatës shqiptare të furnizuesve të energjisë elektrike (AAES) për disa ndryshime dhe kufizime në zbatimin e vendimit të Bordit të ERE-s nr. 186, datë 06.06.2023</dc:title>
  <dc:creator>Rovalda Mema</dc:creator>
  <cp:lastModifiedBy>Fjora Cahani</cp:lastModifiedBy>
  <cp:revision>7</cp:revision>
  <dcterms:created xsi:type="dcterms:W3CDTF">2024-04-18T10:27:00Z</dcterms:created>
  <dcterms:modified xsi:type="dcterms:W3CDTF">2024-04-19T10:28:00Z</dcterms:modified>
</cp:coreProperties>
</file>