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20FBB" w14:textId="77777777" w:rsidR="00AD794E" w:rsidRPr="00E9093A" w:rsidRDefault="00AD794E" w:rsidP="00AD794E">
      <w:pPr>
        <w:spacing w:after="0" w:line="240" w:lineRule="auto"/>
        <w:ind w:firstLine="284"/>
        <w:jc w:val="center"/>
        <w:rPr>
          <w:rFonts w:ascii="Garamond" w:hAnsi="Garamond"/>
          <w:b/>
          <w:bCs/>
          <w:sz w:val="24"/>
          <w:szCs w:val="24"/>
        </w:rPr>
      </w:pPr>
      <w:r w:rsidRPr="00E9093A">
        <w:rPr>
          <w:rFonts w:ascii="Garamond" w:hAnsi="Garamond"/>
          <w:b/>
          <w:bCs/>
          <w:sz w:val="24"/>
          <w:szCs w:val="24"/>
        </w:rPr>
        <w:t>VENDIM</w:t>
      </w:r>
    </w:p>
    <w:p w14:paraId="7F222BE2" w14:textId="689DC1F8" w:rsidR="00AD794E" w:rsidRPr="00E9093A" w:rsidRDefault="00AD794E" w:rsidP="00AD794E">
      <w:pPr>
        <w:spacing w:after="0" w:line="240" w:lineRule="auto"/>
        <w:ind w:firstLine="284"/>
        <w:jc w:val="center"/>
        <w:rPr>
          <w:rFonts w:ascii="Garamond" w:hAnsi="Garamond"/>
          <w:b/>
          <w:bCs/>
          <w:sz w:val="24"/>
          <w:szCs w:val="24"/>
        </w:rPr>
      </w:pPr>
      <w:r w:rsidRPr="00E9093A">
        <w:rPr>
          <w:rFonts w:ascii="Garamond" w:hAnsi="Garamond"/>
          <w:b/>
          <w:bCs/>
          <w:sz w:val="24"/>
          <w:szCs w:val="24"/>
        </w:rPr>
        <w:t>Nr. 83, datë 2.5.2024</w:t>
      </w:r>
    </w:p>
    <w:p w14:paraId="5CFA6AB8" w14:textId="77777777" w:rsidR="00AD794E" w:rsidRPr="00E9093A" w:rsidRDefault="00AD794E" w:rsidP="00AD794E">
      <w:pPr>
        <w:spacing w:after="0" w:line="240" w:lineRule="auto"/>
        <w:ind w:firstLine="284"/>
        <w:jc w:val="center"/>
        <w:rPr>
          <w:rFonts w:ascii="Garamond" w:hAnsi="Garamond"/>
          <w:b/>
          <w:bCs/>
          <w:sz w:val="24"/>
          <w:szCs w:val="24"/>
        </w:rPr>
      </w:pPr>
    </w:p>
    <w:p w14:paraId="7401D019" w14:textId="60CD67E7" w:rsidR="00AD794E" w:rsidRPr="00E9093A" w:rsidRDefault="00AD794E" w:rsidP="00AD794E">
      <w:pPr>
        <w:spacing w:after="0" w:line="240" w:lineRule="auto"/>
        <w:ind w:firstLine="284"/>
        <w:jc w:val="center"/>
        <w:rPr>
          <w:rFonts w:ascii="Garamond" w:hAnsi="Garamond"/>
          <w:b/>
          <w:bCs/>
          <w:sz w:val="24"/>
          <w:szCs w:val="24"/>
        </w:rPr>
      </w:pPr>
      <w:r w:rsidRPr="00E9093A">
        <w:rPr>
          <w:rFonts w:ascii="Garamond" w:hAnsi="Garamond"/>
          <w:b/>
          <w:bCs/>
          <w:sz w:val="24"/>
          <w:szCs w:val="24"/>
        </w:rPr>
        <w:t>MBI LLOGARITJEN E PAGESAVE RREGULLATORE PËR VITIN 2024</w:t>
      </w:r>
    </w:p>
    <w:p w14:paraId="049955BB" w14:textId="77777777" w:rsidR="00AD794E" w:rsidRPr="00E9093A" w:rsidRDefault="00AD794E" w:rsidP="00AD794E">
      <w:pPr>
        <w:spacing w:after="0" w:line="240" w:lineRule="auto"/>
        <w:ind w:firstLine="284"/>
        <w:jc w:val="center"/>
        <w:rPr>
          <w:rFonts w:ascii="Garamond" w:hAnsi="Garamond"/>
          <w:b/>
          <w:bCs/>
          <w:sz w:val="24"/>
          <w:szCs w:val="24"/>
        </w:rPr>
      </w:pPr>
    </w:p>
    <w:p w14:paraId="097AAA26" w14:textId="35D92F59"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sz w:val="24"/>
          <w:szCs w:val="24"/>
        </w:rPr>
        <w:t xml:space="preserve">Në mbështetje të nenit 17, pika 4, nenit 20, </w:t>
      </w:r>
      <w:r w:rsidR="00E9093A" w:rsidRPr="00E9093A">
        <w:rPr>
          <w:rFonts w:ascii="Garamond" w:hAnsi="Garamond"/>
          <w:sz w:val="24"/>
          <w:szCs w:val="24"/>
        </w:rPr>
        <w:t>germa</w:t>
      </w:r>
      <w:r w:rsidRPr="00E9093A">
        <w:rPr>
          <w:rFonts w:ascii="Garamond" w:hAnsi="Garamond"/>
          <w:sz w:val="24"/>
          <w:szCs w:val="24"/>
        </w:rPr>
        <w:t xml:space="preserve"> “d”, nenit 35, pika 1, neneve 45 dhe 46, nenit 51, pika 2, </w:t>
      </w:r>
      <w:r w:rsidR="00E9093A" w:rsidRPr="00E9093A">
        <w:rPr>
          <w:rFonts w:ascii="Garamond" w:hAnsi="Garamond"/>
          <w:sz w:val="24"/>
          <w:szCs w:val="24"/>
        </w:rPr>
        <w:t>germa</w:t>
      </w:r>
      <w:r w:rsidRPr="00E9093A">
        <w:rPr>
          <w:rFonts w:ascii="Garamond" w:hAnsi="Garamond"/>
          <w:sz w:val="24"/>
          <w:szCs w:val="24"/>
        </w:rPr>
        <w:t xml:space="preserve"> “dh”, të ligjit nr. 43/2015, </w:t>
      </w:r>
      <w:r w:rsidRPr="007D6E24">
        <w:rPr>
          <w:rFonts w:ascii="Garamond" w:hAnsi="Garamond"/>
          <w:sz w:val="24"/>
          <w:szCs w:val="24"/>
        </w:rPr>
        <w:t>“</w:t>
      </w:r>
      <w:r w:rsidRPr="007D6E24">
        <w:rPr>
          <w:rFonts w:ascii="Garamond" w:hAnsi="Garamond"/>
          <w:iCs/>
          <w:sz w:val="24"/>
          <w:szCs w:val="24"/>
        </w:rPr>
        <w:t>Për sektorin e energjisë elektrike</w:t>
      </w:r>
      <w:r w:rsidRPr="007D6E24">
        <w:rPr>
          <w:rFonts w:ascii="Garamond" w:hAnsi="Garamond"/>
          <w:sz w:val="24"/>
          <w:szCs w:val="24"/>
        </w:rPr>
        <w:t>”, i ndryshuar; neneve 14 dhe 30, pika 3, nenit 31, pika 1, të ligjit nr. 102/2015</w:t>
      </w:r>
      <w:r w:rsidR="0023306F">
        <w:rPr>
          <w:rFonts w:ascii="Garamond" w:hAnsi="Garamond"/>
          <w:sz w:val="24"/>
          <w:szCs w:val="24"/>
        </w:rPr>
        <w:t>,</w:t>
      </w:r>
      <w:r w:rsidRPr="007D6E24">
        <w:rPr>
          <w:rFonts w:ascii="Garamond" w:hAnsi="Garamond"/>
          <w:sz w:val="24"/>
          <w:szCs w:val="24"/>
        </w:rPr>
        <w:t xml:space="preserve"> “</w:t>
      </w:r>
      <w:r w:rsidRPr="007D6E24">
        <w:rPr>
          <w:rFonts w:ascii="Garamond" w:hAnsi="Garamond"/>
          <w:iCs/>
          <w:sz w:val="24"/>
          <w:szCs w:val="24"/>
        </w:rPr>
        <w:t>Për sektorin e gazit natyror</w:t>
      </w:r>
      <w:r w:rsidRPr="007D6E24">
        <w:rPr>
          <w:rFonts w:ascii="Garamond" w:hAnsi="Garamond"/>
          <w:sz w:val="24"/>
          <w:szCs w:val="24"/>
        </w:rPr>
        <w:t>”, i ndryshuar; nenit 5, pika</w:t>
      </w:r>
      <w:r w:rsidR="00705023">
        <w:rPr>
          <w:rFonts w:ascii="Garamond" w:hAnsi="Garamond"/>
          <w:sz w:val="24"/>
          <w:szCs w:val="24"/>
        </w:rPr>
        <w:t>t</w:t>
      </w:r>
      <w:r w:rsidRPr="007D6E24">
        <w:rPr>
          <w:rFonts w:ascii="Garamond" w:hAnsi="Garamond"/>
          <w:sz w:val="24"/>
          <w:szCs w:val="24"/>
        </w:rPr>
        <w:t xml:space="preserve"> 5.2, 5.3 dhe 5.4, nenit 6, pika</w:t>
      </w:r>
      <w:r w:rsidR="0033531D">
        <w:rPr>
          <w:rFonts w:ascii="Garamond" w:hAnsi="Garamond"/>
          <w:sz w:val="24"/>
          <w:szCs w:val="24"/>
        </w:rPr>
        <w:t>t</w:t>
      </w:r>
      <w:r w:rsidRPr="007D6E24">
        <w:rPr>
          <w:rFonts w:ascii="Garamond" w:hAnsi="Garamond"/>
          <w:sz w:val="24"/>
          <w:szCs w:val="24"/>
        </w:rPr>
        <w:t xml:space="preserve"> 6.1, 6.1.1 (</w:t>
      </w:r>
      <w:r w:rsidR="00E9093A" w:rsidRPr="007D6E24">
        <w:rPr>
          <w:rFonts w:ascii="Garamond" w:hAnsi="Garamond"/>
          <w:sz w:val="24"/>
          <w:szCs w:val="24"/>
        </w:rPr>
        <w:t>germat</w:t>
      </w:r>
      <w:r w:rsidRPr="007D6E24">
        <w:rPr>
          <w:rFonts w:ascii="Garamond" w:hAnsi="Garamond"/>
          <w:sz w:val="24"/>
          <w:szCs w:val="24"/>
        </w:rPr>
        <w:t xml:space="preserve"> “a”, “b” dhe “c”), 6.2, 6.3 dhe</w:t>
      </w:r>
      <w:r w:rsidRPr="00E9093A">
        <w:rPr>
          <w:rFonts w:ascii="Garamond" w:hAnsi="Garamond"/>
          <w:sz w:val="24"/>
          <w:szCs w:val="24"/>
        </w:rPr>
        <w:t xml:space="preserve"> 6.4 të </w:t>
      </w:r>
      <w:r w:rsidR="007D6E24" w:rsidRPr="007D6E24">
        <w:rPr>
          <w:rFonts w:ascii="Garamond" w:hAnsi="Garamond"/>
          <w:sz w:val="24"/>
          <w:szCs w:val="24"/>
        </w:rPr>
        <w:t>“</w:t>
      </w:r>
      <w:r w:rsidRPr="007D6E24">
        <w:rPr>
          <w:rFonts w:ascii="Garamond" w:hAnsi="Garamond"/>
          <w:iCs/>
          <w:sz w:val="24"/>
          <w:szCs w:val="24"/>
        </w:rPr>
        <w:t>Rregullores mbi përcaktimin e miratimin e pagesave rregullatore</w:t>
      </w:r>
      <w:r w:rsidR="007D6E24" w:rsidRPr="007D6E24">
        <w:rPr>
          <w:rFonts w:ascii="Garamond" w:hAnsi="Garamond"/>
          <w:iCs/>
          <w:sz w:val="24"/>
          <w:szCs w:val="24"/>
        </w:rPr>
        <w:t>”</w:t>
      </w:r>
      <w:r w:rsidRPr="007D6E24">
        <w:rPr>
          <w:rFonts w:ascii="Garamond" w:hAnsi="Garamond"/>
          <w:sz w:val="24"/>
          <w:szCs w:val="24"/>
        </w:rPr>
        <w:t>,</w:t>
      </w:r>
      <w:r w:rsidRPr="00E9093A">
        <w:rPr>
          <w:rFonts w:ascii="Garamond" w:hAnsi="Garamond"/>
          <w:sz w:val="24"/>
          <w:szCs w:val="24"/>
        </w:rPr>
        <w:t xml:space="preserve"> miratuar me vendimin e </w:t>
      </w:r>
      <w:r w:rsidR="00802D44" w:rsidRPr="00E9093A">
        <w:rPr>
          <w:rFonts w:ascii="Garamond" w:hAnsi="Garamond"/>
          <w:sz w:val="24"/>
          <w:szCs w:val="24"/>
        </w:rPr>
        <w:t xml:space="preserve">Bordit </w:t>
      </w:r>
      <w:r w:rsidRPr="00E9093A">
        <w:rPr>
          <w:rFonts w:ascii="Garamond" w:hAnsi="Garamond"/>
          <w:sz w:val="24"/>
          <w:szCs w:val="24"/>
        </w:rPr>
        <w:t>të Entit Rregullator të Energjisë (ERE) nr.</w:t>
      </w:r>
      <w:r w:rsidR="00E9093A" w:rsidRPr="00E9093A">
        <w:rPr>
          <w:rFonts w:ascii="Garamond" w:hAnsi="Garamond"/>
          <w:sz w:val="24"/>
          <w:szCs w:val="24"/>
        </w:rPr>
        <w:t xml:space="preserve"> </w:t>
      </w:r>
      <w:r w:rsidRPr="00E9093A">
        <w:rPr>
          <w:rFonts w:ascii="Garamond" w:hAnsi="Garamond"/>
          <w:sz w:val="24"/>
          <w:szCs w:val="24"/>
        </w:rPr>
        <w:t xml:space="preserve">190, datë 23.11.2017, e ndryshuar; neneve 15, 16 dhe 17 të </w:t>
      </w:r>
      <w:r w:rsidR="007D6E24" w:rsidRPr="007D6E24">
        <w:rPr>
          <w:rFonts w:ascii="Garamond" w:hAnsi="Garamond"/>
          <w:sz w:val="24"/>
          <w:szCs w:val="24"/>
        </w:rPr>
        <w:t>“</w:t>
      </w:r>
      <w:r w:rsidRPr="007D6E24">
        <w:rPr>
          <w:rFonts w:ascii="Garamond" w:hAnsi="Garamond"/>
          <w:iCs/>
          <w:sz w:val="24"/>
          <w:szCs w:val="24"/>
        </w:rPr>
        <w:t>Rregullores për organizimin, funksionimin dhe procedurat e ERE-s</w:t>
      </w:r>
      <w:r w:rsidR="007D6E24" w:rsidRPr="007D6E24">
        <w:rPr>
          <w:rFonts w:ascii="Garamond" w:hAnsi="Garamond"/>
          <w:iCs/>
          <w:sz w:val="24"/>
          <w:szCs w:val="24"/>
        </w:rPr>
        <w:t>”</w:t>
      </w:r>
      <w:r w:rsidRPr="007D6E24">
        <w:rPr>
          <w:rFonts w:ascii="Garamond" w:hAnsi="Garamond"/>
          <w:sz w:val="24"/>
          <w:szCs w:val="24"/>
        </w:rPr>
        <w:t xml:space="preserve">, </w:t>
      </w:r>
      <w:r w:rsidRPr="00E9093A">
        <w:rPr>
          <w:rFonts w:ascii="Garamond" w:hAnsi="Garamond"/>
          <w:sz w:val="24"/>
          <w:szCs w:val="24"/>
        </w:rPr>
        <w:t xml:space="preserve">miratuar me vendimin e </w:t>
      </w:r>
      <w:r w:rsidR="00802D44" w:rsidRPr="00E9093A">
        <w:rPr>
          <w:rFonts w:ascii="Garamond" w:hAnsi="Garamond"/>
          <w:sz w:val="24"/>
          <w:szCs w:val="24"/>
        </w:rPr>
        <w:t xml:space="preserve">Bordit </w:t>
      </w:r>
      <w:r w:rsidRPr="00E9093A">
        <w:rPr>
          <w:rFonts w:ascii="Garamond" w:hAnsi="Garamond"/>
          <w:sz w:val="24"/>
          <w:szCs w:val="24"/>
        </w:rPr>
        <w:t>të ERE-s nr. 96, datë 17.6.2016; pikës 2 të vendimit nr. 171, datë 15.5.2023</w:t>
      </w:r>
      <w:r w:rsidR="00E9093A" w:rsidRPr="00E9093A">
        <w:rPr>
          <w:rFonts w:ascii="Garamond" w:hAnsi="Garamond"/>
          <w:sz w:val="24"/>
          <w:szCs w:val="24"/>
        </w:rPr>
        <w:t>,</w:t>
      </w:r>
      <w:r w:rsidRPr="00E9093A">
        <w:rPr>
          <w:rFonts w:ascii="Garamond" w:hAnsi="Garamond"/>
          <w:b/>
          <w:bCs/>
          <w:sz w:val="24"/>
          <w:szCs w:val="24"/>
        </w:rPr>
        <w:t xml:space="preserve"> </w:t>
      </w:r>
      <w:r w:rsidRPr="00E9093A">
        <w:rPr>
          <w:rFonts w:ascii="Garamond" w:hAnsi="Garamond"/>
          <w:sz w:val="24"/>
          <w:szCs w:val="24"/>
        </w:rPr>
        <w:t xml:space="preserve">të </w:t>
      </w:r>
      <w:r w:rsidR="00E9093A" w:rsidRPr="00E9093A">
        <w:rPr>
          <w:rFonts w:ascii="Garamond" w:hAnsi="Garamond"/>
          <w:sz w:val="24"/>
          <w:szCs w:val="24"/>
        </w:rPr>
        <w:t xml:space="preserve">Bordit </w:t>
      </w:r>
      <w:r w:rsidRPr="00E9093A">
        <w:rPr>
          <w:rFonts w:ascii="Garamond" w:hAnsi="Garamond"/>
          <w:sz w:val="24"/>
          <w:szCs w:val="24"/>
        </w:rPr>
        <w:t xml:space="preserve">të ERE-s </w:t>
      </w:r>
      <w:r w:rsidRPr="007D6E24">
        <w:rPr>
          <w:rFonts w:ascii="Garamond" w:hAnsi="Garamond"/>
          <w:sz w:val="24"/>
          <w:szCs w:val="24"/>
        </w:rPr>
        <w:t>“</w:t>
      </w:r>
      <w:r w:rsidRPr="007D6E24">
        <w:rPr>
          <w:rFonts w:ascii="Garamond" w:hAnsi="Garamond"/>
          <w:iCs/>
          <w:sz w:val="24"/>
          <w:szCs w:val="24"/>
        </w:rPr>
        <w:t>Mbi llogaritjen e pagesave rregullatore për vitin 2023</w:t>
      </w:r>
      <w:r w:rsidRPr="007D6E24">
        <w:rPr>
          <w:rFonts w:ascii="Garamond" w:hAnsi="Garamond"/>
          <w:sz w:val="24"/>
          <w:szCs w:val="24"/>
        </w:rPr>
        <w:t xml:space="preserve">”; </w:t>
      </w:r>
      <w:r w:rsidRPr="00E9093A">
        <w:rPr>
          <w:rFonts w:ascii="Garamond" w:hAnsi="Garamond"/>
          <w:sz w:val="24"/>
          <w:szCs w:val="24"/>
        </w:rPr>
        <w:t xml:space="preserve">Bordi i ERE-s, në mbledhjen e tij të datës 2.5.2024, pasi shqyrtoi relacionin e përgatitur me nr. 1017 </w:t>
      </w:r>
      <w:proofErr w:type="spellStart"/>
      <w:r w:rsidRPr="00E9093A">
        <w:rPr>
          <w:rFonts w:ascii="Garamond" w:hAnsi="Garamond"/>
          <w:sz w:val="24"/>
          <w:szCs w:val="24"/>
        </w:rPr>
        <w:t>prot</w:t>
      </w:r>
      <w:proofErr w:type="spellEnd"/>
      <w:r w:rsidRPr="00E9093A">
        <w:rPr>
          <w:rFonts w:ascii="Garamond" w:hAnsi="Garamond"/>
          <w:sz w:val="24"/>
          <w:szCs w:val="24"/>
        </w:rPr>
        <w:t xml:space="preserve">., datë 30.4.2024 nga </w:t>
      </w:r>
      <w:r w:rsidR="00E9093A" w:rsidRPr="00E9093A">
        <w:rPr>
          <w:rFonts w:ascii="Garamond" w:hAnsi="Garamond"/>
          <w:sz w:val="24"/>
          <w:szCs w:val="24"/>
        </w:rPr>
        <w:t xml:space="preserve">drejtoritë teknike </w:t>
      </w:r>
      <w:r w:rsidRPr="00E9093A">
        <w:rPr>
          <w:rFonts w:ascii="Garamond" w:hAnsi="Garamond"/>
          <w:sz w:val="24"/>
          <w:szCs w:val="24"/>
        </w:rPr>
        <w:t>“</w:t>
      </w:r>
      <w:r w:rsidRPr="00E9093A">
        <w:rPr>
          <w:rFonts w:ascii="Garamond" w:hAnsi="Garamond"/>
          <w:iCs/>
          <w:sz w:val="24"/>
          <w:szCs w:val="24"/>
        </w:rPr>
        <w:t>Mbi llogaritjen e pagesave rregullatore për vitin 2024</w:t>
      </w:r>
      <w:r w:rsidRPr="00E9093A">
        <w:rPr>
          <w:rFonts w:ascii="Garamond" w:hAnsi="Garamond"/>
          <w:sz w:val="24"/>
          <w:szCs w:val="24"/>
        </w:rPr>
        <w:t>”,</w:t>
      </w:r>
    </w:p>
    <w:p w14:paraId="41DE24A8" w14:textId="2F38A66B" w:rsidR="00AD794E" w:rsidRPr="00E9093A" w:rsidRDefault="00E9093A" w:rsidP="00AD794E">
      <w:pPr>
        <w:spacing w:after="0" w:line="240" w:lineRule="auto"/>
        <w:ind w:firstLine="284"/>
        <w:jc w:val="both"/>
        <w:rPr>
          <w:rFonts w:ascii="Garamond" w:hAnsi="Garamond"/>
          <w:bCs/>
          <w:sz w:val="24"/>
          <w:szCs w:val="24"/>
        </w:rPr>
      </w:pPr>
      <w:r w:rsidRPr="00E9093A">
        <w:rPr>
          <w:rFonts w:ascii="Garamond" w:hAnsi="Garamond"/>
          <w:bCs/>
          <w:sz w:val="24"/>
          <w:szCs w:val="24"/>
        </w:rPr>
        <w:t>k</w:t>
      </w:r>
      <w:r w:rsidR="00AD794E" w:rsidRPr="00E9093A">
        <w:rPr>
          <w:rFonts w:ascii="Garamond" w:hAnsi="Garamond"/>
          <w:bCs/>
          <w:sz w:val="24"/>
          <w:szCs w:val="24"/>
        </w:rPr>
        <w:t>onstatoi se:</w:t>
      </w:r>
    </w:p>
    <w:p w14:paraId="02312B5C" w14:textId="5BF01A88"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cs="Symbol"/>
          <w:sz w:val="24"/>
          <w:szCs w:val="24"/>
        </w:rPr>
        <w:t xml:space="preserve">- </w:t>
      </w:r>
      <w:r w:rsidRPr="00E9093A">
        <w:rPr>
          <w:rFonts w:ascii="Garamond" w:hAnsi="Garamond"/>
          <w:sz w:val="24"/>
          <w:szCs w:val="24"/>
        </w:rPr>
        <w:t>ERE përcakton dhe miraton pagesën rregullatore që paguhet prej të licencuarve në sektorin e energjisë elektrike dhe të gazit natyror.</w:t>
      </w:r>
    </w:p>
    <w:p w14:paraId="3359123C" w14:textId="0F32E95C"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cs="Symbol"/>
          <w:sz w:val="24"/>
          <w:szCs w:val="24"/>
        </w:rPr>
        <w:t xml:space="preserve">- </w:t>
      </w:r>
      <w:r w:rsidRPr="00E9093A">
        <w:rPr>
          <w:rFonts w:ascii="Garamond" w:hAnsi="Garamond"/>
          <w:sz w:val="24"/>
          <w:szCs w:val="24"/>
        </w:rPr>
        <w:t>ERE</w:t>
      </w:r>
      <w:r w:rsidR="002D3C42">
        <w:rPr>
          <w:rFonts w:ascii="Garamond" w:hAnsi="Garamond"/>
          <w:sz w:val="24"/>
          <w:szCs w:val="24"/>
        </w:rPr>
        <w:t>,</w:t>
      </w:r>
      <w:r w:rsidRPr="00E9093A">
        <w:rPr>
          <w:rFonts w:ascii="Garamond" w:hAnsi="Garamond"/>
          <w:sz w:val="24"/>
          <w:szCs w:val="24"/>
        </w:rPr>
        <w:t xml:space="preserve"> me shkresat dhe e-</w:t>
      </w:r>
      <w:proofErr w:type="spellStart"/>
      <w:r w:rsidRPr="00E9093A">
        <w:rPr>
          <w:rFonts w:ascii="Garamond" w:hAnsi="Garamond"/>
          <w:sz w:val="24"/>
          <w:szCs w:val="24"/>
        </w:rPr>
        <w:t>mailet</w:t>
      </w:r>
      <w:proofErr w:type="spellEnd"/>
      <w:r w:rsidRPr="00E9093A">
        <w:rPr>
          <w:rFonts w:ascii="Garamond" w:hAnsi="Garamond"/>
          <w:sz w:val="24"/>
          <w:szCs w:val="24"/>
        </w:rPr>
        <w:t xml:space="preserve"> e protokolluara gjatë periudhës janar–prill 2024, me lëndë “</w:t>
      </w:r>
      <w:r w:rsidRPr="00E9093A">
        <w:rPr>
          <w:rFonts w:ascii="Garamond" w:hAnsi="Garamond"/>
          <w:i/>
          <w:iCs/>
          <w:sz w:val="24"/>
          <w:szCs w:val="24"/>
        </w:rPr>
        <w:t xml:space="preserve">Kërkohet depozitimi i pasqyrave financiare të plota për vitin 2023”, </w:t>
      </w:r>
      <w:r w:rsidRPr="00E9093A">
        <w:rPr>
          <w:rFonts w:ascii="Garamond" w:hAnsi="Garamond"/>
          <w:sz w:val="24"/>
          <w:szCs w:val="24"/>
        </w:rPr>
        <w:t>ju rikujtojë të gjitha subjekteve të licencuara përmbushjen e detyrimit për depozitimin e pasqyrave financiare për vitin 2023 duke mbajtur në konsideratë dhe ndarjen në llogari t</w:t>
      </w:r>
      <w:r w:rsidR="00AE73A0" w:rsidRPr="00E9093A">
        <w:rPr>
          <w:rFonts w:ascii="Garamond" w:hAnsi="Garamond"/>
          <w:sz w:val="24"/>
          <w:szCs w:val="24"/>
        </w:rPr>
        <w:t>ë</w:t>
      </w:r>
      <w:r w:rsidRPr="00E9093A">
        <w:rPr>
          <w:rFonts w:ascii="Garamond" w:hAnsi="Garamond"/>
          <w:sz w:val="24"/>
          <w:szCs w:val="24"/>
        </w:rPr>
        <w:t xml:space="preserve"> veçanta për secilën nga veprimtaritë e licencuara, si dhe për çdo aktivitet tjetër që nuk lidhet me sektorin e energjisë elektrike, me qëllim shmangien e </w:t>
      </w:r>
      <w:proofErr w:type="spellStart"/>
      <w:r w:rsidRPr="00E9093A">
        <w:rPr>
          <w:rFonts w:ascii="Garamond" w:hAnsi="Garamond"/>
          <w:sz w:val="24"/>
          <w:szCs w:val="24"/>
        </w:rPr>
        <w:t>ndërsubvencionimit</w:t>
      </w:r>
      <w:proofErr w:type="spellEnd"/>
      <w:r w:rsidRPr="00E9093A">
        <w:rPr>
          <w:rFonts w:ascii="Garamond" w:hAnsi="Garamond"/>
          <w:sz w:val="24"/>
          <w:szCs w:val="24"/>
        </w:rPr>
        <w:t xml:space="preserve"> dhe c</w:t>
      </w:r>
      <w:r w:rsidR="00E17FB3">
        <w:rPr>
          <w:rFonts w:ascii="Garamond" w:hAnsi="Garamond"/>
          <w:sz w:val="24"/>
          <w:szCs w:val="24"/>
        </w:rPr>
        <w:t>e</w:t>
      </w:r>
      <w:r w:rsidRPr="00E9093A">
        <w:rPr>
          <w:rFonts w:ascii="Garamond" w:hAnsi="Garamond"/>
          <w:sz w:val="24"/>
          <w:szCs w:val="24"/>
        </w:rPr>
        <w:t>nimit të konkurrencës, në zbatim të përcaktimeve të nenit 35, pika 1 dhe nenit 46, pika 1</w:t>
      </w:r>
      <w:r w:rsidR="00E17FB3">
        <w:rPr>
          <w:rFonts w:ascii="Garamond" w:hAnsi="Garamond"/>
          <w:sz w:val="24"/>
          <w:szCs w:val="24"/>
        </w:rPr>
        <w:t>,</w:t>
      </w:r>
      <w:r w:rsidRPr="00E9093A">
        <w:rPr>
          <w:rFonts w:ascii="Garamond" w:hAnsi="Garamond"/>
          <w:sz w:val="24"/>
          <w:szCs w:val="24"/>
        </w:rPr>
        <w:t xml:space="preserve"> të ligjit nr. 43/2015</w:t>
      </w:r>
      <w:r w:rsidR="00E17FB3">
        <w:rPr>
          <w:rFonts w:ascii="Garamond" w:hAnsi="Garamond"/>
          <w:sz w:val="24"/>
          <w:szCs w:val="24"/>
        </w:rPr>
        <w:t>,</w:t>
      </w:r>
      <w:r w:rsidRPr="00E9093A">
        <w:rPr>
          <w:rFonts w:ascii="Garamond" w:hAnsi="Garamond"/>
          <w:sz w:val="24"/>
          <w:szCs w:val="24"/>
        </w:rPr>
        <w:t xml:space="preserve"> “Për sektorin e energjisë elektrike”, i ndryshuar.</w:t>
      </w:r>
    </w:p>
    <w:p w14:paraId="7B1D48E9" w14:textId="279C95ED"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cs="Symbol"/>
          <w:sz w:val="24"/>
          <w:szCs w:val="24"/>
        </w:rPr>
        <w:t xml:space="preserve">- </w:t>
      </w:r>
      <w:r w:rsidRPr="00E9093A">
        <w:rPr>
          <w:rFonts w:ascii="Garamond" w:hAnsi="Garamond"/>
          <w:sz w:val="24"/>
          <w:szCs w:val="24"/>
        </w:rPr>
        <w:t xml:space="preserve">Duke </w:t>
      </w:r>
      <w:r w:rsidR="00E17FB3">
        <w:rPr>
          <w:rFonts w:ascii="Garamond" w:hAnsi="Garamond"/>
          <w:sz w:val="24"/>
          <w:szCs w:val="24"/>
        </w:rPr>
        <w:t>i</w:t>
      </w:r>
      <w:r w:rsidRPr="00E9093A">
        <w:rPr>
          <w:rFonts w:ascii="Garamond" w:hAnsi="Garamond"/>
          <w:sz w:val="24"/>
          <w:szCs w:val="24"/>
        </w:rPr>
        <w:t>u referuar bazës së të dhënave, rezultojnë 374 të licencuar nga ERE deri në fund të vitit 2023</w:t>
      </w:r>
      <w:r w:rsidR="0037720D">
        <w:rPr>
          <w:rFonts w:ascii="Garamond" w:hAnsi="Garamond"/>
          <w:sz w:val="24"/>
          <w:szCs w:val="24"/>
        </w:rPr>
        <w:t>,</w:t>
      </w:r>
      <w:r w:rsidRPr="00E9093A">
        <w:rPr>
          <w:rFonts w:ascii="Garamond" w:hAnsi="Garamond"/>
          <w:sz w:val="24"/>
          <w:szCs w:val="24"/>
        </w:rPr>
        <w:t xml:space="preserve"> të cilët janë subjekt i pagesave rregullatore për vitin 2024.</w:t>
      </w:r>
    </w:p>
    <w:p w14:paraId="2D82FD92" w14:textId="2F095DFB"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cs="Symbol"/>
          <w:sz w:val="24"/>
          <w:szCs w:val="24"/>
        </w:rPr>
        <w:t xml:space="preserve">- </w:t>
      </w:r>
      <w:r w:rsidRPr="00E9093A">
        <w:rPr>
          <w:rFonts w:ascii="Garamond" w:hAnsi="Garamond"/>
          <w:sz w:val="24"/>
          <w:szCs w:val="24"/>
        </w:rPr>
        <w:t xml:space="preserve">Pagesa rregullatore për vitin 2024 është përllogaritur mbështetur në përcaktimet e pikave 5.3 dhe 5.4 të nenit 5 dhe pikave 6.1, 6.1.1 </w:t>
      </w:r>
      <w:r w:rsidR="00E9093A" w:rsidRPr="00E9093A">
        <w:rPr>
          <w:rFonts w:ascii="Garamond" w:hAnsi="Garamond"/>
          <w:sz w:val="24"/>
          <w:szCs w:val="24"/>
        </w:rPr>
        <w:t>germat</w:t>
      </w:r>
      <w:r w:rsidRPr="00E9093A">
        <w:rPr>
          <w:rFonts w:ascii="Garamond" w:hAnsi="Garamond"/>
          <w:sz w:val="24"/>
          <w:szCs w:val="24"/>
        </w:rPr>
        <w:t xml:space="preserve"> “a”, “b” dhe “c”, 6.2, 6.3 dhe 6.4, të nenit 6 të “Rregullores mbi përcaktimin e miratimin e pagesave rregullatore”, miratuar me vendimin e </w:t>
      </w:r>
      <w:r w:rsidR="00CC64DC" w:rsidRPr="00E9093A">
        <w:rPr>
          <w:rFonts w:ascii="Garamond" w:hAnsi="Garamond"/>
          <w:sz w:val="24"/>
          <w:szCs w:val="24"/>
        </w:rPr>
        <w:t xml:space="preserve">Bordit </w:t>
      </w:r>
      <w:r w:rsidRPr="00E9093A">
        <w:rPr>
          <w:rFonts w:ascii="Garamond" w:hAnsi="Garamond"/>
          <w:sz w:val="24"/>
          <w:szCs w:val="24"/>
        </w:rPr>
        <w:t>të ERE-s nr. 190/2017, e ndryshuar.</w:t>
      </w:r>
    </w:p>
    <w:p w14:paraId="1546854F" w14:textId="0D132317"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cs="Symbol"/>
          <w:sz w:val="24"/>
          <w:szCs w:val="24"/>
        </w:rPr>
        <w:t xml:space="preserve">- </w:t>
      </w:r>
      <w:r w:rsidRPr="00E9093A">
        <w:rPr>
          <w:rFonts w:ascii="Garamond" w:hAnsi="Garamond"/>
          <w:sz w:val="24"/>
          <w:szCs w:val="24"/>
        </w:rPr>
        <w:t>Informacioni bazë për llogaritjen e pagesave rregullatore për vitin 2024 u përftua në përputhje me përcaktimet e legjislacionit në fuqi.</w:t>
      </w:r>
    </w:p>
    <w:p w14:paraId="4D74F52D" w14:textId="4BD4BFF7" w:rsidR="00AD794E" w:rsidRPr="00E9093A" w:rsidRDefault="00AD794E" w:rsidP="00AD794E">
      <w:pPr>
        <w:pStyle w:val="Default"/>
        <w:ind w:firstLine="284"/>
        <w:jc w:val="both"/>
        <w:rPr>
          <w:rFonts w:ascii="Garamond" w:hAnsi="Garamond"/>
          <w:lang w:val="sq-AL"/>
        </w:rPr>
      </w:pPr>
      <w:r w:rsidRPr="00E9093A">
        <w:rPr>
          <w:rFonts w:ascii="Garamond" w:hAnsi="Garamond" w:cs="Symbol"/>
          <w:lang w:val="sq-AL"/>
        </w:rPr>
        <w:t xml:space="preserve">- </w:t>
      </w:r>
      <w:r w:rsidRPr="00E9093A">
        <w:rPr>
          <w:rFonts w:ascii="Garamond" w:hAnsi="Garamond"/>
          <w:lang w:val="sq-AL"/>
        </w:rPr>
        <w:t>Për të licencuarit që nuk kanë zhvilluar aktivitet apo që në momentin e llogaritjes së pagesës rregullatore nuk e kanë filluar aktivitetin për të cilin janë licencuar, në zbatim të dispozitave 5.2 dhe 6.3 të “Rregullores për përcaktimin e pagesave rregullatore”</w:t>
      </w:r>
      <w:r w:rsidR="006840EB">
        <w:rPr>
          <w:rFonts w:ascii="Garamond" w:hAnsi="Garamond"/>
          <w:lang w:val="sq-AL"/>
        </w:rPr>
        <w:t>,</w:t>
      </w:r>
      <w:r w:rsidRPr="00E9093A">
        <w:rPr>
          <w:rFonts w:ascii="Garamond" w:hAnsi="Garamond"/>
          <w:lang w:val="sq-AL"/>
        </w:rPr>
        <w:t xml:space="preserve"> e ndryshuar, pagesa rregullatore është llogaritur në shumën fikse prej 100 mijë lekësh. </w:t>
      </w:r>
    </w:p>
    <w:p w14:paraId="1AEE9225" w14:textId="176C4D8C" w:rsidR="00AD794E" w:rsidRPr="00E9093A" w:rsidRDefault="00C11A0A" w:rsidP="00AD794E">
      <w:pPr>
        <w:pStyle w:val="Default"/>
        <w:ind w:firstLine="284"/>
        <w:jc w:val="both"/>
        <w:rPr>
          <w:rFonts w:ascii="Garamond" w:hAnsi="Garamond"/>
          <w:lang w:val="sq-AL"/>
        </w:rPr>
      </w:pPr>
      <w:r>
        <w:rPr>
          <w:rFonts w:ascii="Garamond" w:hAnsi="Garamond" w:cs="Symbol"/>
          <w:lang w:val="sq-AL"/>
        </w:rPr>
        <w:t>-</w:t>
      </w:r>
      <w:r w:rsidR="00AD794E" w:rsidRPr="00E9093A">
        <w:rPr>
          <w:rFonts w:ascii="Garamond" w:hAnsi="Garamond" w:cs="Symbol"/>
          <w:lang w:val="sq-AL"/>
        </w:rPr>
        <w:t xml:space="preserve"> </w:t>
      </w:r>
      <w:r w:rsidR="00AD794E" w:rsidRPr="00E9093A">
        <w:rPr>
          <w:rFonts w:ascii="Garamond" w:hAnsi="Garamond"/>
          <w:lang w:val="sq-AL"/>
        </w:rPr>
        <w:t>E njëjta shumë fikse është zbatuar edhe për shoqëritë që kanë më shumë se një licencë dhe nuk i kanë paraqitur pasqyrat financiare të ndara sipas aktiviteteve të licencuara në zbatim të kërkesës për ndarjen e llogarive përcaktuar në nenin 35, pika 1</w:t>
      </w:r>
      <w:r w:rsidR="00F544DB">
        <w:rPr>
          <w:rFonts w:ascii="Garamond" w:hAnsi="Garamond"/>
          <w:lang w:val="sq-AL"/>
        </w:rPr>
        <w:t>,</w:t>
      </w:r>
      <w:r w:rsidR="00AD794E" w:rsidRPr="00E9093A">
        <w:rPr>
          <w:rFonts w:ascii="Garamond" w:hAnsi="Garamond"/>
          <w:lang w:val="sq-AL"/>
        </w:rPr>
        <w:t xml:space="preserve"> të ligjit nr. 43/2015</w:t>
      </w:r>
      <w:r w:rsidR="00F544DB">
        <w:rPr>
          <w:rFonts w:ascii="Garamond" w:hAnsi="Garamond"/>
          <w:lang w:val="sq-AL"/>
        </w:rPr>
        <w:t>,</w:t>
      </w:r>
      <w:r w:rsidR="00AD794E" w:rsidRPr="00E9093A">
        <w:rPr>
          <w:rFonts w:ascii="Garamond" w:hAnsi="Garamond"/>
          <w:lang w:val="sq-AL"/>
        </w:rPr>
        <w:t xml:space="preserve"> “Për sektorin e energjisë elektrike” i ndryshuar, dhe pikës 3</w:t>
      </w:r>
      <w:r w:rsidR="00F544DB">
        <w:rPr>
          <w:rFonts w:ascii="Garamond" w:hAnsi="Garamond"/>
          <w:lang w:val="sq-AL"/>
        </w:rPr>
        <w:t>,</w:t>
      </w:r>
      <w:r w:rsidR="00AD794E" w:rsidRPr="00E9093A">
        <w:rPr>
          <w:rFonts w:ascii="Garamond" w:hAnsi="Garamond"/>
          <w:lang w:val="sq-AL"/>
        </w:rPr>
        <w:t xml:space="preserve"> të nenit 30</w:t>
      </w:r>
      <w:r w:rsidR="00F544DB">
        <w:rPr>
          <w:rFonts w:ascii="Garamond" w:hAnsi="Garamond"/>
          <w:lang w:val="sq-AL"/>
        </w:rPr>
        <w:t>,</w:t>
      </w:r>
      <w:r w:rsidR="00AD794E" w:rsidRPr="00E9093A">
        <w:rPr>
          <w:rFonts w:ascii="Garamond" w:hAnsi="Garamond"/>
          <w:lang w:val="sq-AL"/>
        </w:rPr>
        <w:t xml:space="preserve"> të ligjit nr. 102/2015</w:t>
      </w:r>
      <w:r w:rsidR="00F544DB">
        <w:rPr>
          <w:rFonts w:ascii="Garamond" w:hAnsi="Garamond"/>
          <w:lang w:val="sq-AL"/>
        </w:rPr>
        <w:t>,</w:t>
      </w:r>
      <w:r w:rsidR="00AD794E" w:rsidRPr="00E9093A">
        <w:rPr>
          <w:rFonts w:ascii="Garamond" w:hAnsi="Garamond"/>
          <w:lang w:val="sq-AL"/>
        </w:rPr>
        <w:t xml:space="preserve"> “Për sektorin e gazit natyror”</w:t>
      </w:r>
      <w:r w:rsidR="00A5378B">
        <w:rPr>
          <w:rFonts w:ascii="Garamond" w:hAnsi="Garamond"/>
          <w:lang w:val="sq-AL"/>
        </w:rPr>
        <w:t>,</w:t>
      </w:r>
      <w:r w:rsidR="00AD794E" w:rsidRPr="00E9093A">
        <w:rPr>
          <w:rFonts w:ascii="Garamond" w:hAnsi="Garamond"/>
          <w:lang w:val="sq-AL"/>
        </w:rPr>
        <w:t xml:space="preserve"> i ndryshuar. Kështu, në rastet kur shoqëritë i paraqesin llogaritë e </w:t>
      </w:r>
      <w:proofErr w:type="spellStart"/>
      <w:r w:rsidR="00AD794E" w:rsidRPr="00E9093A">
        <w:rPr>
          <w:rFonts w:ascii="Garamond" w:hAnsi="Garamond"/>
          <w:lang w:val="sq-AL"/>
        </w:rPr>
        <w:t>konsoliduara</w:t>
      </w:r>
      <w:proofErr w:type="spellEnd"/>
      <w:r w:rsidR="00AD794E" w:rsidRPr="00E9093A">
        <w:rPr>
          <w:rFonts w:ascii="Garamond" w:hAnsi="Garamond"/>
          <w:lang w:val="sq-AL"/>
        </w:rPr>
        <w:t xml:space="preserve">, atëherë ndër dy ose më shume aktivitete të licencuara, vetëm njërit prej tyre i është llogaritur pagesa rregullatore nëpërmjet peshës specifike të </w:t>
      </w:r>
      <w:proofErr w:type="spellStart"/>
      <w:r w:rsidR="00AD794E" w:rsidRPr="00E9093A">
        <w:rPr>
          <w:rFonts w:ascii="Garamond" w:hAnsi="Garamond"/>
          <w:lang w:val="sq-AL"/>
        </w:rPr>
        <w:t>të</w:t>
      </w:r>
      <w:proofErr w:type="spellEnd"/>
      <w:r w:rsidR="00AD794E" w:rsidRPr="00E9093A">
        <w:rPr>
          <w:rFonts w:ascii="Garamond" w:hAnsi="Garamond"/>
          <w:lang w:val="sq-AL"/>
        </w:rPr>
        <w:t xml:space="preserve"> ardhurave ndaj totalit të </w:t>
      </w:r>
      <w:proofErr w:type="spellStart"/>
      <w:r w:rsidR="00AD794E" w:rsidRPr="00E9093A">
        <w:rPr>
          <w:rFonts w:ascii="Garamond" w:hAnsi="Garamond"/>
          <w:lang w:val="sq-AL"/>
        </w:rPr>
        <w:t>të</w:t>
      </w:r>
      <w:proofErr w:type="spellEnd"/>
      <w:r w:rsidR="00AD794E" w:rsidRPr="00E9093A">
        <w:rPr>
          <w:rFonts w:ascii="Garamond" w:hAnsi="Garamond"/>
          <w:lang w:val="sq-AL"/>
        </w:rPr>
        <w:t xml:space="preserve"> ardhurave të sektorit, ndërsa për aktivitetet e tjera është zbatuar automatikisht tarifa fikse prej 100,000 lekë</w:t>
      </w:r>
      <w:r w:rsidR="00E9093A">
        <w:rPr>
          <w:rFonts w:ascii="Garamond" w:hAnsi="Garamond"/>
          <w:lang w:val="sq-AL"/>
        </w:rPr>
        <w:t>sh</w:t>
      </w:r>
      <w:r w:rsidR="00AD794E" w:rsidRPr="00E9093A">
        <w:rPr>
          <w:rFonts w:ascii="Garamond" w:hAnsi="Garamond"/>
          <w:lang w:val="sq-AL"/>
        </w:rPr>
        <w:t>.</w:t>
      </w:r>
    </w:p>
    <w:p w14:paraId="4D696444" w14:textId="580625C9" w:rsidR="00AD794E" w:rsidRPr="00E9093A" w:rsidRDefault="00AD794E" w:rsidP="00AD794E">
      <w:pPr>
        <w:pStyle w:val="Default"/>
        <w:ind w:firstLine="284"/>
        <w:jc w:val="both"/>
        <w:rPr>
          <w:rFonts w:ascii="Garamond" w:hAnsi="Garamond"/>
          <w:lang w:val="sq-AL"/>
        </w:rPr>
      </w:pPr>
      <w:r w:rsidRPr="00E9093A">
        <w:rPr>
          <w:rFonts w:ascii="Garamond" w:hAnsi="Garamond" w:cs="Symbol"/>
          <w:lang w:val="sq-AL"/>
        </w:rPr>
        <w:t xml:space="preserve">- </w:t>
      </w:r>
      <w:r w:rsidRPr="00E9093A">
        <w:rPr>
          <w:rFonts w:ascii="Garamond" w:hAnsi="Garamond"/>
          <w:color w:val="auto"/>
          <w:lang w:val="sq-AL"/>
        </w:rPr>
        <w:t>Për të licencuarit të cilët kanë ushtruar aktivitetin e licencuar gjatë vitit 2023, sikurse cituar më sipër, llogaritja e pagesës rregullatore është kryer në zbatim të përcaktimeve të pikave 5.3, 6.1, 6.1.1 (pika</w:t>
      </w:r>
      <w:r w:rsidR="00082003">
        <w:rPr>
          <w:rFonts w:ascii="Garamond" w:hAnsi="Garamond"/>
          <w:color w:val="auto"/>
          <w:lang w:val="sq-AL"/>
        </w:rPr>
        <w:t>t</w:t>
      </w:r>
      <w:r w:rsidRPr="00E9093A">
        <w:rPr>
          <w:rFonts w:ascii="Garamond" w:hAnsi="Garamond"/>
          <w:color w:val="auto"/>
          <w:lang w:val="sq-AL"/>
        </w:rPr>
        <w:t xml:space="preserve"> </w:t>
      </w:r>
      <w:r w:rsidR="00082003">
        <w:rPr>
          <w:rFonts w:ascii="Garamond" w:hAnsi="Garamond"/>
          <w:color w:val="auto"/>
          <w:lang w:val="sq-AL"/>
        </w:rPr>
        <w:t>“</w:t>
      </w:r>
      <w:r w:rsidRPr="00E9093A">
        <w:rPr>
          <w:rFonts w:ascii="Garamond" w:hAnsi="Garamond"/>
          <w:color w:val="auto"/>
          <w:lang w:val="sq-AL"/>
        </w:rPr>
        <w:t>a</w:t>
      </w:r>
      <w:r w:rsidR="00082003">
        <w:rPr>
          <w:rFonts w:ascii="Garamond" w:hAnsi="Garamond"/>
          <w:color w:val="auto"/>
          <w:lang w:val="sq-AL"/>
        </w:rPr>
        <w:t>”</w:t>
      </w:r>
      <w:r w:rsidRPr="00E9093A">
        <w:rPr>
          <w:rFonts w:ascii="Garamond" w:hAnsi="Garamond"/>
          <w:color w:val="auto"/>
          <w:lang w:val="sq-AL"/>
        </w:rPr>
        <w:t xml:space="preserve">, </w:t>
      </w:r>
      <w:r w:rsidR="00082003">
        <w:rPr>
          <w:rFonts w:ascii="Garamond" w:hAnsi="Garamond"/>
          <w:color w:val="auto"/>
          <w:lang w:val="sq-AL"/>
        </w:rPr>
        <w:t>“</w:t>
      </w:r>
      <w:r w:rsidRPr="00E9093A">
        <w:rPr>
          <w:rFonts w:ascii="Garamond" w:hAnsi="Garamond"/>
          <w:color w:val="auto"/>
          <w:lang w:val="sq-AL"/>
        </w:rPr>
        <w:t>b</w:t>
      </w:r>
      <w:r w:rsidR="00082003">
        <w:rPr>
          <w:rFonts w:ascii="Garamond" w:hAnsi="Garamond"/>
          <w:color w:val="auto"/>
          <w:lang w:val="sq-AL"/>
        </w:rPr>
        <w:t>”</w:t>
      </w:r>
      <w:r w:rsidRPr="00E9093A">
        <w:rPr>
          <w:rFonts w:ascii="Garamond" w:hAnsi="Garamond"/>
          <w:color w:val="auto"/>
          <w:lang w:val="sq-AL"/>
        </w:rPr>
        <w:t xml:space="preserve"> dhe </w:t>
      </w:r>
      <w:r w:rsidR="00082003">
        <w:rPr>
          <w:rFonts w:ascii="Garamond" w:hAnsi="Garamond"/>
          <w:color w:val="auto"/>
          <w:lang w:val="sq-AL"/>
        </w:rPr>
        <w:t>“</w:t>
      </w:r>
      <w:r w:rsidRPr="00E9093A">
        <w:rPr>
          <w:rFonts w:ascii="Garamond" w:hAnsi="Garamond"/>
          <w:color w:val="auto"/>
          <w:lang w:val="sq-AL"/>
        </w:rPr>
        <w:t>c</w:t>
      </w:r>
      <w:r w:rsidR="00082003">
        <w:rPr>
          <w:rFonts w:ascii="Garamond" w:hAnsi="Garamond"/>
          <w:color w:val="auto"/>
          <w:lang w:val="sq-AL"/>
        </w:rPr>
        <w:t>”</w:t>
      </w:r>
      <w:r w:rsidRPr="00E9093A">
        <w:rPr>
          <w:rFonts w:ascii="Garamond" w:hAnsi="Garamond"/>
          <w:color w:val="auto"/>
          <w:lang w:val="sq-AL"/>
        </w:rPr>
        <w:t>) dhe 6.2</w:t>
      </w:r>
      <w:r w:rsidR="00E9093A" w:rsidRPr="00E9093A">
        <w:rPr>
          <w:rFonts w:ascii="Garamond" w:hAnsi="Garamond"/>
          <w:color w:val="auto"/>
          <w:lang w:val="sq-AL"/>
        </w:rPr>
        <w:t xml:space="preserve"> </w:t>
      </w:r>
      <w:r w:rsidRPr="00E9093A">
        <w:rPr>
          <w:rFonts w:ascii="Garamond" w:hAnsi="Garamond"/>
          <w:color w:val="auto"/>
          <w:lang w:val="sq-AL"/>
        </w:rPr>
        <w:t xml:space="preserve">të “Rregullores për përcaktimin e pagesave rregullatore”, e ndryshuar, </w:t>
      </w:r>
      <w:r w:rsidRPr="00E9093A">
        <w:rPr>
          <w:rFonts w:ascii="Garamond" w:hAnsi="Garamond"/>
          <w:color w:val="auto"/>
          <w:lang w:val="sq-AL"/>
        </w:rPr>
        <w:lastRenderedPageBreak/>
        <w:t xml:space="preserve">të cilat përcaktojnë se pagesa duhet të jetë në </w:t>
      </w:r>
      <w:r w:rsidR="009F2958" w:rsidRPr="00E9093A">
        <w:rPr>
          <w:rFonts w:ascii="Garamond" w:hAnsi="Garamond"/>
          <w:color w:val="auto"/>
          <w:lang w:val="sq-AL"/>
        </w:rPr>
        <w:t>përpjesëtim</w:t>
      </w:r>
      <w:r w:rsidRPr="00E9093A">
        <w:rPr>
          <w:rFonts w:ascii="Garamond" w:hAnsi="Garamond"/>
          <w:color w:val="auto"/>
          <w:lang w:val="sq-AL"/>
        </w:rPr>
        <w:t xml:space="preserve"> të drejtë </w:t>
      </w:r>
      <w:r w:rsidRPr="00E9093A">
        <w:rPr>
          <w:rFonts w:ascii="Garamond" w:hAnsi="Garamond"/>
          <w:b/>
          <w:bCs/>
          <w:color w:val="auto"/>
          <w:lang w:val="sq-AL"/>
        </w:rPr>
        <w:t>m</w:t>
      </w:r>
      <w:r w:rsidR="009F2958">
        <w:rPr>
          <w:rFonts w:ascii="Garamond" w:hAnsi="Garamond"/>
          <w:b/>
          <w:bCs/>
          <w:color w:val="auto"/>
          <w:lang w:val="sq-AL"/>
        </w:rPr>
        <w:t>e</w:t>
      </w:r>
      <w:r w:rsidRPr="00E9093A">
        <w:rPr>
          <w:rFonts w:ascii="Garamond" w:hAnsi="Garamond"/>
          <w:b/>
          <w:bCs/>
          <w:color w:val="auto"/>
          <w:lang w:val="sq-AL"/>
        </w:rPr>
        <w:t xml:space="preserve"> të ardhurat vjetore që vijnë nga veprimtaria e licencuar</w:t>
      </w:r>
      <w:r w:rsidRPr="00E9093A">
        <w:rPr>
          <w:rFonts w:ascii="Garamond" w:hAnsi="Garamond"/>
          <w:color w:val="auto"/>
          <w:lang w:val="sq-AL"/>
        </w:rPr>
        <w:t xml:space="preserve"> dhe llogariten në bazë të peshës specifike që zënë të ardhurat e realizuara në vitin paraardhës nga </w:t>
      </w:r>
      <w:r w:rsidR="009F2958" w:rsidRPr="00E9093A">
        <w:rPr>
          <w:rFonts w:ascii="Garamond" w:hAnsi="Garamond"/>
          <w:color w:val="auto"/>
          <w:lang w:val="sq-AL"/>
        </w:rPr>
        <w:t>aktiviteti</w:t>
      </w:r>
      <w:r w:rsidRPr="00E9093A">
        <w:rPr>
          <w:rFonts w:ascii="Garamond" w:hAnsi="Garamond"/>
          <w:color w:val="auto"/>
          <w:lang w:val="sq-AL"/>
        </w:rPr>
        <w:t xml:space="preserve"> i çdo të licencuari ndaj totalit të </w:t>
      </w:r>
      <w:proofErr w:type="spellStart"/>
      <w:r w:rsidRPr="00E9093A">
        <w:rPr>
          <w:rFonts w:ascii="Garamond" w:hAnsi="Garamond"/>
          <w:color w:val="auto"/>
          <w:lang w:val="sq-AL"/>
        </w:rPr>
        <w:t>të</w:t>
      </w:r>
      <w:proofErr w:type="spellEnd"/>
      <w:r w:rsidRPr="00E9093A">
        <w:rPr>
          <w:rFonts w:ascii="Garamond" w:hAnsi="Garamond"/>
          <w:color w:val="auto"/>
          <w:lang w:val="sq-AL"/>
        </w:rPr>
        <w:t xml:space="preserve"> ardhurave të sektorit të energjisë elektrike dhe sektorit të gazit natyror.</w:t>
      </w:r>
    </w:p>
    <w:p w14:paraId="5F3861D6" w14:textId="2028339A" w:rsidR="00AD794E" w:rsidRPr="00E9093A" w:rsidRDefault="00AD794E" w:rsidP="00AD794E">
      <w:pPr>
        <w:pStyle w:val="Default"/>
        <w:ind w:firstLine="284"/>
        <w:jc w:val="both"/>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 xml:space="preserve">Për efekt të përllogaritjes së pagesave rregullatore të vitit 2022 (për subjektet e </w:t>
      </w:r>
      <w:proofErr w:type="spellStart"/>
      <w:r w:rsidRPr="00E9093A">
        <w:rPr>
          <w:rFonts w:ascii="Garamond" w:hAnsi="Garamond"/>
          <w:color w:val="auto"/>
          <w:lang w:val="sq-AL"/>
        </w:rPr>
        <w:t>listuara</w:t>
      </w:r>
      <w:proofErr w:type="spellEnd"/>
      <w:r w:rsidRPr="00E9093A">
        <w:rPr>
          <w:rFonts w:ascii="Garamond" w:hAnsi="Garamond"/>
          <w:color w:val="auto"/>
          <w:lang w:val="sq-AL"/>
        </w:rPr>
        <w:t xml:space="preserve"> në vijim), në mungesë të pasqyrave </w:t>
      </w:r>
      <w:r w:rsidR="00602CC5">
        <w:rPr>
          <w:rFonts w:ascii="Garamond" w:hAnsi="Garamond"/>
          <w:color w:val="auto"/>
          <w:lang w:val="sq-AL"/>
        </w:rPr>
        <w:t>f</w:t>
      </w:r>
      <w:r w:rsidR="00CC64DC" w:rsidRPr="00E9093A">
        <w:rPr>
          <w:rFonts w:ascii="Garamond" w:hAnsi="Garamond"/>
          <w:color w:val="auto"/>
          <w:lang w:val="sq-AL"/>
        </w:rPr>
        <w:t xml:space="preserve">inanciare </w:t>
      </w:r>
      <w:r w:rsidRPr="00E9093A">
        <w:rPr>
          <w:rFonts w:ascii="Garamond" w:hAnsi="Garamond"/>
          <w:color w:val="auto"/>
          <w:lang w:val="sq-AL"/>
        </w:rPr>
        <w:t>të vitit 2021 është konsideruar pagesa rregullatore e miratuar me vendimin nr. 142/2021</w:t>
      </w:r>
      <w:r w:rsidR="00E17FB3">
        <w:rPr>
          <w:rFonts w:ascii="Garamond" w:hAnsi="Garamond"/>
          <w:color w:val="auto"/>
          <w:lang w:val="sq-AL"/>
        </w:rPr>
        <w:t>,</w:t>
      </w:r>
      <w:r w:rsidRPr="00E9093A">
        <w:rPr>
          <w:rFonts w:ascii="Garamond" w:hAnsi="Garamond"/>
          <w:color w:val="auto"/>
          <w:lang w:val="sq-AL"/>
        </w:rPr>
        <w:t xml:space="preserve"> të </w:t>
      </w:r>
      <w:r w:rsidR="00802D44" w:rsidRPr="00E9093A">
        <w:rPr>
          <w:rFonts w:ascii="Garamond" w:hAnsi="Garamond"/>
          <w:color w:val="auto"/>
          <w:lang w:val="sq-AL"/>
        </w:rPr>
        <w:t xml:space="preserve">Bordit </w:t>
      </w:r>
      <w:r w:rsidRPr="00E9093A">
        <w:rPr>
          <w:rFonts w:ascii="Garamond" w:hAnsi="Garamond"/>
          <w:color w:val="auto"/>
          <w:lang w:val="sq-AL"/>
        </w:rPr>
        <w:t>të ERE-s, pagesë</w:t>
      </w:r>
      <w:r w:rsidR="00CB2B95">
        <w:rPr>
          <w:rFonts w:ascii="Garamond" w:hAnsi="Garamond"/>
          <w:color w:val="auto"/>
          <w:lang w:val="sq-AL"/>
        </w:rPr>
        <w:t>,</w:t>
      </w:r>
      <w:r w:rsidRPr="00E9093A">
        <w:rPr>
          <w:rFonts w:ascii="Garamond" w:hAnsi="Garamond"/>
          <w:color w:val="auto"/>
          <w:lang w:val="sq-AL"/>
        </w:rPr>
        <w:t xml:space="preserve"> e cila do të korrigjohej në bazë të </w:t>
      </w:r>
      <w:proofErr w:type="spellStart"/>
      <w:r w:rsidRPr="00E9093A">
        <w:rPr>
          <w:rFonts w:ascii="Garamond" w:hAnsi="Garamond"/>
          <w:color w:val="auto"/>
          <w:lang w:val="sq-AL"/>
        </w:rPr>
        <w:t>të</w:t>
      </w:r>
      <w:proofErr w:type="spellEnd"/>
      <w:r w:rsidRPr="00E9093A">
        <w:rPr>
          <w:rFonts w:ascii="Garamond" w:hAnsi="Garamond"/>
          <w:color w:val="auto"/>
          <w:lang w:val="sq-AL"/>
        </w:rPr>
        <w:t xml:space="preserve"> ardhurave faktike të këtyre subjekteve mbështetur në </w:t>
      </w:r>
      <w:proofErr w:type="spellStart"/>
      <w:r w:rsidRPr="00E9093A">
        <w:rPr>
          <w:rFonts w:ascii="Garamond" w:hAnsi="Garamond"/>
          <w:color w:val="auto"/>
          <w:lang w:val="sq-AL"/>
        </w:rPr>
        <w:t>PF</w:t>
      </w:r>
      <w:proofErr w:type="spellEnd"/>
      <w:r w:rsidRPr="00E9093A">
        <w:rPr>
          <w:rFonts w:ascii="Garamond" w:hAnsi="Garamond"/>
          <w:color w:val="auto"/>
          <w:lang w:val="sq-AL"/>
        </w:rPr>
        <w:t xml:space="preserve"> të periudhës në fjalë. Subjektet për të cilat është kryer korrigjimi sa më sipër cituar janë si vijon:</w:t>
      </w:r>
    </w:p>
    <w:p w14:paraId="110E467B" w14:textId="74F5BE6B"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r w:rsidR="003A1FE4" w:rsidRPr="00E9093A">
        <w:rPr>
          <w:rFonts w:ascii="Garamond" w:hAnsi="Garamond"/>
          <w:color w:val="auto"/>
          <w:lang w:val="sq-AL"/>
        </w:rPr>
        <w:t xml:space="preserve">Euron </w:t>
      </w:r>
      <w:proofErr w:type="spellStart"/>
      <w:r w:rsidR="003A1FE4" w:rsidRPr="00E9093A">
        <w:rPr>
          <w:rFonts w:ascii="Garamond" w:hAnsi="Garamond"/>
          <w:color w:val="auto"/>
          <w:lang w:val="sq-AL"/>
        </w:rPr>
        <w:t>Energy</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6BB29A33" w14:textId="48D975AF"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proofErr w:type="spellStart"/>
      <w:r w:rsidR="003A1FE4" w:rsidRPr="00E9093A">
        <w:rPr>
          <w:rFonts w:ascii="Garamond" w:hAnsi="Garamond"/>
          <w:color w:val="auto"/>
          <w:lang w:val="sq-AL"/>
        </w:rPr>
        <w:t>Alb-Energy</w:t>
      </w:r>
      <w:proofErr w:type="spellEnd"/>
      <w:r w:rsidR="00CC64DC">
        <w:rPr>
          <w:rFonts w:ascii="Garamond" w:hAnsi="Garamond"/>
          <w:color w:val="auto"/>
          <w:lang w:val="sq-AL"/>
        </w:rPr>
        <w:t>”</w:t>
      </w:r>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3DD2753D" w14:textId="50BF7B57"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proofErr w:type="spellStart"/>
      <w:r w:rsidR="003A1FE4" w:rsidRPr="00E9093A">
        <w:rPr>
          <w:rFonts w:ascii="Garamond" w:hAnsi="Garamond"/>
          <w:color w:val="auto"/>
          <w:lang w:val="sq-AL"/>
        </w:rPr>
        <w:t>Energal</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4DE86F6A" w14:textId="4C282EB5"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proofErr w:type="spellStart"/>
      <w:r w:rsidRPr="00E9093A">
        <w:rPr>
          <w:rFonts w:ascii="Garamond" w:hAnsi="Garamond"/>
          <w:color w:val="auto"/>
          <w:lang w:val="sq-AL"/>
        </w:rPr>
        <w:t>GSA</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69070F92" w14:textId="532EEDCB"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proofErr w:type="spellStart"/>
      <w:r w:rsidR="003A1FE4" w:rsidRPr="00E9093A">
        <w:rPr>
          <w:rFonts w:ascii="Garamond" w:hAnsi="Garamond"/>
          <w:color w:val="auto"/>
          <w:lang w:val="sq-AL"/>
        </w:rPr>
        <w:t>Energia</w:t>
      </w:r>
      <w:proofErr w:type="spellEnd"/>
      <w:r w:rsidR="003A1FE4" w:rsidRPr="00E9093A">
        <w:rPr>
          <w:rFonts w:ascii="Garamond" w:hAnsi="Garamond"/>
          <w:color w:val="auto"/>
          <w:lang w:val="sq-AL"/>
        </w:rPr>
        <w:t xml:space="preserve"> </w:t>
      </w:r>
      <w:proofErr w:type="spellStart"/>
      <w:r w:rsidR="003A1FE4" w:rsidRPr="00E9093A">
        <w:rPr>
          <w:rFonts w:ascii="Garamond" w:hAnsi="Garamond"/>
          <w:color w:val="auto"/>
          <w:lang w:val="sq-AL"/>
        </w:rPr>
        <w:t>Gas</w:t>
      </w:r>
      <w:proofErr w:type="spellEnd"/>
      <w:r w:rsidR="003A1FE4" w:rsidRPr="00E9093A">
        <w:rPr>
          <w:rFonts w:ascii="Garamond" w:hAnsi="Garamond"/>
          <w:color w:val="auto"/>
          <w:lang w:val="sq-AL"/>
        </w:rPr>
        <w:t xml:space="preserve"> </w:t>
      </w:r>
      <w:proofErr w:type="spellStart"/>
      <w:r w:rsidR="003A1FE4" w:rsidRPr="00E9093A">
        <w:rPr>
          <w:rFonts w:ascii="Garamond" w:hAnsi="Garamond"/>
          <w:color w:val="auto"/>
          <w:lang w:val="sq-AL"/>
        </w:rPr>
        <w:t>And</w:t>
      </w:r>
      <w:proofErr w:type="spellEnd"/>
      <w:r w:rsidR="003A1FE4" w:rsidRPr="00E9093A">
        <w:rPr>
          <w:rFonts w:ascii="Garamond" w:hAnsi="Garamond"/>
          <w:color w:val="auto"/>
          <w:lang w:val="sq-AL"/>
        </w:rPr>
        <w:t xml:space="preserve"> </w:t>
      </w:r>
      <w:proofErr w:type="spellStart"/>
      <w:r w:rsidR="003A1FE4" w:rsidRPr="00E9093A">
        <w:rPr>
          <w:rFonts w:ascii="Garamond" w:hAnsi="Garamond"/>
          <w:color w:val="auto"/>
          <w:lang w:val="sq-AL"/>
        </w:rPr>
        <w:t>Power</w:t>
      </w:r>
      <w:proofErr w:type="spellEnd"/>
      <w:r w:rsidR="003A1FE4" w:rsidRPr="00E9093A">
        <w:rPr>
          <w:rFonts w:ascii="Garamond" w:hAnsi="Garamond"/>
          <w:color w:val="auto"/>
          <w:lang w:val="sq-AL"/>
        </w:rPr>
        <w:t xml:space="preserve"> </w:t>
      </w:r>
      <w:proofErr w:type="spellStart"/>
      <w:r w:rsidR="003A1FE4" w:rsidRPr="00E9093A">
        <w:rPr>
          <w:rFonts w:ascii="Garamond" w:hAnsi="Garamond"/>
          <w:color w:val="auto"/>
          <w:lang w:val="sq-AL"/>
        </w:rPr>
        <w:t>Albania</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4EED3A9E" w14:textId="317B7BD2"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w:t>
      </w:r>
      <w:proofErr w:type="spellStart"/>
      <w:r w:rsidR="003A1FE4" w:rsidRPr="00E9093A">
        <w:rPr>
          <w:rFonts w:ascii="Garamond" w:hAnsi="Garamond"/>
          <w:color w:val="auto"/>
          <w:lang w:val="sq-AL"/>
        </w:rPr>
        <w:t>Green</w:t>
      </w:r>
      <w:proofErr w:type="spellEnd"/>
      <w:r w:rsidR="003A1FE4" w:rsidRPr="00E9093A">
        <w:rPr>
          <w:rFonts w:ascii="Garamond" w:hAnsi="Garamond"/>
          <w:color w:val="auto"/>
          <w:lang w:val="sq-AL"/>
        </w:rPr>
        <w:t xml:space="preserve"> </w:t>
      </w:r>
      <w:proofErr w:type="spellStart"/>
      <w:r w:rsidRPr="00E9093A">
        <w:rPr>
          <w:rFonts w:ascii="Garamond" w:hAnsi="Garamond"/>
          <w:color w:val="auto"/>
          <w:lang w:val="sq-AL"/>
        </w:rPr>
        <w:t>Energy</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Trading</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Albania</w:t>
      </w:r>
      <w:proofErr w:type="spellEnd"/>
      <w:r w:rsidRPr="00E9093A">
        <w:rPr>
          <w:rFonts w:ascii="Garamond" w:hAnsi="Garamond"/>
          <w:color w:val="auto"/>
          <w:lang w:val="sq-AL"/>
        </w:rPr>
        <w:t xml:space="preserve">” </w:t>
      </w:r>
      <w:proofErr w:type="spellStart"/>
      <w:r w:rsidRPr="00E9093A">
        <w:rPr>
          <w:rFonts w:ascii="Garamond" w:hAnsi="Garamond"/>
          <w:color w:val="auto"/>
          <w:lang w:val="sq-AL"/>
        </w:rPr>
        <w:t>sh.p.k</w:t>
      </w:r>
      <w:proofErr w:type="spellEnd"/>
      <w:r w:rsidR="00CC64DC">
        <w:rPr>
          <w:rFonts w:ascii="Garamond" w:hAnsi="Garamond"/>
          <w:color w:val="auto"/>
          <w:lang w:val="sq-AL"/>
        </w:rPr>
        <w:t>.;</w:t>
      </w:r>
    </w:p>
    <w:p w14:paraId="7DEE8C6C" w14:textId="4094D6EF" w:rsidR="00AD794E" w:rsidRPr="00E9093A" w:rsidRDefault="00AD794E" w:rsidP="00AD794E">
      <w:pPr>
        <w:pStyle w:val="Default"/>
        <w:ind w:firstLine="284"/>
        <w:rPr>
          <w:rFonts w:ascii="Garamond" w:hAnsi="Garamond"/>
          <w:color w:val="auto"/>
          <w:lang w:val="sq-AL"/>
        </w:rPr>
      </w:pPr>
      <w:r w:rsidRPr="00E9093A">
        <w:rPr>
          <w:rFonts w:ascii="Garamond" w:hAnsi="Garamond" w:cs="Symbol"/>
          <w:lang w:val="sq-AL"/>
        </w:rPr>
        <w:t xml:space="preserve">- </w:t>
      </w:r>
      <w:proofErr w:type="spellStart"/>
      <w:r w:rsidR="003A1FE4" w:rsidRPr="00E9093A">
        <w:rPr>
          <w:rFonts w:ascii="Garamond" w:hAnsi="Garamond"/>
          <w:color w:val="auto"/>
          <w:lang w:val="sq-AL"/>
        </w:rPr>
        <w:t>Albpetrol</w:t>
      </w:r>
      <w:proofErr w:type="spellEnd"/>
      <w:r w:rsidR="003A1FE4" w:rsidRPr="00E9093A">
        <w:rPr>
          <w:rFonts w:ascii="Garamond" w:hAnsi="Garamond"/>
          <w:color w:val="auto"/>
          <w:lang w:val="sq-AL"/>
        </w:rPr>
        <w:t xml:space="preserve"> </w:t>
      </w:r>
      <w:proofErr w:type="spellStart"/>
      <w:r w:rsidRPr="00E9093A">
        <w:rPr>
          <w:rFonts w:ascii="Garamond" w:hAnsi="Garamond"/>
          <w:color w:val="auto"/>
          <w:lang w:val="sq-AL"/>
        </w:rPr>
        <w:t>sh.a</w:t>
      </w:r>
      <w:proofErr w:type="spellEnd"/>
      <w:r w:rsidRPr="00E9093A">
        <w:rPr>
          <w:rFonts w:ascii="Garamond" w:hAnsi="Garamond"/>
          <w:color w:val="auto"/>
          <w:lang w:val="sq-AL"/>
        </w:rPr>
        <w:t>.</w:t>
      </w:r>
    </w:p>
    <w:p w14:paraId="438E00F2" w14:textId="6974A765" w:rsidR="00AD794E" w:rsidRPr="00E9093A" w:rsidRDefault="00AD794E" w:rsidP="00AD794E">
      <w:pPr>
        <w:pStyle w:val="Default"/>
        <w:ind w:firstLine="284"/>
        <w:jc w:val="both"/>
        <w:rPr>
          <w:rFonts w:ascii="Garamond" w:hAnsi="Garamond"/>
          <w:color w:val="auto"/>
          <w:lang w:val="sq-AL"/>
        </w:rPr>
      </w:pPr>
      <w:r w:rsidRPr="00E9093A">
        <w:rPr>
          <w:rFonts w:ascii="Garamond" w:hAnsi="Garamond" w:cs="Symbol"/>
          <w:lang w:val="sq-AL"/>
        </w:rPr>
        <w:t xml:space="preserve">- </w:t>
      </w:r>
      <w:r w:rsidRPr="00E9093A">
        <w:rPr>
          <w:rFonts w:ascii="Garamond" w:hAnsi="Garamond"/>
          <w:color w:val="auto"/>
          <w:lang w:val="sq-AL"/>
        </w:rPr>
        <w:t xml:space="preserve">Si rrjedhojë e </w:t>
      </w:r>
      <w:proofErr w:type="spellStart"/>
      <w:r w:rsidRPr="00E9093A">
        <w:rPr>
          <w:rFonts w:ascii="Garamond" w:hAnsi="Garamond"/>
          <w:color w:val="auto"/>
          <w:lang w:val="sq-AL"/>
        </w:rPr>
        <w:t>rillogaritjes</w:t>
      </w:r>
      <w:proofErr w:type="spellEnd"/>
      <w:r w:rsidRPr="00E9093A">
        <w:rPr>
          <w:rFonts w:ascii="Garamond" w:hAnsi="Garamond"/>
          <w:color w:val="auto"/>
          <w:lang w:val="sq-AL"/>
        </w:rPr>
        <w:t xml:space="preserve"> së pagesave rregullatore për periudhën 2022 është kryer korrigjimi rezultues për të gjithë të licencuarit e tjerë</w:t>
      </w:r>
      <w:r w:rsidR="00C27E21">
        <w:rPr>
          <w:rFonts w:ascii="Garamond" w:hAnsi="Garamond"/>
          <w:color w:val="auto"/>
          <w:lang w:val="sq-AL"/>
        </w:rPr>
        <w:t>,</w:t>
      </w:r>
      <w:r w:rsidRPr="00E9093A">
        <w:rPr>
          <w:rFonts w:ascii="Garamond" w:hAnsi="Garamond"/>
          <w:color w:val="auto"/>
          <w:lang w:val="sq-AL"/>
        </w:rPr>
        <w:t xml:space="preserve"> të cilët kanë rezultuar me të ardhura për periudh</w:t>
      </w:r>
      <w:r w:rsidRPr="00E9093A">
        <w:rPr>
          <w:rFonts w:ascii="Garamond" w:hAnsi="Garamond"/>
          <w:lang w:val="sq-AL"/>
        </w:rPr>
        <w:t xml:space="preserve">ën pasardhëse </w:t>
      </w:r>
      <w:proofErr w:type="spellStart"/>
      <w:r w:rsidRPr="00E9093A">
        <w:rPr>
          <w:rFonts w:ascii="Garamond" w:hAnsi="Garamond"/>
          <w:lang w:val="sq-AL"/>
        </w:rPr>
        <w:t>respektive</w:t>
      </w:r>
      <w:proofErr w:type="spellEnd"/>
      <w:r w:rsidRPr="00E9093A">
        <w:rPr>
          <w:rFonts w:ascii="Garamond" w:hAnsi="Garamond"/>
          <w:lang w:val="sq-AL"/>
        </w:rPr>
        <w:t xml:space="preserve"> duke sjellë si rrjedhojë dhe korrigjimet përkatëse në përllogaritjen e pagesave rregullatore rezultuese të vitit 2024, në zbatim të pikës 2 të vendimit nr. 124, datë 31.5.2022</w:t>
      </w:r>
      <w:r w:rsidR="00E00F48">
        <w:rPr>
          <w:rFonts w:ascii="Garamond" w:hAnsi="Garamond"/>
          <w:lang w:val="sq-AL"/>
        </w:rPr>
        <w:t>,</w:t>
      </w:r>
      <w:r w:rsidRPr="00E9093A">
        <w:rPr>
          <w:rFonts w:ascii="Garamond" w:hAnsi="Garamond"/>
          <w:lang w:val="sq-AL"/>
        </w:rPr>
        <w:t xml:space="preserve"> të </w:t>
      </w:r>
      <w:r w:rsidR="00CC64DC" w:rsidRPr="00E9093A">
        <w:rPr>
          <w:rFonts w:ascii="Garamond" w:hAnsi="Garamond"/>
          <w:lang w:val="sq-AL"/>
        </w:rPr>
        <w:t xml:space="preserve">Bordit </w:t>
      </w:r>
      <w:r w:rsidRPr="00E9093A">
        <w:rPr>
          <w:rFonts w:ascii="Garamond" w:hAnsi="Garamond"/>
          <w:lang w:val="sq-AL"/>
        </w:rPr>
        <w:t>të ERE-s. Shoqëritë të cilat i është rillogaritur pagesa rregullatore për vitin 2023 janë</w:t>
      </w:r>
      <w:r w:rsidR="00D759A7">
        <w:rPr>
          <w:rFonts w:ascii="Garamond" w:hAnsi="Garamond"/>
          <w:lang w:val="sq-AL"/>
        </w:rPr>
        <w:t>:</w:t>
      </w:r>
      <w:r w:rsidRPr="00E9093A">
        <w:rPr>
          <w:rFonts w:ascii="Garamond" w:hAnsi="Garamond"/>
          <w:lang w:val="sq-AL"/>
        </w:rPr>
        <w:t xml:space="preserve"> </w:t>
      </w:r>
      <w:r w:rsidR="00700313">
        <w:rPr>
          <w:rFonts w:ascii="Garamond" w:hAnsi="Garamond"/>
          <w:lang w:val="sq-AL"/>
        </w:rPr>
        <w:t>“</w:t>
      </w:r>
      <w:r w:rsidRPr="00E9093A">
        <w:rPr>
          <w:rFonts w:ascii="Garamond" w:hAnsi="Garamond"/>
          <w:lang w:val="sq-AL"/>
        </w:rPr>
        <w:t>KESH</w:t>
      </w:r>
      <w:r w:rsidR="00700313">
        <w:rPr>
          <w:rFonts w:ascii="Garamond" w:hAnsi="Garamond"/>
          <w:lang w:val="sq-AL"/>
        </w:rPr>
        <w:t>”</w:t>
      </w:r>
      <w:r w:rsidRPr="00E9093A">
        <w:rPr>
          <w:rFonts w:ascii="Garamond" w:hAnsi="Garamond"/>
          <w:lang w:val="sq-AL"/>
        </w:rPr>
        <w:t xml:space="preserve"> </w:t>
      </w:r>
      <w:proofErr w:type="spellStart"/>
      <w:r w:rsidRPr="00E9093A">
        <w:rPr>
          <w:rFonts w:ascii="Garamond" w:hAnsi="Garamond"/>
          <w:lang w:val="sq-AL"/>
        </w:rPr>
        <w:t>sh.a</w:t>
      </w:r>
      <w:proofErr w:type="spellEnd"/>
      <w:r w:rsidRPr="00E9093A">
        <w:rPr>
          <w:rFonts w:ascii="Garamond" w:hAnsi="Garamond"/>
          <w:lang w:val="sq-AL"/>
        </w:rPr>
        <w:t xml:space="preserve">., </w:t>
      </w:r>
      <w:r w:rsidR="00700313">
        <w:rPr>
          <w:rFonts w:ascii="Garamond" w:hAnsi="Garamond"/>
          <w:lang w:val="sq-AL"/>
        </w:rPr>
        <w:t>“</w:t>
      </w:r>
      <w:proofErr w:type="spellStart"/>
      <w:r w:rsidRPr="00E9093A">
        <w:rPr>
          <w:rFonts w:ascii="Garamond" w:hAnsi="Garamond"/>
          <w:lang w:val="sq-AL"/>
        </w:rPr>
        <w:t>GSA</w:t>
      </w:r>
      <w:proofErr w:type="spellEnd"/>
      <w:r w:rsidR="00700313">
        <w:rPr>
          <w:rFonts w:ascii="Garamond" w:hAnsi="Garamond"/>
          <w:lang w:val="sq-AL"/>
        </w:rPr>
        <w:t>”</w:t>
      </w:r>
      <w:r w:rsidRPr="00E9093A">
        <w:rPr>
          <w:rFonts w:ascii="Garamond" w:hAnsi="Garamond"/>
          <w:lang w:val="sq-AL"/>
        </w:rPr>
        <w:t xml:space="preserve"> </w:t>
      </w:r>
      <w:proofErr w:type="spellStart"/>
      <w:r w:rsidRPr="00E9093A">
        <w:rPr>
          <w:rFonts w:ascii="Garamond" w:hAnsi="Garamond"/>
          <w:lang w:val="sq-AL"/>
        </w:rPr>
        <w:t>sh.p.k</w:t>
      </w:r>
      <w:proofErr w:type="spellEnd"/>
      <w:r w:rsidRPr="00E9093A">
        <w:rPr>
          <w:rFonts w:ascii="Garamond" w:hAnsi="Garamond"/>
          <w:lang w:val="sq-AL"/>
        </w:rPr>
        <w:t xml:space="preserve">., </w:t>
      </w:r>
      <w:r w:rsidR="00700313">
        <w:rPr>
          <w:rFonts w:ascii="Garamond" w:hAnsi="Garamond"/>
          <w:lang w:val="sq-AL"/>
        </w:rPr>
        <w:t>“</w:t>
      </w:r>
      <w:proofErr w:type="spellStart"/>
      <w:r w:rsidR="003A1FE4" w:rsidRPr="00E9093A">
        <w:rPr>
          <w:rFonts w:ascii="Garamond" w:hAnsi="Garamond"/>
          <w:lang w:val="sq-AL"/>
        </w:rPr>
        <w:t>Kurum</w:t>
      </w:r>
      <w:proofErr w:type="spellEnd"/>
      <w:r w:rsidR="003A1FE4" w:rsidRPr="00E9093A">
        <w:rPr>
          <w:rFonts w:ascii="Garamond" w:hAnsi="Garamond"/>
          <w:lang w:val="sq-AL"/>
        </w:rPr>
        <w:t xml:space="preserve"> </w:t>
      </w:r>
      <w:proofErr w:type="spellStart"/>
      <w:r w:rsidR="003A1FE4" w:rsidRPr="00E9093A">
        <w:rPr>
          <w:rFonts w:ascii="Garamond" w:hAnsi="Garamond"/>
          <w:lang w:val="sq-AL"/>
        </w:rPr>
        <w:t>International</w:t>
      </w:r>
      <w:proofErr w:type="spellEnd"/>
      <w:r w:rsidR="00700313">
        <w:rPr>
          <w:rFonts w:ascii="Garamond" w:hAnsi="Garamond"/>
          <w:lang w:val="sq-AL"/>
        </w:rPr>
        <w:t>”</w:t>
      </w:r>
      <w:r w:rsidR="003A1FE4" w:rsidRPr="00E9093A">
        <w:rPr>
          <w:rFonts w:ascii="Garamond" w:hAnsi="Garamond"/>
          <w:lang w:val="sq-AL"/>
        </w:rPr>
        <w:t xml:space="preserve"> </w:t>
      </w:r>
      <w:proofErr w:type="spellStart"/>
      <w:r w:rsidRPr="00E9093A">
        <w:rPr>
          <w:rFonts w:ascii="Garamond" w:hAnsi="Garamond"/>
          <w:lang w:val="sq-AL"/>
        </w:rPr>
        <w:t>sh.a</w:t>
      </w:r>
      <w:proofErr w:type="spellEnd"/>
      <w:r w:rsidRPr="00E9093A">
        <w:rPr>
          <w:rFonts w:ascii="Garamond" w:hAnsi="Garamond"/>
          <w:lang w:val="sq-AL"/>
        </w:rPr>
        <w:t xml:space="preserve">., </w:t>
      </w:r>
      <w:r w:rsidR="00700313">
        <w:rPr>
          <w:rFonts w:ascii="Garamond" w:hAnsi="Garamond"/>
          <w:lang w:val="sq-AL"/>
        </w:rPr>
        <w:t>“</w:t>
      </w:r>
      <w:proofErr w:type="spellStart"/>
      <w:r w:rsidR="003A1FE4" w:rsidRPr="00E9093A">
        <w:rPr>
          <w:rFonts w:ascii="Garamond" w:hAnsi="Garamond"/>
          <w:lang w:val="sq-AL"/>
        </w:rPr>
        <w:t>Ayen</w:t>
      </w:r>
      <w:proofErr w:type="spellEnd"/>
      <w:r w:rsidR="003A1FE4" w:rsidRPr="00E9093A">
        <w:rPr>
          <w:rFonts w:ascii="Garamond" w:hAnsi="Garamond"/>
          <w:lang w:val="sq-AL"/>
        </w:rPr>
        <w:t xml:space="preserve"> as Energji</w:t>
      </w:r>
      <w:r w:rsidR="00700313">
        <w:rPr>
          <w:rFonts w:ascii="Garamond" w:hAnsi="Garamond"/>
          <w:lang w:val="sq-AL"/>
        </w:rPr>
        <w:t>”</w:t>
      </w:r>
      <w:r w:rsidR="003A1FE4" w:rsidRPr="00E9093A">
        <w:rPr>
          <w:rFonts w:ascii="Garamond" w:hAnsi="Garamond"/>
          <w:lang w:val="sq-AL"/>
        </w:rPr>
        <w:t xml:space="preserve"> </w:t>
      </w:r>
      <w:proofErr w:type="spellStart"/>
      <w:r w:rsidRPr="00E9093A">
        <w:rPr>
          <w:rFonts w:ascii="Garamond" w:hAnsi="Garamond"/>
          <w:lang w:val="sq-AL"/>
        </w:rPr>
        <w:t>sh.p.k</w:t>
      </w:r>
      <w:proofErr w:type="spellEnd"/>
      <w:r w:rsidRPr="00E9093A">
        <w:rPr>
          <w:rFonts w:ascii="Garamond" w:hAnsi="Garamond"/>
          <w:lang w:val="sq-AL"/>
        </w:rPr>
        <w:t xml:space="preserve">. dhe </w:t>
      </w:r>
      <w:r w:rsidR="00700313">
        <w:rPr>
          <w:rFonts w:ascii="Garamond" w:hAnsi="Garamond"/>
          <w:lang w:val="sq-AL"/>
        </w:rPr>
        <w:t>“</w:t>
      </w:r>
      <w:proofErr w:type="spellStart"/>
      <w:r w:rsidR="003A1FE4" w:rsidRPr="00E9093A">
        <w:rPr>
          <w:rFonts w:ascii="Garamond" w:hAnsi="Garamond"/>
          <w:lang w:val="sq-AL"/>
        </w:rPr>
        <w:t>Ayen</w:t>
      </w:r>
      <w:proofErr w:type="spellEnd"/>
      <w:r w:rsidR="003A1FE4" w:rsidRPr="00E9093A">
        <w:rPr>
          <w:rFonts w:ascii="Garamond" w:hAnsi="Garamond"/>
          <w:lang w:val="sq-AL"/>
        </w:rPr>
        <w:t xml:space="preserve"> </w:t>
      </w:r>
      <w:proofErr w:type="spellStart"/>
      <w:r w:rsidR="003A1FE4" w:rsidRPr="00E9093A">
        <w:rPr>
          <w:rFonts w:ascii="Garamond" w:hAnsi="Garamond"/>
          <w:lang w:val="sq-AL"/>
        </w:rPr>
        <w:t>Energy</w:t>
      </w:r>
      <w:proofErr w:type="spellEnd"/>
      <w:r w:rsidR="003A1FE4" w:rsidRPr="00E9093A">
        <w:rPr>
          <w:rFonts w:ascii="Garamond" w:hAnsi="Garamond"/>
          <w:lang w:val="sq-AL"/>
        </w:rPr>
        <w:t xml:space="preserve"> </w:t>
      </w:r>
      <w:proofErr w:type="spellStart"/>
      <w:r w:rsidR="003A1FE4" w:rsidRPr="00E9093A">
        <w:rPr>
          <w:rFonts w:ascii="Garamond" w:hAnsi="Garamond"/>
          <w:lang w:val="sq-AL"/>
        </w:rPr>
        <w:t>Trading</w:t>
      </w:r>
      <w:proofErr w:type="spellEnd"/>
      <w:r w:rsidR="00700313">
        <w:rPr>
          <w:rFonts w:ascii="Garamond" w:hAnsi="Garamond"/>
          <w:lang w:val="sq-AL"/>
        </w:rPr>
        <w:t>”</w:t>
      </w:r>
      <w:r w:rsidR="003A1FE4" w:rsidRPr="00E9093A">
        <w:rPr>
          <w:rFonts w:ascii="Garamond" w:hAnsi="Garamond"/>
          <w:lang w:val="sq-AL"/>
        </w:rPr>
        <w:t xml:space="preserve"> </w:t>
      </w:r>
      <w:proofErr w:type="spellStart"/>
      <w:r w:rsidRPr="00E9093A">
        <w:rPr>
          <w:rFonts w:ascii="Garamond" w:hAnsi="Garamond"/>
          <w:lang w:val="sq-AL"/>
        </w:rPr>
        <w:t>sh.p.k</w:t>
      </w:r>
      <w:proofErr w:type="spellEnd"/>
      <w:r w:rsidRPr="00E9093A">
        <w:rPr>
          <w:rFonts w:ascii="Garamond" w:hAnsi="Garamond"/>
          <w:lang w:val="sq-AL"/>
        </w:rPr>
        <w:t>.</w:t>
      </w:r>
    </w:p>
    <w:p w14:paraId="28DE2EFE" w14:textId="3FC87B38" w:rsidR="00AD794E" w:rsidRPr="00E9093A" w:rsidRDefault="00AD794E" w:rsidP="00AD794E">
      <w:pPr>
        <w:pStyle w:val="CommentText"/>
        <w:ind w:firstLine="284"/>
        <w:jc w:val="both"/>
        <w:rPr>
          <w:rFonts w:ascii="Garamond" w:hAnsi="Garamond"/>
          <w:sz w:val="24"/>
          <w:szCs w:val="24"/>
        </w:rPr>
      </w:pPr>
      <w:r w:rsidRPr="00E9093A">
        <w:rPr>
          <w:rFonts w:ascii="Garamond" w:hAnsi="Garamond"/>
          <w:sz w:val="24"/>
          <w:szCs w:val="24"/>
        </w:rPr>
        <w:t xml:space="preserve">Për gjithë sa më sipër, </w:t>
      </w:r>
      <w:r w:rsidR="00CC64DC" w:rsidRPr="00E9093A">
        <w:rPr>
          <w:rFonts w:ascii="Garamond" w:hAnsi="Garamond"/>
          <w:sz w:val="24"/>
          <w:szCs w:val="24"/>
        </w:rPr>
        <w:t xml:space="preserve">Bordi </w:t>
      </w:r>
      <w:r w:rsidRPr="00E9093A">
        <w:rPr>
          <w:rFonts w:ascii="Garamond" w:hAnsi="Garamond"/>
          <w:sz w:val="24"/>
          <w:szCs w:val="24"/>
        </w:rPr>
        <w:t xml:space="preserve">i ERE-s </w:t>
      </w:r>
    </w:p>
    <w:p w14:paraId="4318AAAE" w14:textId="77777777" w:rsidR="00AD794E" w:rsidRPr="00E9093A" w:rsidRDefault="00AD794E" w:rsidP="00AD794E">
      <w:pPr>
        <w:pStyle w:val="CommentText"/>
        <w:ind w:firstLine="284"/>
        <w:jc w:val="center"/>
        <w:rPr>
          <w:rFonts w:ascii="Garamond" w:hAnsi="Garamond"/>
          <w:bCs/>
          <w:sz w:val="24"/>
          <w:szCs w:val="24"/>
        </w:rPr>
      </w:pPr>
    </w:p>
    <w:p w14:paraId="6EBD824A" w14:textId="4CE688BD" w:rsidR="00AD794E" w:rsidRPr="00E9093A" w:rsidRDefault="00AD794E" w:rsidP="00AD794E">
      <w:pPr>
        <w:pStyle w:val="CommentText"/>
        <w:ind w:firstLine="284"/>
        <w:jc w:val="center"/>
        <w:rPr>
          <w:rFonts w:ascii="Garamond" w:hAnsi="Garamond"/>
          <w:bCs/>
          <w:sz w:val="24"/>
          <w:szCs w:val="24"/>
        </w:rPr>
      </w:pPr>
      <w:r w:rsidRPr="00E9093A">
        <w:rPr>
          <w:rFonts w:ascii="Garamond" w:hAnsi="Garamond"/>
          <w:bCs/>
          <w:sz w:val="24"/>
          <w:szCs w:val="24"/>
        </w:rPr>
        <w:t>VENDOSI:</w:t>
      </w:r>
    </w:p>
    <w:p w14:paraId="773C3DAD" w14:textId="77777777" w:rsidR="00AD794E" w:rsidRPr="00E9093A" w:rsidRDefault="00AD794E" w:rsidP="00AD794E">
      <w:pPr>
        <w:pStyle w:val="CommentText"/>
        <w:ind w:firstLine="284"/>
        <w:jc w:val="center"/>
        <w:rPr>
          <w:rFonts w:ascii="Garamond" w:hAnsi="Garamond"/>
          <w:sz w:val="24"/>
          <w:szCs w:val="24"/>
        </w:rPr>
      </w:pPr>
    </w:p>
    <w:p w14:paraId="5D170C28" w14:textId="4C3834D8"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sz w:val="24"/>
          <w:szCs w:val="24"/>
        </w:rPr>
        <w:t>1. Miratimin e pagesave rregullatore për vitin 2024 sipas tabelës bashkëlidhur.</w:t>
      </w:r>
    </w:p>
    <w:p w14:paraId="50A3BC62" w14:textId="0DD0A745"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sz w:val="24"/>
          <w:szCs w:val="24"/>
        </w:rPr>
        <w:t xml:space="preserve">2. Diferencat që rezultojnë nga </w:t>
      </w:r>
      <w:r w:rsidR="00C217B2" w:rsidRPr="00E9093A">
        <w:rPr>
          <w:rFonts w:ascii="Garamond" w:hAnsi="Garamond"/>
          <w:sz w:val="24"/>
          <w:szCs w:val="24"/>
        </w:rPr>
        <w:t xml:space="preserve">pasqyrat financiare të </w:t>
      </w:r>
      <w:r w:rsidRPr="00E9093A">
        <w:rPr>
          <w:rFonts w:ascii="Garamond" w:hAnsi="Garamond"/>
          <w:sz w:val="24"/>
          <w:szCs w:val="24"/>
        </w:rPr>
        <w:t>certifikuara për vitin 2023, të konsiderohen në llogaritjen e pagesave të rregullimit të periudhës pasardhëse.</w:t>
      </w:r>
    </w:p>
    <w:p w14:paraId="0289CDCF" w14:textId="445A3EBF"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sz w:val="24"/>
          <w:szCs w:val="24"/>
        </w:rPr>
        <w:t xml:space="preserve">3. Të licencuarit subjekt i këtij vendimi (sipas tabelës bashkëlidhur) duhet të kryejnë pagesat rregullatore ndaj ERE, jo më vonë se 30 ditë nga botimi në Fletoren Zyrtare të këtij vendimi, në të kundërt, do të jenë subjekt i aplikimit të masave administrative të parashikuara në nenin 42, pika 1, </w:t>
      </w:r>
      <w:r w:rsidR="003A1FE4" w:rsidRPr="00E9093A">
        <w:rPr>
          <w:rFonts w:ascii="Garamond" w:hAnsi="Garamond"/>
          <w:sz w:val="24"/>
          <w:szCs w:val="24"/>
        </w:rPr>
        <w:t>germa</w:t>
      </w:r>
      <w:r w:rsidRPr="00E9093A">
        <w:rPr>
          <w:rFonts w:ascii="Garamond" w:hAnsi="Garamond"/>
          <w:sz w:val="24"/>
          <w:szCs w:val="24"/>
        </w:rPr>
        <w:t xml:space="preserve"> </w:t>
      </w:r>
      <w:r w:rsidR="003A1FE4">
        <w:rPr>
          <w:rFonts w:ascii="Garamond" w:hAnsi="Garamond"/>
          <w:sz w:val="24"/>
          <w:szCs w:val="24"/>
        </w:rPr>
        <w:t>“</w:t>
      </w:r>
      <w:r w:rsidRPr="00E9093A">
        <w:rPr>
          <w:rFonts w:ascii="Garamond" w:hAnsi="Garamond"/>
          <w:sz w:val="24"/>
          <w:szCs w:val="24"/>
        </w:rPr>
        <w:t>ç</w:t>
      </w:r>
      <w:r w:rsidR="003A1FE4">
        <w:rPr>
          <w:rFonts w:ascii="Garamond" w:hAnsi="Garamond"/>
          <w:sz w:val="24"/>
          <w:szCs w:val="24"/>
        </w:rPr>
        <w:t>”</w:t>
      </w:r>
      <w:r w:rsidRPr="00E9093A">
        <w:rPr>
          <w:rFonts w:ascii="Garamond" w:hAnsi="Garamond"/>
          <w:sz w:val="24"/>
          <w:szCs w:val="24"/>
        </w:rPr>
        <w:t xml:space="preserve">, pika 2, </w:t>
      </w:r>
      <w:r w:rsidR="003A1FE4" w:rsidRPr="00E9093A">
        <w:rPr>
          <w:rFonts w:ascii="Garamond" w:hAnsi="Garamond"/>
          <w:sz w:val="24"/>
          <w:szCs w:val="24"/>
        </w:rPr>
        <w:t>germa</w:t>
      </w:r>
      <w:r w:rsidRPr="00E9093A">
        <w:rPr>
          <w:rFonts w:ascii="Garamond" w:hAnsi="Garamond"/>
          <w:sz w:val="24"/>
          <w:szCs w:val="24"/>
        </w:rPr>
        <w:t xml:space="preserve"> </w:t>
      </w:r>
      <w:r w:rsidR="003A1FE4">
        <w:rPr>
          <w:rFonts w:ascii="Garamond" w:hAnsi="Garamond"/>
          <w:sz w:val="24"/>
          <w:szCs w:val="24"/>
        </w:rPr>
        <w:t>“</w:t>
      </w:r>
      <w:r w:rsidRPr="00E9093A">
        <w:rPr>
          <w:rFonts w:ascii="Garamond" w:hAnsi="Garamond"/>
          <w:sz w:val="24"/>
          <w:szCs w:val="24"/>
        </w:rPr>
        <w:t>b</w:t>
      </w:r>
      <w:r w:rsidR="003A1FE4">
        <w:rPr>
          <w:rFonts w:ascii="Garamond" w:hAnsi="Garamond"/>
          <w:sz w:val="24"/>
          <w:szCs w:val="24"/>
        </w:rPr>
        <w:t>”</w:t>
      </w:r>
      <w:r w:rsidRPr="00E9093A">
        <w:rPr>
          <w:rFonts w:ascii="Garamond" w:hAnsi="Garamond"/>
          <w:sz w:val="24"/>
          <w:szCs w:val="24"/>
        </w:rPr>
        <w:t xml:space="preserve"> dhe nenit 107, të ligjit nr. 43/2015</w:t>
      </w:r>
      <w:r w:rsidR="009D0038">
        <w:rPr>
          <w:rFonts w:ascii="Garamond" w:hAnsi="Garamond"/>
          <w:sz w:val="24"/>
          <w:szCs w:val="24"/>
        </w:rPr>
        <w:t>,</w:t>
      </w:r>
      <w:r w:rsidRPr="00E9093A">
        <w:rPr>
          <w:rFonts w:ascii="Garamond" w:hAnsi="Garamond"/>
          <w:sz w:val="24"/>
          <w:szCs w:val="24"/>
        </w:rPr>
        <w:t xml:space="preserve"> “Për sektorin e energjisë elektrike”</w:t>
      </w:r>
      <w:r w:rsidR="009D0038">
        <w:rPr>
          <w:rFonts w:ascii="Garamond" w:hAnsi="Garamond"/>
          <w:sz w:val="24"/>
          <w:szCs w:val="24"/>
        </w:rPr>
        <w:t>,</w:t>
      </w:r>
      <w:r w:rsidRPr="00E9093A">
        <w:rPr>
          <w:rFonts w:ascii="Garamond" w:hAnsi="Garamond"/>
          <w:sz w:val="24"/>
          <w:szCs w:val="24"/>
        </w:rPr>
        <w:t xml:space="preserve"> i ndryshuar, nenit 27, pika 1, </w:t>
      </w:r>
      <w:r w:rsidR="003A1FE4" w:rsidRPr="00E9093A">
        <w:rPr>
          <w:rFonts w:ascii="Garamond" w:hAnsi="Garamond"/>
          <w:sz w:val="24"/>
          <w:szCs w:val="24"/>
        </w:rPr>
        <w:t>germa</w:t>
      </w:r>
      <w:r w:rsidRPr="00E9093A">
        <w:rPr>
          <w:rFonts w:ascii="Garamond" w:hAnsi="Garamond"/>
          <w:sz w:val="24"/>
          <w:szCs w:val="24"/>
        </w:rPr>
        <w:t xml:space="preserve"> “ç” dhe nenit 106, </w:t>
      </w:r>
      <w:r w:rsidR="003A1FE4" w:rsidRPr="00E9093A">
        <w:rPr>
          <w:rFonts w:ascii="Garamond" w:hAnsi="Garamond"/>
          <w:sz w:val="24"/>
          <w:szCs w:val="24"/>
        </w:rPr>
        <w:t>germa</w:t>
      </w:r>
      <w:r w:rsidRPr="00E9093A">
        <w:rPr>
          <w:rFonts w:ascii="Garamond" w:hAnsi="Garamond"/>
          <w:sz w:val="24"/>
          <w:szCs w:val="24"/>
        </w:rPr>
        <w:t xml:space="preserve"> “a” (</w:t>
      </w:r>
      <w:proofErr w:type="spellStart"/>
      <w:r w:rsidRPr="00E9093A">
        <w:rPr>
          <w:rFonts w:ascii="Garamond" w:hAnsi="Garamond"/>
          <w:sz w:val="24"/>
          <w:szCs w:val="24"/>
        </w:rPr>
        <w:t>xi</w:t>
      </w:r>
      <w:proofErr w:type="spellEnd"/>
      <w:r w:rsidRPr="00E9093A">
        <w:rPr>
          <w:rFonts w:ascii="Garamond" w:hAnsi="Garamond"/>
          <w:sz w:val="24"/>
          <w:szCs w:val="24"/>
        </w:rPr>
        <w:t xml:space="preserve">) e </w:t>
      </w:r>
      <w:r w:rsidR="00C217B2" w:rsidRPr="00E9093A">
        <w:rPr>
          <w:rFonts w:ascii="Garamond" w:hAnsi="Garamond"/>
          <w:sz w:val="24"/>
          <w:szCs w:val="24"/>
        </w:rPr>
        <w:t xml:space="preserve">ligjit </w:t>
      </w:r>
      <w:r w:rsidRPr="00E9093A">
        <w:rPr>
          <w:rFonts w:ascii="Garamond" w:hAnsi="Garamond"/>
          <w:sz w:val="24"/>
          <w:szCs w:val="24"/>
        </w:rPr>
        <w:t>nr. 102/2015</w:t>
      </w:r>
      <w:r w:rsidR="003A1FE4">
        <w:rPr>
          <w:rFonts w:ascii="Garamond" w:hAnsi="Garamond"/>
          <w:sz w:val="24"/>
          <w:szCs w:val="24"/>
        </w:rPr>
        <w:t>,</w:t>
      </w:r>
      <w:r w:rsidRPr="00E9093A">
        <w:rPr>
          <w:rFonts w:ascii="Garamond" w:hAnsi="Garamond"/>
          <w:sz w:val="24"/>
          <w:szCs w:val="24"/>
        </w:rPr>
        <w:t xml:space="preserve"> “Për sektorin e gazit natyror”, i ndryshuar</w:t>
      </w:r>
      <w:r w:rsidR="003E417B">
        <w:rPr>
          <w:rFonts w:ascii="Garamond" w:hAnsi="Garamond"/>
          <w:sz w:val="24"/>
          <w:szCs w:val="24"/>
        </w:rPr>
        <w:t>,</w:t>
      </w:r>
      <w:r w:rsidRPr="00E9093A">
        <w:rPr>
          <w:rFonts w:ascii="Garamond" w:hAnsi="Garamond"/>
          <w:sz w:val="24"/>
          <w:szCs w:val="24"/>
        </w:rPr>
        <w:t xml:space="preserve"> dhe nenit 5, pika 1, të “Rregullores për procedurat e vendosjes dhe reduktimit të gjobave”</w:t>
      </w:r>
      <w:r w:rsidR="003E417B">
        <w:rPr>
          <w:rFonts w:ascii="Garamond" w:hAnsi="Garamond"/>
          <w:sz w:val="24"/>
          <w:szCs w:val="24"/>
        </w:rPr>
        <w:t>,</w:t>
      </w:r>
      <w:bookmarkStart w:id="0" w:name="_GoBack"/>
      <w:bookmarkEnd w:id="0"/>
      <w:r w:rsidRPr="00E9093A">
        <w:rPr>
          <w:rFonts w:ascii="Garamond" w:hAnsi="Garamond"/>
          <w:sz w:val="24"/>
          <w:szCs w:val="24"/>
        </w:rPr>
        <w:t xml:space="preserve"> miratuar me vendimin nr. 125, datë 29.7.2016, të </w:t>
      </w:r>
      <w:r w:rsidR="003A1FE4" w:rsidRPr="00E9093A">
        <w:rPr>
          <w:rFonts w:ascii="Garamond" w:hAnsi="Garamond"/>
          <w:sz w:val="24"/>
          <w:szCs w:val="24"/>
        </w:rPr>
        <w:t xml:space="preserve">Bordit </w:t>
      </w:r>
      <w:r w:rsidRPr="00E9093A">
        <w:rPr>
          <w:rFonts w:ascii="Garamond" w:hAnsi="Garamond"/>
          <w:sz w:val="24"/>
          <w:szCs w:val="24"/>
        </w:rPr>
        <w:t>të ERE-s.</w:t>
      </w:r>
    </w:p>
    <w:p w14:paraId="2772EE0A" w14:textId="21DD705A" w:rsidR="00AD794E" w:rsidRPr="00E9093A" w:rsidRDefault="00AD794E" w:rsidP="00AD794E">
      <w:pPr>
        <w:spacing w:after="0" w:line="240" w:lineRule="auto"/>
        <w:ind w:firstLine="284"/>
        <w:jc w:val="both"/>
        <w:rPr>
          <w:rFonts w:ascii="Garamond" w:hAnsi="Garamond"/>
          <w:sz w:val="24"/>
          <w:szCs w:val="24"/>
        </w:rPr>
      </w:pPr>
      <w:r w:rsidRPr="00E9093A">
        <w:rPr>
          <w:rFonts w:ascii="Garamond" w:hAnsi="Garamond"/>
          <w:sz w:val="24"/>
          <w:szCs w:val="24"/>
        </w:rPr>
        <w:t xml:space="preserve">4. Për të licencuarit, për të cilët pagesa rregullatore për vitin aktual është pezulluar, nëse do të ndryshojnë rrethanat ligjore, që çuan në pezullim, ky vendim do të jetë objekt rishikimi sa i përket përllogaritjes së pagesave rregullatore që do të rezultojnë. </w:t>
      </w:r>
    </w:p>
    <w:p w14:paraId="3CF4135C" w14:textId="77777777" w:rsidR="00AD794E" w:rsidRPr="00E9093A" w:rsidRDefault="00AD794E" w:rsidP="00AD794E">
      <w:pPr>
        <w:pStyle w:val="CommentText"/>
        <w:ind w:firstLine="284"/>
        <w:jc w:val="both"/>
        <w:rPr>
          <w:rFonts w:ascii="Garamond" w:hAnsi="Garamond"/>
          <w:sz w:val="24"/>
          <w:szCs w:val="24"/>
        </w:rPr>
      </w:pPr>
      <w:r w:rsidRPr="00E9093A">
        <w:rPr>
          <w:rFonts w:ascii="Garamond" w:hAnsi="Garamond"/>
          <w:sz w:val="24"/>
          <w:szCs w:val="24"/>
        </w:rPr>
        <w:t xml:space="preserve">Ky vendim hyn në fuqi menjëherë. </w:t>
      </w:r>
    </w:p>
    <w:p w14:paraId="23EA9A9B" w14:textId="69A553AA" w:rsidR="00AD794E" w:rsidRPr="00E9093A" w:rsidRDefault="00AD794E" w:rsidP="00AD794E">
      <w:pPr>
        <w:pStyle w:val="CommentText"/>
        <w:ind w:firstLine="284"/>
        <w:jc w:val="both"/>
        <w:rPr>
          <w:rFonts w:ascii="Garamond" w:hAnsi="Garamond"/>
          <w:sz w:val="24"/>
          <w:szCs w:val="24"/>
        </w:rPr>
      </w:pPr>
      <w:r w:rsidRPr="00E9093A">
        <w:rPr>
          <w:rFonts w:ascii="Garamond" w:hAnsi="Garamond"/>
          <w:sz w:val="24"/>
          <w:szCs w:val="24"/>
        </w:rPr>
        <w:t xml:space="preserve">Çdo palë e përfshirë në këtë procedurë mund t’i kërkojë ERE-s, brenda 7 ditëve kalendarike nga data e marrjes së vendimit, rishikimin e vendimit të </w:t>
      </w:r>
      <w:r w:rsidR="00802D44" w:rsidRPr="00E9093A">
        <w:rPr>
          <w:rFonts w:ascii="Garamond" w:hAnsi="Garamond"/>
          <w:sz w:val="24"/>
          <w:szCs w:val="24"/>
        </w:rPr>
        <w:t xml:space="preserve">Bordit </w:t>
      </w:r>
      <w:r w:rsidRPr="00E9093A">
        <w:rPr>
          <w:rFonts w:ascii="Garamond" w:hAnsi="Garamond"/>
          <w:sz w:val="24"/>
          <w:szCs w:val="24"/>
        </w:rPr>
        <w:t xml:space="preserve">në rast se ka siguruar prova të reja që mund ta çojnë </w:t>
      </w:r>
      <w:r w:rsidR="00802D44" w:rsidRPr="00E9093A">
        <w:rPr>
          <w:rFonts w:ascii="Garamond" w:hAnsi="Garamond"/>
          <w:sz w:val="24"/>
          <w:szCs w:val="24"/>
        </w:rPr>
        <w:t xml:space="preserve">Bordin </w:t>
      </w:r>
      <w:r w:rsidRPr="00E9093A">
        <w:rPr>
          <w:rFonts w:ascii="Garamond" w:hAnsi="Garamond"/>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BC3573E" w14:textId="77777777" w:rsidR="00AD794E" w:rsidRPr="00E9093A" w:rsidRDefault="00AD794E" w:rsidP="00AD794E">
      <w:pPr>
        <w:pStyle w:val="CommentText"/>
        <w:ind w:firstLine="284"/>
        <w:jc w:val="both"/>
        <w:rPr>
          <w:rFonts w:ascii="Garamond" w:hAnsi="Garamond"/>
          <w:sz w:val="24"/>
          <w:szCs w:val="24"/>
        </w:rPr>
      </w:pPr>
      <w:r w:rsidRPr="00E9093A">
        <w:rPr>
          <w:rFonts w:ascii="Garamond" w:hAnsi="Garamond"/>
          <w:sz w:val="24"/>
          <w:szCs w:val="24"/>
        </w:rPr>
        <w:t>Ky vendim botohet në Fletoren Zyrtare.</w:t>
      </w:r>
    </w:p>
    <w:p w14:paraId="0F68DE1F" w14:textId="77777777" w:rsidR="00AD794E" w:rsidRPr="00E9093A" w:rsidRDefault="00AD794E" w:rsidP="00AD794E">
      <w:pPr>
        <w:pStyle w:val="BodyText"/>
        <w:spacing w:after="0"/>
        <w:ind w:firstLine="284"/>
        <w:jc w:val="right"/>
        <w:rPr>
          <w:rFonts w:ascii="Garamond" w:hAnsi="Garamond"/>
          <w:b/>
          <w:bCs/>
          <w:sz w:val="24"/>
          <w:szCs w:val="24"/>
          <w:lang w:val="sq-AL"/>
        </w:rPr>
      </w:pPr>
    </w:p>
    <w:p w14:paraId="24694EE1" w14:textId="76AE1502" w:rsidR="00AD794E" w:rsidRPr="00E9093A" w:rsidRDefault="00AD794E" w:rsidP="00AD794E">
      <w:pPr>
        <w:pStyle w:val="BodyText"/>
        <w:spacing w:after="0"/>
        <w:ind w:firstLine="284"/>
        <w:jc w:val="right"/>
        <w:rPr>
          <w:rFonts w:ascii="Garamond" w:hAnsi="Garamond"/>
          <w:bCs/>
          <w:sz w:val="24"/>
          <w:szCs w:val="24"/>
          <w:lang w:val="sq-AL"/>
        </w:rPr>
      </w:pPr>
      <w:r w:rsidRPr="00E9093A">
        <w:rPr>
          <w:rFonts w:ascii="Garamond" w:hAnsi="Garamond"/>
          <w:bCs/>
          <w:sz w:val="24"/>
          <w:szCs w:val="24"/>
          <w:lang w:val="sq-AL"/>
        </w:rPr>
        <w:t xml:space="preserve"> KRYETAR</w:t>
      </w:r>
    </w:p>
    <w:p w14:paraId="7703C9C1" w14:textId="146296E2" w:rsidR="00AD794E" w:rsidRPr="00E9093A" w:rsidRDefault="00AD794E" w:rsidP="00AD794E">
      <w:pPr>
        <w:pStyle w:val="BodyText"/>
        <w:spacing w:after="0"/>
        <w:ind w:firstLine="284"/>
        <w:jc w:val="right"/>
        <w:rPr>
          <w:rFonts w:ascii="Garamond" w:hAnsi="Garamond"/>
          <w:b/>
          <w:bCs/>
          <w:sz w:val="24"/>
          <w:szCs w:val="24"/>
          <w:lang w:val="sq-AL"/>
        </w:rPr>
      </w:pPr>
      <w:r w:rsidRPr="00E9093A">
        <w:rPr>
          <w:rFonts w:ascii="Garamond" w:hAnsi="Garamond"/>
          <w:b/>
          <w:bCs/>
          <w:sz w:val="24"/>
          <w:szCs w:val="24"/>
          <w:lang w:val="sq-AL"/>
        </w:rPr>
        <w:lastRenderedPageBreak/>
        <w:t xml:space="preserve">Petrit </w:t>
      </w:r>
      <w:proofErr w:type="spellStart"/>
      <w:r w:rsidR="00802D44" w:rsidRPr="00E9093A">
        <w:rPr>
          <w:rFonts w:ascii="Garamond" w:hAnsi="Garamond"/>
          <w:b/>
          <w:bCs/>
          <w:sz w:val="24"/>
          <w:szCs w:val="24"/>
          <w:lang w:val="sq-AL"/>
        </w:rPr>
        <w:t>Ahmeti</w:t>
      </w:r>
      <w:proofErr w:type="spellEnd"/>
    </w:p>
    <w:p w14:paraId="5A5A94A9" w14:textId="46450E1D" w:rsidR="00AD794E" w:rsidRPr="00E9093A" w:rsidRDefault="00AD794E" w:rsidP="00AD794E">
      <w:pPr>
        <w:pStyle w:val="BodyText"/>
        <w:spacing w:after="0"/>
        <w:ind w:firstLine="284"/>
        <w:jc w:val="right"/>
        <w:rPr>
          <w:rFonts w:ascii="Garamond" w:hAnsi="Garamond"/>
          <w:b/>
          <w:bCs/>
          <w:sz w:val="24"/>
          <w:szCs w:val="24"/>
          <w:lang w:val="sq-AL"/>
        </w:rPr>
      </w:pPr>
    </w:p>
    <w:p w14:paraId="64644586" w14:textId="368DD46D"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drawing>
          <wp:inline distT="0" distB="0" distL="0" distR="0" wp14:anchorId="4C872C9D" wp14:editId="68C17A4E">
            <wp:extent cx="4902755" cy="80395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2755" cy="8039595"/>
                    </a:xfrm>
                    <a:prstGeom prst="rect">
                      <a:avLst/>
                    </a:prstGeom>
                    <a:noFill/>
                    <a:ln>
                      <a:noFill/>
                    </a:ln>
                  </pic:spPr>
                </pic:pic>
              </a:graphicData>
            </a:graphic>
          </wp:inline>
        </w:drawing>
      </w:r>
    </w:p>
    <w:p w14:paraId="75CC1F83" w14:textId="77CB62BE"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78C74F75" wp14:editId="7C1BF2F1">
            <wp:extent cx="5022850" cy="84010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2850" cy="8401050"/>
                    </a:xfrm>
                    <a:prstGeom prst="rect">
                      <a:avLst/>
                    </a:prstGeom>
                    <a:noFill/>
                    <a:ln>
                      <a:noFill/>
                    </a:ln>
                  </pic:spPr>
                </pic:pic>
              </a:graphicData>
            </a:graphic>
          </wp:inline>
        </w:drawing>
      </w:r>
    </w:p>
    <w:p w14:paraId="32E1CBC4" w14:textId="599834E7"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11404633" wp14:editId="0C134058">
            <wp:extent cx="5081905" cy="84010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1905" cy="8401050"/>
                    </a:xfrm>
                    <a:prstGeom prst="rect">
                      <a:avLst/>
                    </a:prstGeom>
                    <a:noFill/>
                    <a:ln>
                      <a:noFill/>
                    </a:ln>
                  </pic:spPr>
                </pic:pic>
              </a:graphicData>
            </a:graphic>
          </wp:inline>
        </w:drawing>
      </w:r>
    </w:p>
    <w:p w14:paraId="1B52FCB1" w14:textId="2ED2B8CB"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69D1CE65" wp14:editId="6C08F603">
            <wp:extent cx="5019675" cy="8401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9675" cy="8401050"/>
                    </a:xfrm>
                    <a:prstGeom prst="rect">
                      <a:avLst/>
                    </a:prstGeom>
                    <a:noFill/>
                    <a:ln>
                      <a:noFill/>
                    </a:ln>
                  </pic:spPr>
                </pic:pic>
              </a:graphicData>
            </a:graphic>
          </wp:inline>
        </w:drawing>
      </w:r>
    </w:p>
    <w:p w14:paraId="59B4C7A6" w14:textId="40419B1A"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30E7D78D" wp14:editId="6B0880C9">
            <wp:extent cx="5146040" cy="8401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6040" cy="8401050"/>
                    </a:xfrm>
                    <a:prstGeom prst="rect">
                      <a:avLst/>
                    </a:prstGeom>
                    <a:noFill/>
                    <a:ln>
                      <a:noFill/>
                    </a:ln>
                  </pic:spPr>
                </pic:pic>
              </a:graphicData>
            </a:graphic>
          </wp:inline>
        </w:drawing>
      </w:r>
    </w:p>
    <w:p w14:paraId="075C11BC" w14:textId="18EF9423"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4945146A" wp14:editId="242ACC62">
            <wp:extent cx="5022850" cy="8401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2850" cy="8401050"/>
                    </a:xfrm>
                    <a:prstGeom prst="rect">
                      <a:avLst/>
                    </a:prstGeom>
                    <a:noFill/>
                    <a:ln>
                      <a:noFill/>
                    </a:ln>
                  </pic:spPr>
                </pic:pic>
              </a:graphicData>
            </a:graphic>
          </wp:inline>
        </w:drawing>
      </w:r>
    </w:p>
    <w:p w14:paraId="72211862" w14:textId="42C82133"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7A2CF854" wp14:editId="46D3B4B3">
            <wp:extent cx="5056505" cy="840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56505" cy="8401050"/>
                    </a:xfrm>
                    <a:prstGeom prst="rect">
                      <a:avLst/>
                    </a:prstGeom>
                    <a:noFill/>
                    <a:ln>
                      <a:noFill/>
                    </a:ln>
                  </pic:spPr>
                </pic:pic>
              </a:graphicData>
            </a:graphic>
          </wp:inline>
        </w:drawing>
      </w:r>
    </w:p>
    <w:p w14:paraId="7AB1658E" w14:textId="2DF4A268" w:rsidR="00F55B23" w:rsidRPr="00E9093A" w:rsidRDefault="00F55B23" w:rsidP="008E3895">
      <w:pPr>
        <w:jc w:val="center"/>
        <w:rPr>
          <w:rFonts w:ascii="Times New Roman" w:hAnsi="Times New Roman" w:cs="Times New Roman"/>
          <w:sz w:val="24"/>
          <w:szCs w:val="24"/>
        </w:rPr>
      </w:pPr>
      <w:r w:rsidRPr="00E9093A">
        <w:rPr>
          <w:rFonts w:ascii="Times New Roman" w:hAnsi="Times New Roman" w:cs="Times New Roman"/>
          <w:noProof/>
          <w:sz w:val="24"/>
          <w:szCs w:val="24"/>
        </w:rPr>
        <w:lastRenderedPageBreak/>
        <w:drawing>
          <wp:inline distT="0" distB="0" distL="0" distR="0" wp14:anchorId="2A3F95D8" wp14:editId="7AAF30EB">
            <wp:extent cx="5726430" cy="6529705"/>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6430" cy="6529705"/>
                    </a:xfrm>
                    <a:prstGeom prst="rect">
                      <a:avLst/>
                    </a:prstGeom>
                    <a:noFill/>
                    <a:ln>
                      <a:noFill/>
                    </a:ln>
                  </pic:spPr>
                </pic:pic>
              </a:graphicData>
            </a:graphic>
          </wp:inline>
        </w:drawing>
      </w:r>
    </w:p>
    <w:p w14:paraId="6FFE3333" w14:textId="66AE31DD" w:rsidR="00130742" w:rsidRPr="00E9093A" w:rsidRDefault="003669FE" w:rsidP="00130742">
      <w:pPr>
        <w:pStyle w:val="CommentText"/>
        <w:spacing w:line="276" w:lineRule="auto"/>
        <w:ind w:left="720"/>
        <w:jc w:val="both"/>
        <w:rPr>
          <w:sz w:val="24"/>
          <w:szCs w:val="24"/>
        </w:rPr>
      </w:pPr>
      <w:r w:rsidRPr="00E9093A">
        <w:rPr>
          <w:sz w:val="24"/>
          <w:szCs w:val="24"/>
        </w:rPr>
        <w:t xml:space="preserve"> </w:t>
      </w:r>
    </w:p>
    <w:p w14:paraId="400A0032" w14:textId="77777777" w:rsidR="00C2328F" w:rsidRPr="00E9093A" w:rsidRDefault="00C2328F" w:rsidP="00C2328F">
      <w:pPr>
        <w:rPr>
          <w:rFonts w:ascii="Times New Roman" w:hAnsi="Times New Roman" w:cs="Times New Roman"/>
          <w:sz w:val="24"/>
          <w:szCs w:val="24"/>
        </w:rPr>
      </w:pPr>
    </w:p>
    <w:sectPr w:rsidR="00C2328F" w:rsidRPr="00E9093A" w:rsidSect="007247B6">
      <w:pgSz w:w="12240" w:h="15840"/>
      <w:pgMar w:top="1170" w:right="1440" w:bottom="1440" w:left="1440" w:header="708"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CD48C" w14:textId="77777777" w:rsidR="00E9093A" w:rsidRDefault="00E9093A">
      <w:pPr>
        <w:spacing w:after="0" w:line="240" w:lineRule="auto"/>
      </w:pPr>
      <w:r>
        <w:separator/>
      </w:r>
    </w:p>
  </w:endnote>
  <w:endnote w:type="continuationSeparator" w:id="0">
    <w:p w14:paraId="4C43DFAF" w14:textId="77777777" w:rsidR="00E9093A" w:rsidRDefault="00E9093A">
      <w:pPr>
        <w:spacing w:after="0" w:line="240" w:lineRule="auto"/>
      </w:pPr>
      <w:r>
        <w:continuationSeparator/>
      </w:r>
    </w:p>
  </w:endnote>
  <w:endnote w:type="continuationNotice" w:id="1">
    <w:p w14:paraId="251BBA84" w14:textId="77777777" w:rsidR="00E9093A" w:rsidRDefault="00E90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A0F89" w14:textId="77777777" w:rsidR="00E9093A" w:rsidRDefault="00E9093A">
      <w:pPr>
        <w:spacing w:after="0" w:line="240" w:lineRule="auto"/>
      </w:pPr>
      <w:r>
        <w:separator/>
      </w:r>
    </w:p>
  </w:footnote>
  <w:footnote w:type="continuationSeparator" w:id="0">
    <w:p w14:paraId="3799A420" w14:textId="77777777" w:rsidR="00E9093A" w:rsidRDefault="00E9093A">
      <w:pPr>
        <w:spacing w:after="0" w:line="240" w:lineRule="auto"/>
      </w:pPr>
      <w:r>
        <w:continuationSeparator/>
      </w:r>
    </w:p>
  </w:footnote>
  <w:footnote w:type="continuationNotice" w:id="1">
    <w:p w14:paraId="00D25ADF" w14:textId="77777777" w:rsidR="00E9093A" w:rsidRDefault="00E909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3F1A"/>
    <w:multiLevelType w:val="hybridMultilevel"/>
    <w:tmpl w:val="F35006E6"/>
    <w:lvl w:ilvl="0" w:tplc="BD2E2F90">
      <w:start w:val="1"/>
      <w:numFmt w:val="bullet"/>
      <w:lvlText w:val=""/>
      <w:lvlJc w:val="left"/>
      <w:pPr>
        <w:ind w:left="360" w:hanging="360"/>
      </w:pPr>
      <w:rPr>
        <w:rFonts w:ascii="Symbol" w:hAnsi="Symbol"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 w15:restartNumberingAfterBreak="0">
    <w:nsid w:val="0AAB7ED8"/>
    <w:multiLevelType w:val="hybridMultilevel"/>
    <w:tmpl w:val="AE0C72F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0B902C9"/>
    <w:multiLevelType w:val="hybridMultilevel"/>
    <w:tmpl w:val="F98888C8"/>
    <w:lvl w:ilvl="0" w:tplc="AD9CD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15198"/>
    <w:multiLevelType w:val="hybridMultilevel"/>
    <w:tmpl w:val="8D9E78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B1122D"/>
    <w:multiLevelType w:val="hybridMultilevel"/>
    <w:tmpl w:val="54525A9C"/>
    <w:lvl w:ilvl="0" w:tplc="7BBE87C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5000E"/>
    <w:multiLevelType w:val="hybridMultilevel"/>
    <w:tmpl w:val="8BA8237E"/>
    <w:lvl w:ilvl="0" w:tplc="BD2E2F9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F523C5"/>
    <w:multiLevelType w:val="hybridMultilevel"/>
    <w:tmpl w:val="1E08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B3713"/>
    <w:multiLevelType w:val="hybridMultilevel"/>
    <w:tmpl w:val="0FA8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0"/>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742"/>
    <w:rsid w:val="00082003"/>
    <w:rsid w:val="000905AA"/>
    <w:rsid w:val="000A24F8"/>
    <w:rsid w:val="000C3EC3"/>
    <w:rsid w:val="000C4C92"/>
    <w:rsid w:val="001149E1"/>
    <w:rsid w:val="00117D02"/>
    <w:rsid w:val="00130742"/>
    <w:rsid w:val="002212B0"/>
    <w:rsid w:val="00230F47"/>
    <w:rsid w:val="0023306F"/>
    <w:rsid w:val="00263689"/>
    <w:rsid w:val="002C1BF2"/>
    <w:rsid w:val="002D3C42"/>
    <w:rsid w:val="00306610"/>
    <w:rsid w:val="0033531D"/>
    <w:rsid w:val="00335D3C"/>
    <w:rsid w:val="00354F0A"/>
    <w:rsid w:val="003669FE"/>
    <w:rsid w:val="0037720D"/>
    <w:rsid w:val="003A1FE4"/>
    <w:rsid w:val="003E417B"/>
    <w:rsid w:val="004219AA"/>
    <w:rsid w:val="00461BC7"/>
    <w:rsid w:val="0046768F"/>
    <w:rsid w:val="004D57AA"/>
    <w:rsid w:val="00565FA1"/>
    <w:rsid w:val="00573C2F"/>
    <w:rsid w:val="005A72F3"/>
    <w:rsid w:val="005F70FA"/>
    <w:rsid w:val="00602CC5"/>
    <w:rsid w:val="00630CF5"/>
    <w:rsid w:val="006840EB"/>
    <w:rsid w:val="00693D45"/>
    <w:rsid w:val="006D58DF"/>
    <w:rsid w:val="006E752D"/>
    <w:rsid w:val="006F2574"/>
    <w:rsid w:val="00700313"/>
    <w:rsid w:val="00705023"/>
    <w:rsid w:val="007247B6"/>
    <w:rsid w:val="007606FE"/>
    <w:rsid w:val="007D6E24"/>
    <w:rsid w:val="007E5417"/>
    <w:rsid w:val="00802D44"/>
    <w:rsid w:val="00862FD8"/>
    <w:rsid w:val="008B2648"/>
    <w:rsid w:val="008B74C0"/>
    <w:rsid w:val="008E3895"/>
    <w:rsid w:val="00924E5B"/>
    <w:rsid w:val="009D0038"/>
    <w:rsid w:val="009F2958"/>
    <w:rsid w:val="00A00C72"/>
    <w:rsid w:val="00A036FA"/>
    <w:rsid w:val="00A5378B"/>
    <w:rsid w:val="00A57B64"/>
    <w:rsid w:val="00AA6E33"/>
    <w:rsid w:val="00AD794E"/>
    <w:rsid w:val="00AE73A0"/>
    <w:rsid w:val="00B20F85"/>
    <w:rsid w:val="00B33C2D"/>
    <w:rsid w:val="00B61EAE"/>
    <w:rsid w:val="00B952DF"/>
    <w:rsid w:val="00C11A0A"/>
    <w:rsid w:val="00C217B2"/>
    <w:rsid w:val="00C2328F"/>
    <w:rsid w:val="00C27E21"/>
    <w:rsid w:val="00C544CE"/>
    <w:rsid w:val="00C71140"/>
    <w:rsid w:val="00C7138A"/>
    <w:rsid w:val="00CB2B95"/>
    <w:rsid w:val="00CC64DC"/>
    <w:rsid w:val="00D759A7"/>
    <w:rsid w:val="00D92D68"/>
    <w:rsid w:val="00D945D5"/>
    <w:rsid w:val="00DA1868"/>
    <w:rsid w:val="00DC6374"/>
    <w:rsid w:val="00DE16A3"/>
    <w:rsid w:val="00DE706C"/>
    <w:rsid w:val="00E00F48"/>
    <w:rsid w:val="00E17FB3"/>
    <w:rsid w:val="00E9093A"/>
    <w:rsid w:val="00EA3C04"/>
    <w:rsid w:val="00EC6A00"/>
    <w:rsid w:val="00ED3EF1"/>
    <w:rsid w:val="00EF1423"/>
    <w:rsid w:val="00F3313E"/>
    <w:rsid w:val="00F544DB"/>
    <w:rsid w:val="00F55B23"/>
    <w:rsid w:val="00FD5FA7"/>
    <w:rsid w:val="00FE409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B3DB"/>
  <w15:chartTrackingRefBased/>
  <w15:docId w15:val="{BF994457-57AD-4927-A897-28AB3DA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074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0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42"/>
    <w:rPr>
      <w:rFonts w:ascii="Calibri" w:eastAsia="Calibri" w:hAnsi="Calibri" w:cs="SimSun"/>
    </w:rPr>
  </w:style>
  <w:style w:type="character" w:styleId="Hyperlink">
    <w:name w:val="Hyperlink"/>
    <w:basedOn w:val="DefaultParagraphFont"/>
    <w:uiPriority w:val="99"/>
    <w:rsid w:val="00130742"/>
    <w:rPr>
      <w:color w:val="0563C1"/>
      <w:u w:val="single"/>
    </w:rPr>
  </w:style>
  <w:style w:type="paragraph" w:styleId="ListParagraph">
    <w:name w:val="List Paragraph"/>
    <w:basedOn w:val="Normal"/>
    <w:uiPriority w:val="34"/>
    <w:qFormat/>
    <w:rsid w:val="00130742"/>
    <w:pPr>
      <w:ind w:left="720"/>
      <w:contextualSpacing/>
    </w:pPr>
  </w:style>
  <w:style w:type="paragraph" w:styleId="CommentText">
    <w:name w:val="annotation text"/>
    <w:basedOn w:val="Normal"/>
    <w:link w:val="CommentTextChar"/>
    <w:uiPriority w:val="99"/>
    <w:unhideWhenUsed/>
    <w:rsid w:val="0013074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30742"/>
    <w:rPr>
      <w:rFonts w:ascii="Times New Roman" w:eastAsia="Times New Roman" w:hAnsi="Times New Roman" w:cs="Times New Roman"/>
      <w:sz w:val="20"/>
      <w:szCs w:val="20"/>
    </w:rPr>
  </w:style>
  <w:style w:type="paragraph" w:customStyle="1" w:styleId="Default">
    <w:name w:val="Default"/>
    <w:uiPriority w:val="99"/>
    <w:rsid w:val="0013074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semiHidden/>
    <w:unhideWhenUsed/>
    <w:rsid w:val="007606FE"/>
    <w:pPr>
      <w:spacing w:after="120" w:line="240" w:lineRule="auto"/>
    </w:pPr>
    <w:rPr>
      <w:rFonts w:ascii="Times New Roman" w:eastAsia="Times New Roman" w:hAnsi="Times New Roman" w:cs="Times New Roman"/>
      <w:sz w:val="20"/>
      <w:szCs w:val="20"/>
      <w:lang w:val="en-GB" w:eastAsia="x-none"/>
    </w:rPr>
  </w:style>
  <w:style w:type="character" w:customStyle="1" w:styleId="BodyTextChar">
    <w:name w:val="Body Text Char"/>
    <w:basedOn w:val="DefaultParagraphFont"/>
    <w:link w:val="BodyText"/>
    <w:semiHidden/>
    <w:rsid w:val="007606FE"/>
    <w:rPr>
      <w:rFonts w:ascii="Times New Roman" w:eastAsia="Times New Roman" w:hAnsi="Times New Roman" w:cs="Times New Roman"/>
      <w:sz w:val="20"/>
      <w:szCs w:val="20"/>
      <w:lang w:val="en-GB" w:eastAsia="x-none"/>
    </w:rPr>
  </w:style>
  <w:style w:type="paragraph" w:styleId="Header">
    <w:name w:val="header"/>
    <w:basedOn w:val="Normal"/>
    <w:link w:val="HeaderChar"/>
    <w:uiPriority w:val="99"/>
    <w:unhideWhenUsed/>
    <w:rsid w:val="00B95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2DF"/>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3552">
      <w:bodyDiv w:val="1"/>
      <w:marLeft w:val="0"/>
      <w:marRight w:val="0"/>
      <w:marTop w:val="0"/>
      <w:marBottom w:val="0"/>
      <w:divBdr>
        <w:top w:val="none" w:sz="0" w:space="0" w:color="auto"/>
        <w:left w:val="none" w:sz="0" w:space="0" w:color="auto"/>
        <w:bottom w:val="none" w:sz="0" w:space="0" w:color="auto"/>
        <w:right w:val="none" w:sz="0" w:space="0" w:color="auto"/>
      </w:divBdr>
    </w:div>
    <w:div w:id="1256860118">
      <w:bodyDiv w:val="1"/>
      <w:marLeft w:val="0"/>
      <w:marRight w:val="0"/>
      <w:marTop w:val="0"/>
      <w:marBottom w:val="0"/>
      <w:divBdr>
        <w:top w:val="none" w:sz="0" w:space="0" w:color="auto"/>
        <w:left w:val="none" w:sz="0" w:space="0" w:color="auto"/>
        <w:bottom w:val="none" w:sz="0" w:space="0" w:color="auto"/>
        <w:right w:val="none" w:sz="0" w:space="0" w:color="auto"/>
      </w:divBdr>
    </w:div>
    <w:div w:id="17310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2024-05-20T13:19:56Z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2024-05-20T00:00:00Z</Date_x0020_protokolli>
    <Titulli xmlns="0e656187-b300-4fb0-8bf4-3a50f872073c">Mbi llogaritjen e pagesave rregullatore për vitin 2024</Titulli>
    <Modifikuesi xmlns="0e656187-b300-4fb0-8bf4-3a50f872073c">nevila.samarxhi</Modifikuesi>
    <Nr_x002e__x0020_prot_x0020_QBZ xmlns="0e656187-b300-4fb0-8bf4-3a50f872073c">877/5</Nr_x002e__x0020_prot_x0020_QBZ>
    <Data_x0020_e_x0020_Modifikimit xmlns="0e656187-b300-4fb0-8bf4-3a50f872073c">2024-05-20T13:44:58Z</Data_x0020_e_x0020_Modifikimit>
    <Dekretuar xmlns="0e656187-b300-4fb0-8bf4-3a50f872073c">false</Dekretuar>
    <Data xmlns="0e656187-b300-4fb0-8bf4-3a50f872073c">2024-05-02T00:00:00Z</Data>
    <Nr_x002e__x0020_protokolli_x0020_i_x0020_aktit xmlns="0e656187-b300-4fb0-8bf4-3a50f872073c">1102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29EC420C2B4404A46C28DD58A27A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29EC420C2B4404A46C28DD58A27A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9F8292-50B3-4C64-9BE1-A2036C1EBFA5}">
  <ds:schemaRefs>
    <ds:schemaRef ds:uri="0e656187-b300-4fb0-8bf4-3a50f872073c"/>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www.w3.org/XML/1998/namespace"/>
  </ds:schemaRefs>
</ds:datastoreItem>
</file>

<file path=customXml/itemProps2.xml><?xml version="1.0" encoding="utf-8"?>
<ds:datastoreItem xmlns:ds="http://schemas.openxmlformats.org/officeDocument/2006/customXml" ds:itemID="{04527169-0B34-4051-98F2-4B2FC91C1E71}">
  <ds:schemaRefs>
    <ds:schemaRef ds:uri="http://schemas.microsoft.com/sharepoint/v3/contenttype/forms"/>
  </ds:schemaRefs>
</ds:datastoreItem>
</file>

<file path=customXml/itemProps3.xml><?xml version="1.0" encoding="utf-8"?>
<ds:datastoreItem xmlns:ds="http://schemas.openxmlformats.org/officeDocument/2006/customXml" ds:itemID="{A22C8E02-CD2E-4388-8AC0-57EF0D49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BA0198-20CD-4CC9-AD1C-99CB655AE1EF}">
  <ds:schemaRefs>
    <ds:schemaRef ds:uri="http://schemas.microsoft.com/sharepoint/v3/contenttype/forms"/>
  </ds:schemaRefs>
</ds:datastoreItem>
</file>

<file path=customXml/itemProps5.xml><?xml version="1.0" encoding="utf-8"?>
<ds:datastoreItem xmlns:ds="http://schemas.openxmlformats.org/officeDocument/2006/customXml" ds:itemID="{F3C86BA2-B798-474C-8EB0-C9475D9E5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Mbi llogaritjen e pagesave rregullatore për vitin 2024</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llogaritjen e pagesave rregullatore për vitin 2024</dc:title>
  <dc:creator>D.R.</dc:creator>
  <cp:lastModifiedBy>Jorina Kryeziu</cp:lastModifiedBy>
  <cp:revision>40</cp:revision>
  <dcterms:created xsi:type="dcterms:W3CDTF">2024-05-20T12:20:00Z</dcterms:created>
  <dcterms:modified xsi:type="dcterms:W3CDTF">2024-05-21T06:50:00Z</dcterms:modified>
</cp:coreProperties>
</file>