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6DD1" w:rsidRPr="00656C42" w:rsidRDefault="00616DD1" w:rsidP="00616DD1">
      <w:pPr>
        <w:pStyle w:val="NeniTitull"/>
      </w:pPr>
      <w:r w:rsidRPr="00656C42">
        <w:t>VENDIM</w:t>
      </w:r>
    </w:p>
    <w:p w:rsidR="00616DD1" w:rsidRPr="00656C42" w:rsidRDefault="00616DD1" w:rsidP="00616DD1">
      <w:pPr>
        <w:pStyle w:val="NeniTitull"/>
      </w:pPr>
      <w:bookmarkStart w:id="0" w:name="_GoBack"/>
      <w:r w:rsidRPr="00656C42">
        <w:t>Nr. 100, datë 27.5.2024</w:t>
      </w:r>
    </w:p>
    <w:bookmarkEnd w:id="0"/>
    <w:p w:rsidR="00616DD1" w:rsidRPr="00656C42" w:rsidRDefault="00616DD1" w:rsidP="00616DD1">
      <w:pPr>
        <w:pStyle w:val="NeniTitull"/>
      </w:pPr>
    </w:p>
    <w:p w:rsidR="00616DD1" w:rsidRPr="00656C42" w:rsidRDefault="00616DD1" w:rsidP="00616DD1">
      <w:pPr>
        <w:pStyle w:val="NeniTitull"/>
      </w:pPr>
      <w:r w:rsidRPr="00656C42">
        <w:t>MBI MIRATIMIN E “METODOLOGJISË SË SHPËRNDARJES SË TË ARDHURAVE NGA KONGJESTIONI I ENERGJISË ELEKTRIKE NDËRMJET SHQIPËRISË DHE KOSOVËS”</w:t>
      </w:r>
    </w:p>
    <w:p w:rsidR="00616DD1" w:rsidRPr="00656C42" w:rsidRDefault="00616DD1" w:rsidP="00616DD1">
      <w:pPr>
        <w:autoSpaceDE w:val="0"/>
        <w:autoSpaceDN w:val="0"/>
        <w:adjustRightInd w:val="0"/>
        <w:spacing w:after="0" w:line="240" w:lineRule="auto"/>
        <w:jc w:val="center"/>
        <w:rPr>
          <w:rFonts w:ascii="Garamond" w:eastAsiaTheme="minorHAnsi" w:hAnsi="Garamond"/>
          <w:b/>
          <w:bCs/>
          <w:color w:val="000000"/>
          <w:spacing w:val="-4"/>
          <w:sz w:val="24"/>
          <w:szCs w:val="24"/>
        </w:rPr>
      </w:pP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olor w:val="000000"/>
          <w:spacing w:val="-4"/>
          <w:sz w:val="24"/>
          <w:szCs w:val="24"/>
        </w:rPr>
        <w:t>Në mbështetje të nenit 16 të ligjit nr. 43/2015, “Për sektorin e energjisë elektrike”, të ndryshuar; nënpikës 3.5 të pikës 3 të Modelit të Tregut të Energjisë Elektrike, miratuar me vendimin e Këshillit të Ministrave (VKM) nr. 519, datë 13.7.2016, “Për miratimin e modelit të tregut të energjisë elektrike”, të ndryshuar; nenit 3, pika 8, të “Rregullores së kërkesave dhe procedurave për përcaktimin e Operatorit të Emëruar të Energjisë Elektrike (NEMO), si dhe rolet e përgjegjësitë e NEMO-s dhe Operatorit të Sistemit të Transmetimit të Energjisë në tregun e bashkuar”, miratuar me vendimin e Bordit të Entit Rregullator të Energjisë (ERE) nr. 40, datë 6.3.2020; neneve 15 dhe 26 të “Rregullores për organizimin, funksionimin dhe procedurat e ERE-s”, miratuar me vendimin e Bordit të ERE-s nr. 96, datë 17.6.2016; si dhe “Marrëveshjes kornizë mbi bashkimin e tregjeve të energjisë elektrike të Shqipërisë dhe Kosovës”, të datës 21.10.2021, nënshkruar nga ERE, Zyra e Rregullatorit për Energji e Kosovës (ZRRE), Operatori i Sistemit të Transmetimit të Shqipërisë (OST) sh.a., dhe Operatori i Sistemit, Transmisionit dhe Tregut të Kosovës (KOSTT) sh.a.; Bordi i ERE-s, në mbledhjen e tij të datës 27.5.2024, pasi shqyrtoi relacionin me nr. 175/5 prot., datë 24.5.2024 të përgatitur nga drejtoritë teknike mbi miratimin e “Metodologjisë së shpërndarjes së të ardhurave nga kongjestioni ndërmjet Shqipërisë dhe Kosovës dhe procedurave rezervë për bashkimin e tregut të energjisë elektrike të ditës në avancë Shqipëri–Kosovë”,</w:t>
      </w:r>
    </w:p>
    <w:p w:rsidR="00616DD1" w:rsidRPr="00656C42" w:rsidRDefault="00616DD1" w:rsidP="00616DD1">
      <w:pPr>
        <w:autoSpaceDE w:val="0"/>
        <w:autoSpaceDN w:val="0"/>
        <w:adjustRightInd w:val="0"/>
        <w:spacing w:after="0" w:line="240" w:lineRule="auto"/>
        <w:rPr>
          <w:rFonts w:ascii="Garamond" w:eastAsiaTheme="minorHAnsi" w:hAnsi="Garamond"/>
          <w:bCs/>
          <w:color w:val="000000"/>
          <w:spacing w:val="-4"/>
          <w:sz w:val="24"/>
          <w:szCs w:val="24"/>
        </w:rPr>
      </w:pPr>
      <w:r w:rsidRPr="00656C42">
        <w:rPr>
          <w:rFonts w:ascii="Garamond" w:eastAsiaTheme="minorHAnsi" w:hAnsi="Garamond"/>
          <w:bCs/>
          <w:color w:val="000000"/>
          <w:spacing w:val="-4"/>
          <w:sz w:val="24"/>
          <w:szCs w:val="24"/>
        </w:rPr>
        <w:t>konstatoi se:</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Bordi i ERE-s, me propozim të shoqërisë OST sh.a., mori vendimin nr. 2, datë 22.1.2024, mbi fillimin e procedurës për miratimin e “Metodologjisë së shpërndarjes së të ardhurave nga kongjestioni ndërmjet Shqipërisë dhe Kosovës”.</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 xml:space="preserve">Vendimi i sipërcituar është publikuar në faqen </w:t>
      </w:r>
      <w:r w:rsidRPr="00656C42">
        <w:rPr>
          <w:rFonts w:ascii="Garamond" w:eastAsiaTheme="minorHAnsi" w:hAnsi="Garamond"/>
          <w:i/>
          <w:iCs/>
          <w:color w:val="000000"/>
          <w:spacing w:val="-4"/>
          <w:sz w:val="24"/>
          <w:szCs w:val="24"/>
        </w:rPr>
        <w:t>web</w:t>
      </w:r>
      <w:r w:rsidRPr="00656C42">
        <w:rPr>
          <w:rFonts w:ascii="Garamond" w:eastAsiaTheme="minorHAnsi" w:hAnsi="Garamond"/>
          <w:color w:val="000000"/>
          <w:spacing w:val="-4"/>
          <w:sz w:val="24"/>
          <w:szCs w:val="24"/>
        </w:rPr>
        <w:t xml:space="preserve"> të ERE-s dhe në Fletoren Zyrtare nr. 23, datë 7.2.2024, ndërsa drafti i metodologjisë së propozuar u publikua në zërin “Konsultime” në faqen </w:t>
      </w:r>
      <w:r w:rsidRPr="00656C42">
        <w:rPr>
          <w:rFonts w:ascii="Garamond" w:eastAsiaTheme="minorHAnsi" w:hAnsi="Garamond"/>
          <w:i/>
          <w:iCs/>
          <w:color w:val="000000"/>
          <w:spacing w:val="-4"/>
          <w:sz w:val="24"/>
          <w:szCs w:val="24"/>
        </w:rPr>
        <w:t>web</w:t>
      </w:r>
      <w:r w:rsidRPr="00656C42">
        <w:rPr>
          <w:rFonts w:ascii="Garamond" w:eastAsiaTheme="minorHAnsi" w:hAnsi="Garamond"/>
          <w:color w:val="000000"/>
          <w:spacing w:val="-4"/>
          <w:sz w:val="24"/>
          <w:szCs w:val="24"/>
        </w:rPr>
        <w:t xml:space="preserve"> të ERE-s.</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ERE, me shkresën nr. 175/1 prot., datë 8.2.2024, njoftoi shoqëritë OST sh.a., dhe Bursa Shqiptare të Energjisë Elektrike (ALPEX) sh.a., lidhur me vendimin nr. 2, datë 22.1.2024 të Bordit të ERE-s.</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 xml:space="preserve">Më tej, përgjatë shqyrtimit të draftdokumentit të propozuar për miratim, ERE me shkresën nr. 175/3 prot., datë 12.3.2024, iu drejtua shoqërisë OST sh.a., mbi paqartësitë dhe saktësime të tjera që lidhen me dokumentin e propozuar. </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Në përgjigje të shkresës sipërcituar, shoqëria OST sh.a., me shkresën nr. 1603/1, datë 2.4.2024, protokolluar në ERE me nr. 175/4 prot., datë 3.4.2024, sqaroi si vijon:</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Në “Metodologjinë e shpërndarjes së të ardhurave nga kongjestioni ndërmjet Shqipërisë dhe Kosovës”, në nenin 5 (Parimet për ndarjen) është përcaktuar se OST sh.a., dhe KOSTT sh.a., do të marrin pjesën e tyre të të ardhurave neto kufitare, bazuar në një koeficient të ndarjes 50% me 50%.</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Dokumenti i metodologjisë është përgatitur bazuar në parimet e parashikuara në nenin 73 të Rregullores së Komisionit (EU) 215/1222 dhe nenin 19 të Rregullores së Komisionit (EU) 2019/943, në parashikimet e marrëveshjes kuadër mbi bashkimin e tregjeve të energjisë elektrike të Shqipërisë dhe Kosovës të nënshkruar në vitin 2021 midis OST-ve dhe Enteve Rregullatore të Shqipërisë dhe Kosovës, si dhe duke mbajtur në konsideratë përcaktimet e Memorandumit të nënshkruar në vitin 2020 midis OST-ve të Shqipërisë dhe Kosovës për vlerësimin dhe alokimin e kapaciteteve të interkoneksionit midis dy vendeve, ku përcaktohet, se: “Palët do të marrin në konsideratë përdorimin e të njëjtës ndërfaqe të interkoneksionit dhe totali i NTC-së do të ndahet ndërmjet tyre në mënyrë të barabartë (50%/50%), me përjashtim të procesit brenda ditës”.</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lastRenderedPageBreak/>
        <w:t xml:space="preserve">- </w:t>
      </w:r>
      <w:r w:rsidRPr="00656C42">
        <w:rPr>
          <w:rFonts w:ascii="Garamond" w:eastAsiaTheme="minorHAnsi" w:hAnsi="Garamond"/>
          <w:color w:val="000000"/>
          <w:spacing w:val="-4"/>
          <w:sz w:val="24"/>
          <w:szCs w:val="24"/>
        </w:rPr>
        <w:t>Lidhur me shtojcën 1, shoqëria OST sh.a., sqaron se në bazë të nenit 54 të ligjit nr. 43/2015, i ndryshuar, Operatori i Sistemit të Transmetimit ka në pronësi sistemin e transmetimit të energjisë elektrike, që përfshin ndër të tjera dhe linjat 400 kV, 220 kV dhe 110 kV. Pra, OST sh.a. është e vetmja pronare e linjave të interkoneksionit Kosova B–Tirana 2, 400 kV (Koman–kufi) dhe Prizren–Fierzë 220 kV (Fierzë–kufi). Po kështu, KOSTT sh.a. është Operatori i Sistemit, Transmisionit dhe Tregut të energjisë elektrike të Kosovës, i cili, sipas ligjit për energjinë elektrike nr. 05/L-085, të miratuar në vitin 2016, menaxhon Sistemin e Transmetimit të Republikës së Kosovës, duke operuar me nivele të tensionit të lartë 400 kV, 220 kV dhe 110 kV. Pra, dhe KOSTT sh.a., është e vetmja pronare e linjave të interkoneksionit Kosova B–Tirana 2, 400 kV (Kosova B–kufi), Prizren–Fierzë 220 kV (Prizren–kufi).</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Nisur nga sa me lartë, me terminologjinë “Aksione të pronësisë”, të tabelës së shtojcës 1, do të kuptohet pikërisht që e drejta e përfitimit të të ardhurave nga kongjestioni i përket vetëm këtyre dy shoqërive si pronare të vetme të linjave në shtetin përkatës (për shkak të së drejtës së pronësisë apo administrimit dhënë nga aktet ligjore në fuqi) dhe në masën 100% të pjesës që i takon secilës sipas koeficientit të përcaktuar në nenin 5 të metodologjisë, të dakordësuar për t’u aplikuar. Për këtë arsye, nga ana e OST sh.a., propozohet që në shtojcën 1, të shtohet paragrafi: “Aksionet e pronësisë” - kuptohet që OST-të janë pronarë të vetëm ose zotërojnë pronësinë e plotë mbi linjat pjesë e interkonektorëve të listuar në tabelë, në shtetin përkatës.</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Gjithashtu, në shtojcën 1 janë reflektuar rregullimet e kolonës “Koeficienti i aplikuar për ndarjen e të ardhurave” në tabelë.</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Shoqëria OST sh.a., me shkresën e sipërcituar, gjithashtu, ka përcjellë draftin e rishikuar të “Metodologjisë së shpërndarjes së të ardhurave nga kongjestioni ndërmjet Shqipërisë dhe Kosovës”, të dakordësuar midis OST sh.a., KOSTT sh.a., dhe NEMO-s së Shqipërisë dhe Kosovës”, si dhe ka bërë me dije se është informuar dhe KOSTT sh.a. për rregullimet në aktin përkatës. Në dokumentacionin e përcjellë me anë të shkresës sipërcituar, u vërejt se janë konsideruar të gjitha ndryshimet e sugjeruara, si dhe janë dhëne sqarimet e kërkuara nga ERE.</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 xml:space="preserve">Në mbështetje të sa parashikohet në ligjin nr. 43/2015, “Për sektorin e energjisë elektrike”, të ndryshuar, në “Rregulloren e kërkesave dhe procedurave për përcaktimin e operatorit të emëruar të tregut të energjisë elektrike (NEMO)”, si dhe rolet e përgjegjësitë e NEMO-s dhe operatorit të sistemit të transmetimit të energjisë në tregun e bashkuar, miratuar me vendimin e Bordit të ERE nr. 40, datë 6.3.2020, Bordi i ERE-s, me vendim nr. 369, datë 26.12.2023, vendosi ndër të tjera: 1. Caktimin e NEMO (ALPEX sh.a.) në rolin e “Agjentit të Transferimit” </w:t>
      </w:r>
      <w:r w:rsidRPr="00656C42">
        <w:rPr>
          <w:rFonts w:ascii="Garamond" w:eastAsiaTheme="minorHAnsi" w:hAnsi="Garamond"/>
          <w:i/>
          <w:iCs/>
          <w:color w:val="000000"/>
          <w:spacing w:val="-4"/>
          <w:sz w:val="24"/>
          <w:szCs w:val="24"/>
        </w:rPr>
        <w:t xml:space="preserve">(Shipping Agent), </w:t>
      </w:r>
      <w:r w:rsidRPr="00656C42">
        <w:rPr>
          <w:rFonts w:ascii="Garamond" w:eastAsiaTheme="minorHAnsi" w:hAnsi="Garamond"/>
          <w:color w:val="000000"/>
          <w:spacing w:val="-4"/>
          <w:sz w:val="24"/>
          <w:szCs w:val="24"/>
        </w:rPr>
        <w:t>për bashkimin e tregjeve të energjisë elektrike të Shqipërisë dhe Kosovës; dhe 2. Agjenti i Transferimit, të ardhurat të cilat mblidhen nga konxhestionet do t’i transferojë OST-ve respektive jo më vonë se dy javë pas datës së shlyerjes.</w:t>
      </w:r>
    </w:p>
    <w:p w:rsidR="00616DD1" w:rsidRPr="00656C42" w:rsidRDefault="00616DD1" w:rsidP="00616DD1">
      <w:pPr>
        <w:tabs>
          <w:tab w:val="left" w:pos="1000"/>
        </w:tabs>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Këshilli i Ministrave, me vendimin nr. 872, datë 27.12.2022, “Për disa ndryshime dhe shtesa në vendimin nr. 519, datë 13.7.2016, të Këshillit të Ministrave “Për miratimin e modelit të tregut të energjisë elektrike”, në pikën 2, germa “b” ka përcaktuar ndër të tjera, se: “OST-ja të vendosë në dispozicion të tregut të organizuar një sasi minimum (50%) të kapaciteteve ndërkufitare të disponueshme, që i përket bashkimit respektiv të tregjeve.”</w:t>
      </w:r>
    </w:p>
    <w:p w:rsidR="00616DD1" w:rsidRPr="00656C42" w:rsidRDefault="00616DD1" w:rsidP="00616DD1">
      <w:pPr>
        <w:tabs>
          <w:tab w:val="left" w:pos="8220"/>
        </w:tabs>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 xml:space="preserve">Në rastin konkret bashkimi i tregut ndërmjet Shqipërisë dhe Kosovës do të realizohet me 2 (dy) </w:t>
      </w:r>
      <w:r w:rsidRPr="00656C42">
        <w:rPr>
          <w:rFonts w:ascii="Garamond" w:eastAsiaTheme="minorHAnsi" w:hAnsi="Garamond"/>
          <w:i/>
          <w:iCs/>
          <w:color w:val="000000"/>
          <w:spacing w:val="-4"/>
          <w:sz w:val="24"/>
          <w:szCs w:val="24"/>
        </w:rPr>
        <w:t>bidding</w:t>
      </w:r>
      <w:r w:rsidRPr="00656C42">
        <w:rPr>
          <w:rFonts w:ascii="Garamond" w:eastAsiaTheme="minorHAnsi" w:hAnsi="Garamond"/>
          <w:color w:val="000000"/>
          <w:spacing w:val="-4"/>
          <w:sz w:val="24"/>
          <w:szCs w:val="24"/>
        </w:rPr>
        <w:t xml:space="preserve"> </w:t>
      </w:r>
      <w:r w:rsidRPr="00656C42">
        <w:rPr>
          <w:rFonts w:ascii="Garamond" w:eastAsiaTheme="minorHAnsi" w:hAnsi="Garamond"/>
          <w:i/>
          <w:iCs/>
          <w:color w:val="000000"/>
          <w:spacing w:val="-4"/>
          <w:sz w:val="24"/>
          <w:szCs w:val="24"/>
        </w:rPr>
        <w:t>zones</w:t>
      </w:r>
      <w:r w:rsidRPr="00656C42">
        <w:rPr>
          <w:rFonts w:ascii="Garamond" w:eastAsiaTheme="minorHAnsi" w:hAnsi="Garamond"/>
          <w:color w:val="000000"/>
          <w:spacing w:val="-4"/>
          <w:sz w:val="24"/>
          <w:szCs w:val="24"/>
        </w:rPr>
        <w:t xml:space="preserve"> (zona ofertimi) dhe për të realizuar këtë bashkim do të alokohet një sasi minimale prej 50% e kapacitetit ndërkufitar të disponueshëm. </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s="Symbol"/>
          <w:color w:val="000000"/>
          <w:spacing w:val="-4"/>
          <w:sz w:val="24"/>
          <w:szCs w:val="24"/>
        </w:rPr>
        <w:t xml:space="preserve">- </w:t>
      </w:r>
      <w:r w:rsidRPr="00656C42">
        <w:rPr>
          <w:rFonts w:ascii="Garamond" w:eastAsiaTheme="minorHAnsi" w:hAnsi="Garamond"/>
          <w:color w:val="000000"/>
          <w:spacing w:val="-4"/>
          <w:sz w:val="24"/>
          <w:szCs w:val="24"/>
        </w:rPr>
        <w:t>Shoqëria ALPEX sh.a., filloi operimin në zonën e ofertimit të Shqipërisë në 12 prill 2023. Gjithashtu, në datën 1 shkurt 2024, ALPEX sh.a., filloi operimin ne zonën e ofertimit të Kosovës. Në kushtet, kur ka filluar operimi i ALPEX sh.a., në të dy zonat e operimit, vlerësohet dhe miratimi i metodologjisë së propozuar për të ndarë të ardhurat nga konxhestionet.</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olor w:val="000000"/>
          <w:spacing w:val="-4"/>
          <w:sz w:val="24"/>
          <w:szCs w:val="24"/>
        </w:rPr>
        <w:t xml:space="preserve">Për gjithë sa më sipër, Bordi i ERE-s </w:t>
      </w:r>
    </w:p>
    <w:p w:rsidR="00616DD1" w:rsidRPr="00656C42" w:rsidRDefault="00616DD1" w:rsidP="00616DD1">
      <w:pPr>
        <w:autoSpaceDE w:val="0"/>
        <w:autoSpaceDN w:val="0"/>
        <w:adjustRightInd w:val="0"/>
        <w:spacing w:after="0" w:line="240" w:lineRule="auto"/>
        <w:jc w:val="center"/>
        <w:rPr>
          <w:rFonts w:ascii="Garamond" w:eastAsiaTheme="minorHAnsi" w:hAnsi="Garamond"/>
          <w:b/>
          <w:bCs/>
          <w:color w:val="000000"/>
          <w:spacing w:val="-4"/>
          <w:sz w:val="24"/>
          <w:szCs w:val="24"/>
        </w:rPr>
      </w:pPr>
    </w:p>
    <w:p w:rsidR="00616DD1" w:rsidRPr="00656C42" w:rsidRDefault="00616DD1" w:rsidP="00616DD1">
      <w:pPr>
        <w:autoSpaceDE w:val="0"/>
        <w:autoSpaceDN w:val="0"/>
        <w:adjustRightInd w:val="0"/>
        <w:spacing w:after="0" w:line="240" w:lineRule="auto"/>
        <w:jc w:val="center"/>
        <w:rPr>
          <w:rFonts w:ascii="Garamond" w:eastAsiaTheme="minorHAnsi" w:hAnsi="Garamond"/>
          <w:bCs/>
          <w:color w:val="000000"/>
          <w:spacing w:val="-4"/>
          <w:sz w:val="24"/>
          <w:szCs w:val="24"/>
        </w:rPr>
      </w:pPr>
      <w:r w:rsidRPr="00656C42">
        <w:rPr>
          <w:rFonts w:ascii="Garamond" w:eastAsiaTheme="minorHAnsi" w:hAnsi="Garamond"/>
          <w:bCs/>
          <w:color w:val="000000"/>
          <w:spacing w:val="-4"/>
          <w:sz w:val="24"/>
          <w:szCs w:val="24"/>
        </w:rPr>
        <w:t>VENDOSI:</w:t>
      </w:r>
    </w:p>
    <w:p w:rsidR="00616DD1" w:rsidRPr="00656C42" w:rsidRDefault="00616DD1" w:rsidP="00616DD1">
      <w:pPr>
        <w:autoSpaceDE w:val="0"/>
        <w:autoSpaceDN w:val="0"/>
        <w:adjustRightInd w:val="0"/>
        <w:spacing w:after="0" w:line="240" w:lineRule="auto"/>
        <w:jc w:val="center"/>
        <w:rPr>
          <w:rFonts w:ascii="Garamond" w:eastAsiaTheme="minorHAnsi" w:hAnsi="Garamond"/>
          <w:color w:val="000000"/>
          <w:spacing w:val="-4"/>
          <w:sz w:val="24"/>
          <w:szCs w:val="24"/>
        </w:rPr>
      </w:pP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olor w:val="000000"/>
          <w:spacing w:val="-4"/>
          <w:sz w:val="24"/>
          <w:szCs w:val="24"/>
        </w:rPr>
        <w:t>1. Miratimin e “Metodologjisë së shpërndarjes së të ardhurave nga kongjestioni i energjisë elektrike ndërmjet Shqipërisë dhe Kosovës” (bashkëlidhur).</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olor w:val="000000"/>
          <w:spacing w:val="-4"/>
          <w:sz w:val="24"/>
          <w:szCs w:val="24"/>
        </w:rPr>
        <w:t>2. Drejtoria e Tarifave dhe Çmimeve të njoftojë palët e interesit për vendimin e Bordit të ERE-s.</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olor w:val="000000"/>
          <w:spacing w:val="-4"/>
          <w:sz w:val="24"/>
          <w:szCs w:val="24"/>
        </w:rPr>
        <w:t>Ky vendim hyn në fuqi menjëherë.</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olor w:val="000000"/>
          <w:spacing w:val="-4"/>
          <w:sz w:val="24"/>
          <w:szCs w:val="24"/>
        </w:rPr>
        <w:t>Çdo palë e përfshirë në këtë procedurë mund t’i kërkojë ERE-s, brenda 7 ditëve kalendarike nga data e marrjes dijeni,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sidRPr="00656C42">
        <w:rPr>
          <w:rFonts w:ascii="Garamond" w:eastAsiaTheme="minorHAnsi" w:hAnsi="Garamond"/>
          <w:color w:val="000000"/>
          <w:spacing w:val="-4"/>
          <w:sz w:val="24"/>
          <w:szCs w:val="24"/>
        </w:rPr>
        <w:t>Ky vendim botohet në Fletoren Zyrtare.</w:t>
      </w: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p>
    <w:p w:rsidR="00616DD1" w:rsidRPr="00656C42" w:rsidRDefault="00616DD1" w:rsidP="00616DD1">
      <w:pPr>
        <w:autoSpaceDE w:val="0"/>
        <w:autoSpaceDN w:val="0"/>
        <w:adjustRightInd w:val="0"/>
        <w:spacing w:after="0" w:line="240" w:lineRule="auto"/>
        <w:jc w:val="right"/>
        <w:rPr>
          <w:rFonts w:ascii="Garamond" w:eastAsiaTheme="minorHAnsi" w:hAnsi="Garamond"/>
          <w:bCs/>
          <w:color w:val="000000"/>
          <w:spacing w:val="-4"/>
          <w:sz w:val="24"/>
          <w:szCs w:val="24"/>
        </w:rPr>
      </w:pPr>
      <w:r w:rsidRPr="00656C42">
        <w:rPr>
          <w:rFonts w:ascii="Garamond" w:eastAsiaTheme="minorHAnsi" w:hAnsi="Garamond"/>
          <w:color w:val="000000"/>
          <w:spacing w:val="-4"/>
          <w:sz w:val="24"/>
          <w:szCs w:val="24"/>
        </w:rPr>
        <w:t xml:space="preserve"> </w:t>
      </w:r>
      <w:r w:rsidRPr="00656C42">
        <w:rPr>
          <w:rFonts w:ascii="Garamond" w:eastAsiaTheme="minorHAnsi" w:hAnsi="Garamond"/>
          <w:bCs/>
          <w:color w:val="000000"/>
          <w:spacing w:val="-4"/>
          <w:sz w:val="24"/>
          <w:szCs w:val="24"/>
        </w:rPr>
        <w:t xml:space="preserve">KRYETAR </w:t>
      </w:r>
    </w:p>
    <w:p w:rsidR="00616DD1" w:rsidRPr="00656C42" w:rsidRDefault="00616DD1" w:rsidP="00616DD1">
      <w:pPr>
        <w:autoSpaceDE w:val="0"/>
        <w:autoSpaceDN w:val="0"/>
        <w:adjustRightInd w:val="0"/>
        <w:spacing w:after="0" w:line="240" w:lineRule="auto"/>
        <w:jc w:val="right"/>
        <w:rPr>
          <w:rFonts w:ascii="Garamond" w:eastAsiaTheme="minorHAnsi" w:hAnsi="Garamond"/>
          <w:b/>
          <w:bCs/>
          <w:color w:val="000000"/>
          <w:spacing w:val="-4"/>
          <w:sz w:val="24"/>
          <w:szCs w:val="24"/>
        </w:rPr>
      </w:pPr>
      <w:r w:rsidRPr="00656C42">
        <w:rPr>
          <w:rFonts w:ascii="Garamond" w:eastAsiaTheme="minorHAnsi" w:hAnsi="Garamond"/>
          <w:b/>
          <w:bCs/>
          <w:color w:val="000000"/>
          <w:spacing w:val="-4"/>
          <w:sz w:val="24"/>
          <w:szCs w:val="24"/>
        </w:rPr>
        <w:t>Petrit Ahmeti</w:t>
      </w:r>
    </w:p>
    <w:p w:rsidR="00616DD1" w:rsidRDefault="00616DD1" w:rsidP="00616DD1">
      <w:pPr>
        <w:autoSpaceDE w:val="0"/>
        <w:autoSpaceDN w:val="0"/>
        <w:adjustRightInd w:val="0"/>
        <w:spacing w:after="0" w:line="240" w:lineRule="auto"/>
        <w:jc w:val="right"/>
        <w:rPr>
          <w:rFonts w:ascii="Garamond" w:eastAsiaTheme="minorHAnsi" w:hAnsi="Garamond"/>
          <w:color w:val="000000"/>
          <w:spacing w:val="-4"/>
          <w:sz w:val="24"/>
          <w:szCs w:val="24"/>
        </w:rPr>
      </w:pPr>
    </w:p>
    <w:p w:rsidR="00616DD1" w:rsidRPr="00656C42" w:rsidRDefault="00616DD1" w:rsidP="00616DD1">
      <w:pPr>
        <w:autoSpaceDE w:val="0"/>
        <w:autoSpaceDN w:val="0"/>
        <w:adjustRightInd w:val="0"/>
        <w:spacing w:after="0" w:line="240" w:lineRule="auto"/>
        <w:rPr>
          <w:rFonts w:ascii="Garamond" w:eastAsiaTheme="minorHAnsi" w:hAnsi="Garamond"/>
          <w:color w:val="000000"/>
          <w:spacing w:val="-4"/>
          <w:sz w:val="24"/>
          <w:szCs w:val="24"/>
        </w:rPr>
      </w:pPr>
      <w:r>
        <w:rPr>
          <w:rFonts w:ascii="Garamond" w:eastAsiaTheme="minorHAnsi" w:hAnsi="Garamond"/>
          <w:noProof/>
          <w:color w:val="000000"/>
          <w:spacing w:val="-4"/>
          <w:sz w:val="24"/>
          <w:szCs w:val="24"/>
        </w:rPr>
        <w:drawing>
          <wp:inline distT="0" distB="0" distL="0" distR="0" wp14:anchorId="312971F1" wp14:editId="1E0508E3">
            <wp:extent cx="5943600" cy="41370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ST_NR.175-4_V2024-4-10_BASHKLIDHJA E VENDIMIT 100 DATE 27.05.2024_Page_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4137025"/>
                    </a:xfrm>
                    <a:prstGeom prst="rect">
                      <a:avLst/>
                    </a:prstGeom>
                  </pic:spPr>
                </pic:pic>
              </a:graphicData>
            </a:graphic>
          </wp:inline>
        </w:drawing>
      </w:r>
    </w:p>
    <w:p w:rsidR="00616DD1" w:rsidRDefault="00616DD1" w:rsidP="00616DD1">
      <w:pPr>
        <w:pStyle w:val="NeniTitull"/>
      </w:pPr>
      <w:r>
        <w:rPr>
          <w:noProof/>
        </w:rPr>
        <w:lastRenderedPageBreak/>
        <w:drawing>
          <wp:inline distT="0" distB="0" distL="0" distR="0" wp14:anchorId="4232BA3E" wp14:editId="2F1FA4D5">
            <wp:extent cx="5386705" cy="768096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ST_NR.175-4_V2024-4-10_BASHKLIDHJA E VENDIMIT 100 DATE 27.05.2024_Page_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87732" cy="7682425"/>
                    </a:xfrm>
                    <a:prstGeom prst="rect">
                      <a:avLst/>
                    </a:prstGeom>
                  </pic:spPr>
                </pic:pic>
              </a:graphicData>
            </a:graphic>
          </wp:inline>
        </w:drawing>
      </w:r>
    </w:p>
    <w:p w:rsidR="00616DD1" w:rsidRDefault="00616DD1" w:rsidP="00616DD1">
      <w:pPr>
        <w:pStyle w:val="NeniTitull"/>
      </w:pPr>
      <w:r>
        <w:rPr>
          <w:noProof/>
        </w:rPr>
        <w:lastRenderedPageBreak/>
        <w:drawing>
          <wp:inline distT="0" distB="0" distL="0" distR="0" wp14:anchorId="6C033DB8" wp14:editId="53639A7A">
            <wp:extent cx="5502910" cy="7768424"/>
            <wp:effectExtent l="0" t="0" r="254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ST_NR.175-4_V2024-4-10_BASHKLIDHJA E VENDIMIT 100 DATE 27.05.2024_Page_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03900" cy="7769822"/>
                    </a:xfrm>
                    <a:prstGeom prst="rect">
                      <a:avLst/>
                    </a:prstGeom>
                  </pic:spPr>
                </pic:pic>
              </a:graphicData>
            </a:graphic>
          </wp:inline>
        </w:drawing>
      </w:r>
    </w:p>
    <w:p w:rsidR="00616DD1" w:rsidRDefault="00616DD1" w:rsidP="00616DD1">
      <w:pPr>
        <w:pStyle w:val="NeniTitull"/>
      </w:pPr>
    </w:p>
    <w:p w:rsidR="00616DD1" w:rsidRDefault="00616DD1" w:rsidP="00616DD1">
      <w:pPr>
        <w:pStyle w:val="NeniTitull"/>
      </w:pPr>
    </w:p>
    <w:p w:rsidR="00616DD1" w:rsidRDefault="00616DD1" w:rsidP="00616DD1">
      <w:pPr>
        <w:pStyle w:val="NeniTitull"/>
      </w:pPr>
      <w:r>
        <w:rPr>
          <w:noProof/>
        </w:rPr>
        <w:lastRenderedPageBreak/>
        <w:drawing>
          <wp:inline distT="0" distB="0" distL="0" distR="0" wp14:anchorId="2F2A240C" wp14:editId="7EB59F25">
            <wp:extent cx="5184775" cy="7657106"/>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ST_NR.175-4_V2024-4-10_BASHKLIDHJA E VENDIMIT 100 DATE 27.05.2024_Page_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86492" cy="7659641"/>
                    </a:xfrm>
                    <a:prstGeom prst="rect">
                      <a:avLst/>
                    </a:prstGeom>
                  </pic:spPr>
                </pic:pic>
              </a:graphicData>
            </a:graphic>
          </wp:inline>
        </w:drawing>
      </w:r>
    </w:p>
    <w:p w:rsidR="00616DD1" w:rsidRDefault="00616DD1" w:rsidP="00616DD1">
      <w:pPr>
        <w:pStyle w:val="NeniTitull"/>
      </w:pPr>
      <w:r>
        <w:rPr>
          <w:noProof/>
        </w:rPr>
        <w:lastRenderedPageBreak/>
        <w:drawing>
          <wp:inline distT="0" distB="0" distL="0" distR="0" wp14:anchorId="18A756E3" wp14:editId="66BD1376">
            <wp:extent cx="5443855" cy="8229600"/>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ST_NR.175-4_V2024-4-10_BASHKLIDHJA E VENDIMIT 100 DATE 27.05.2024_Page_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43855" cy="8229600"/>
                    </a:xfrm>
                    <a:prstGeom prst="rect">
                      <a:avLst/>
                    </a:prstGeom>
                  </pic:spPr>
                </pic:pic>
              </a:graphicData>
            </a:graphic>
          </wp:inline>
        </w:drawing>
      </w:r>
      <w:r>
        <w:rPr>
          <w:noProof/>
        </w:rPr>
        <w:lastRenderedPageBreak/>
        <w:drawing>
          <wp:inline distT="0" distB="0" distL="0" distR="0" wp14:anchorId="7EA07D44" wp14:editId="6DF28D04">
            <wp:extent cx="6225529" cy="3156668"/>
            <wp:effectExtent l="0" t="0" r="444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ST_NR.175-4_V2024-4-10_BASHKLIDHJA E VENDIMIT 100 DATE 27.05.2024_Page_6.jpg"/>
                    <pic:cNvPicPr/>
                  </pic:nvPicPr>
                  <pic:blipFill rotWithShape="1">
                    <a:blip r:embed="rId9" cstate="print">
                      <a:extLst>
                        <a:ext uri="{28A0092B-C50C-407E-A947-70E740481C1C}">
                          <a14:useLocalDpi xmlns:a14="http://schemas.microsoft.com/office/drawing/2010/main" val="0"/>
                        </a:ext>
                      </a:extLst>
                    </a:blip>
                    <a:srcRect b="7037"/>
                    <a:stretch/>
                  </pic:blipFill>
                  <pic:spPr bwMode="auto">
                    <a:xfrm>
                      <a:off x="0" y="0"/>
                      <a:ext cx="6241859" cy="3164948"/>
                    </a:xfrm>
                    <a:prstGeom prst="rect">
                      <a:avLst/>
                    </a:prstGeom>
                    <a:ln>
                      <a:noFill/>
                    </a:ln>
                    <a:extLst>
                      <a:ext uri="{53640926-AAD7-44D8-BBD7-CCE9431645EC}">
                        <a14:shadowObscured xmlns:a14="http://schemas.microsoft.com/office/drawing/2010/main"/>
                      </a:ext>
                    </a:extLst>
                  </pic:spPr>
                </pic:pic>
              </a:graphicData>
            </a:graphic>
          </wp:inline>
        </w:drawing>
      </w:r>
    </w:p>
    <w:p w:rsidR="00616DD1" w:rsidRDefault="00616DD1" w:rsidP="00616DD1">
      <w:pPr>
        <w:pStyle w:val="NeniTitull"/>
      </w:pPr>
    </w:p>
    <w:p w:rsidR="00616DD1" w:rsidRDefault="00616DD1" w:rsidP="00616DD1">
      <w:pPr>
        <w:pStyle w:val="NeniTitull"/>
      </w:pPr>
      <w:r>
        <w:rPr>
          <w:noProof/>
        </w:rPr>
        <w:drawing>
          <wp:inline distT="0" distB="0" distL="0" distR="0" wp14:anchorId="0D18C147" wp14:editId="09BB66C9">
            <wp:extent cx="6224490" cy="4405023"/>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ST_NR.175-4_V2024-4-10_BASHKLIDHJA E VENDIMIT 100 DATE 27.05.2024_Page_7.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37532" cy="4414253"/>
                    </a:xfrm>
                    <a:prstGeom prst="rect">
                      <a:avLst/>
                    </a:prstGeom>
                  </pic:spPr>
                </pic:pic>
              </a:graphicData>
            </a:graphic>
          </wp:inline>
        </w:drawing>
      </w:r>
    </w:p>
    <w:p w:rsidR="00616DD1" w:rsidRDefault="00616DD1" w:rsidP="00616DD1">
      <w:pPr>
        <w:pStyle w:val="NeniTitull"/>
      </w:pPr>
    </w:p>
    <w:p w:rsidR="00FF11BA" w:rsidRDefault="00FF11BA"/>
    <w:sectPr w:rsidR="00FF11BA" w:rsidSect="00B73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DD1"/>
    <w:rsid w:val="00616DD1"/>
    <w:rsid w:val="006F7F4C"/>
    <w:rsid w:val="00B73CD8"/>
    <w:rsid w:val="00E82C7D"/>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2A909C-7211-46BB-9848-C742DFF02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6DD1"/>
    <w:pPr>
      <w:spacing w:after="200" w:line="276" w:lineRule="auto"/>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
    <w:name w:val="Neni_Titull"/>
    <w:next w:val="Normal"/>
    <w:link w:val="NeniTitullChar"/>
    <w:rsid w:val="00616DD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TitullChar">
    <w:name w:val="Neni_Titull Char"/>
    <w:link w:val="NeniTitull"/>
    <w:locked/>
    <w:rsid w:val="00616DD1"/>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1334</Words>
  <Characters>7608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Ermira Bukaci</dc:creator>
  <cp:keywords/>
  <dc:description/>
  <cp:lastModifiedBy>Ermira Bukaci</cp:lastModifiedBy>
  <cp:revision>1</cp:revision>
  <dcterms:created xsi:type="dcterms:W3CDTF">2024-07-04T09:10:00Z</dcterms:created>
  <dcterms:modified xsi:type="dcterms:W3CDTF">2024-07-04T09:10:00Z</dcterms:modified>
</cp:coreProperties>
</file>