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DD1" w:rsidRPr="0012719C" w:rsidRDefault="00616DD1" w:rsidP="00616DD1">
      <w:pPr>
        <w:pStyle w:val="NeniTitull"/>
        <w:rPr>
          <w:szCs w:val="24"/>
        </w:rPr>
      </w:pPr>
      <w:r w:rsidRPr="0012719C">
        <w:rPr>
          <w:szCs w:val="24"/>
        </w:rPr>
        <w:t>VENDIM</w:t>
      </w:r>
    </w:p>
    <w:p w:rsidR="00616DD1" w:rsidRPr="0012719C" w:rsidRDefault="00616DD1" w:rsidP="00616DD1">
      <w:pPr>
        <w:pStyle w:val="NeniTitull"/>
        <w:rPr>
          <w:szCs w:val="24"/>
        </w:rPr>
      </w:pPr>
      <w:r w:rsidRPr="0012719C">
        <w:rPr>
          <w:szCs w:val="24"/>
        </w:rPr>
        <w:t>Nr. 100, datë 27.5.2024</w:t>
      </w:r>
    </w:p>
    <w:p w:rsidR="00616DD1" w:rsidRPr="0012719C" w:rsidRDefault="00616DD1" w:rsidP="00616DD1">
      <w:pPr>
        <w:pStyle w:val="NeniTitull"/>
        <w:rPr>
          <w:szCs w:val="24"/>
        </w:rPr>
      </w:pPr>
    </w:p>
    <w:p w:rsidR="00616DD1" w:rsidRPr="0012719C" w:rsidRDefault="00616DD1" w:rsidP="00616DD1">
      <w:pPr>
        <w:pStyle w:val="NeniTitull"/>
        <w:rPr>
          <w:szCs w:val="24"/>
        </w:rPr>
      </w:pPr>
      <w:r w:rsidRPr="0012719C">
        <w:rPr>
          <w:szCs w:val="24"/>
        </w:rPr>
        <w:t>MBI MIRATIMIN E “METODOLOGJISË SË SHPËRNDARJES SË TË ARDHURAVE NGA KONGJESTIONI I ENERGJISË ELEKTRIKE NDËRMJET SHQIPËRISË DHE KOSOVËS”</w:t>
      </w:r>
    </w:p>
    <w:p w:rsidR="00303BB9" w:rsidRPr="0012719C" w:rsidRDefault="00303BB9" w:rsidP="00303BB9">
      <w:pPr>
        <w:jc w:val="center"/>
        <w:rPr>
          <w:rFonts w:ascii="Garamond" w:hAnsi="Garamond"/>
          <w:i/>
          <w:sz w:val="24"/>
          <w:szCs w:val="24"/>
          <w:lang w:val="en-GB"/>
        </w:rPr>
      </w:pPr>
      <w:r w:rsidRPr="0012719C">
        <w:rPr>
          <w:rFonts w:ascii="Garamond" w:hAnsi="Garamond"/>
          <w:i/>
          <w:sz w:val="24"/>
          <w:szCs w:val="24"/>
          <w:lang w:val="en-GB"/>
        </w:rPr>
        <w:t>(Ndryshuar me vendimin nr. 47, datë 27.2.2025)</w:t>
      </w:r>
    </w:p>
    <w:p w:rsidR="00303BB9" w:rsidRPr="0012719C" w:rsidRDefault="00303BB9" w:rsidP="00303BB9">
      <w:pPr>
        <w:jc w:val="right"/>
        <w:rPr>
          <w:rFonts w:ascii="Garamond" w:hAnsi="Garamond"/>
          <w:i/>
          <w:sz w:val="24"/>
          <w:szCs w:val="24"/>
          <w:lang w:val="en-GB" w:eastAsia="ja-JP"/>
        </w:rPr>
      </w:pPr>
      <w:r w:rsidRPr="0012719C">
        <w:rPr>
          <w:rFonts w:ascii="Garamond" w:hAnsi="Garamond"/>
          <w:i/>
          <w:sz w:val="24"/>
          <w:szCs w:val="24"/>
          <w:lang w:val="en-GB"/>
        </w:rPr>
        <w:t>(I përditësuar)</w:t>
      </w:r>
    </w:p>
    <w:p w:rsidR="00616DD1" w:rsidRPr="0012719C" w:rsidRDefault="00616DD1" w:rsidP="00616DD1">
      <w:pPr>
        <w:autoSpaceDE w:val="0"/>
        <w:autoSpaceDN w:val="0"/>
        <w:adjustRightInd w:val="0"/>
        <w:spacing w:after="0" w:line="240" w:lineRule="auto"/>
        <w:jc w:val="center"/>
        <w:rPr>
          <w:rFonts w:ascii="Garamond" w:eastAsiaTheme="minorHAnsi" w:hAnsi="Garamond"/>
          <w:b/>
          <w:bCs/>
          <w:spacing w:val="-4"/>
          <w:sz w:val="24"/>
          <w:szCs w:val="24"/>
        </w:rPr>
      </w:pP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spacing w:val="-4"/>
          <w:sz w:val="24"/>
          <w:szCs w:val="24"/>
        </w:rPr>
        <w:t xml:space="preserve">Në mbështetje të nenit 16 të ligjit nr. 43/2015, “Për sektorin e energjisë elektrike”, të ndryshuar; nënpikës 3.5 të pikës 3 të Modelit të Tregut të Energjisë Elektrike, miratuar me vendimin e Këshillit të Ministrave (VKM) nr. 519, datë 13.7.2016, “Për miratimin e modelit të tregut të energjisë elektrike”, të ndryshuar; nenit 3, pika 8, të “Rregullores së kërkesave dhe procedurave për përcaktimin e Operatorit të Emëruar të Energjisë Elektrike (NEMO), si dhe rolet e përgjegjësitë e NEMO-s dhe Operatorit të Sistemit të Transmetimit të Energjisë në tregun e bashkuar”, miratuar me vendimin e Bordit të Entit Rregullator të Energjisë (ERE) nr. 40, datë 6.3.2020; neneve 15 dhe 26 të “Rregullores për organizimin, funksionimin dhe procedurat e ERE-s”, miratuar me vendimin e Bordit të ERE-s nr. 96, datë 17.6.2016; si dhe “Marrëveshjes kornizë mbi bashkimin e tregjeve të energjisë elektrike të Shqipërisë dhe Kosovës”, të datës 21.10.2021, nënshkruar nga ERE, Zyra e Rregullatorit për Energji e Kosovës (ZRRE), Operatori i Sistemit të Transmetimit të Shqipërisë (OST) sh.a., dhe Operatori i Sistemit, Transmisionit dhe Tregut të Kosovës (KOSTT) sh.a.; Bordi i ERE-s, në mbledhjen e tij të datës 27.5.2024, pasi shqyrtoi relacionin me nr. 175/5 </w:t>
      </w:r>
      <w:proofErr w:type="gramStart"/>
      <w:r w:rsidRPr="0012719C">
        <w:rPr>
          <w:rFonts w:ascii="Garamond" w:eastAsiaTheme="minorHAnsi" w:hAnsi="Garamond"/>
          <w:spacing w:val="-4"/>
          <w:sz w:val="24"/>
          <w:szCs w:val="24"/>
        </w:rPr>
        <w:t>prot</w:t>
      </w:r>
      <w:proofErr w:type="gramEnd"/>
      <w:r w:rsidRPr="0012719C">
        <w:rPr>
          <w:rFonts w:ascii="Garamond" w:eastAsiaTheme="minorHAnsi" w:hAnsi="Garamond"/>
          <w:spacing w:val="-4"/>
          <w:sz w:val="24"/>
          <w:szCs w:val="24"/>
        </w:rPr>
        <w:t>., datë 24.5.2024 të përgatitur nga drejtoritë teknike mbi miratimin e “Metodologjisë së shpërndarjes së të ardhurave nga kongjestioni ndërmjet Shqipërisë dhe Kosovës dhe procedurave rezervë për bashkimin e tregut të energjisë elektrike të ditës në avancë Shqipëri–Kosovë”,</w:t>
      </w:r>
    </w:p>
    <w:p w:rsidR="00616DD1" w:rsidRPr="0012719C" w:rsidRDefault="00616DD1" w:rsidP="00616DD1">
      <w:pPr>
        <w:autoSpaceDE w:val="0"/>
        <w:autoSpaceDN w:val="0"/>
        <w:adjustRightInd w:val="0"/>
        <w:spacing w:after="0" w:line="240" w:lineRule="auto"/>
        <w:rPr>
          <w:rFonts w:ascii="Garamond" w:eastAsiaTheme="minorHAnsi" w:hAnsi="Garamond"/>
          <w:bCs/>
          <w:spacing w:val="-4"/>
          <w:sz w:val="24"/>
          <w:szCs w:val="24"/>
        </w:rPr>
      </w:pPr>
      <w:proofErr w:type="gramStart"/>
      <w:r w:rsidRPr="0012719C">
        <w:rPr>
          <w:rFonts w:ascii="Garamond" w:eastAsiaTheme="minorHAnsi" w:hAnsi="Garamond"/>
          <w:bCs/>
          <w:spacing w:val="-4"/>
          <w:sz w:val="24"/>
          <w:szCs w:val="24"/>
        </w:rPr>
        <w:t>konstatoi</w:t>
      </w:r>
      <w:proofErr w:type="gramEnd"/>
      <w:r w:rsidRPr="0012719C">
        <w:rPr>
          <w:rFonts w:ascii="Garamond" w:eastAsiaTheme="minorHAnsi" w:hAnsi="Garamond"/>
          <w:bCs/>
          <w:spacing w:val="-4"/>
          <w:sz w:val="24"/>
          <w:szCs w:val="24"/>
        </w:rPr>
        <w:t xml:space="preserve"> se:</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Bordi i ERE-s, me propozim të shoqërisë OST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mori vendimin nr. 2, datë 22.1.2024, mbi fillimin e procedurës për miratimin e “Metodologjisë së shpërndarjes së të ardhurave nga kongjestioni ndërmjet Shqipërisë dhe Kosovës”.</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Vendimi i sipërcituar është publikuar në faqen </w:t>
      </w:r>
      <w:r w:rsidRPr="0012719C">
        <w:rPr>
          <w:rFonts w:ascii="Garamond" w:eastAsiaTheme="minorHAnsi" w:hAnsi="Garamond"/>
          <w:i/>
          <w:iCs/>
          <w:spacing w:val="-4"/>
          <w:sz w:val="24"/>
          <w:szCs w:val="24"/>
        </w:rPr>
        <w:t>web</w:t>
      </w:r>
      <w:r w:rsidRPr="0012719C">
        <w:rPr>
          <w:rFonts w:ascii="Garamond" w:eastAsiaTheme="minorHAnsi" w:hAnsi="Garamond"/>
          <w:spacing w:val="-4"/>
          <w:sz w:val="24"/>
          <w:szCs w:val="24"/>
        </w:rPr>
        <w:t xml:space="preserve"> të ERE-s dhe në Fletoren Zyrtare nr. 23, datë 7.2.2024, ndërsa drafti i metodologjisë së propozuar u publikua në zërin “Konsultime” në faqen </w:t>
      </w:r>
      <w:r w:rsidRPr="0012719C">
        <w:rPr>
          <w:rFonts w:ascii="Garamond" w:eastAsiaTheme="minorHAnsi" w:hAnsi="Garamond"/>
          <w:i/>
          <w:iCs/>
          <w:spacing w:val="-4"/>
          <w:sz w:val="24"/>
          <w:szCs w:val="24"/>
        </w:rPr>
        <w:t>web</w:t>
      </w:r>
      <w:r w:rsidRPr="0012719C">
        <w:rPr>
          <w:rFonts w:ascii="Garamond" w:eastAsiaTheme="minorHAnsi" w:hAnsi="Garamond"/>
          <w:spacing w:val="-4"/>
          <w:sz w:val="24"/>
          <w:szCs w:val="24"/>
        </w:rPr>
        <w:t xml:space="preserve"> të ERE-s.</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ERE, me shkresën nr. 175/1 prot., datë 8.2.2024, njoftoi shoqëritë OST sh.a., dhe Bursa Shqiptare të Energjisë Elektrike (ALPEX) sh.a., lidhur me vendimin nr. 2, datë 22.1.2024 të Bordit të ERE-s.</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Më tej, përgjatë shqyrtimit të draftdokumentit të propozuar për miratim, ERE me shkresën nr. 175/3 prot., datë 12.3.2024, iu drejtua shoqërisë OST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mbi paqartësitë dhe saktësime të tjera që lidhen me dokumentin e propozuar. </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Në përgjigje të shkresës sipërcituar, shoqëria OST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me shkresën nr. 1603/1, datë 2.4.2024, protokolluar në ERE me nr. 175/4 </w:t>
      </w:r>
      <w:proofErr w:type="gramStart"/>
      <w:r w:rsidRPr="0012719C">
        <w:rPr>
          <w:rFonts w:ascii="Garamond" w:eastAsiaTheme="minorHAnsi" w:hAnsi="Garamond"/>
          <w:spacing w:val="-4"/>
          <w:sz w:val="24"/>
          <w:szCs w:val="24"/>
        </w:rPr>
        <w:t>prot</w:t>
      </w:r>
      <w:proofErr w:type="gramEnd"/>
      <w:r w:rsidRPr="0012719C">
        <w:rPr>
          <w:rFonts w:ascii="Garamond" w:eastAsiaTheme="minorHAnsi" w:hAnsi="Garamond"/>
          <w:spacing w:val="-4"/>
          <w:sz w:val="24"/>
          <w:szCs w:val="24"/>
        </w:rPr>
        <w:t>., datë 3.4.2024, sqaroi si vijon:</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Në “Metodologjinë e shpërndarjes së të ardhurave nga kongjestioni ndërmjet Shqipërisë dhe Kosovës”, në nenin 5 (Parimet për ndarjen) është përcaktuar se OST sh.a., dhe KOSTT sh.a., do të marrin pjesën e tyre të të ardhurave neto kufitare, bazuar në një koeficient të ndarjes 50% me 50%.</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Dokumenti i metodologjisë është përgatitur bazuar në parimet e parashikuara në nenin 73 të Rregullores së Komisionit (EU) 215/1222 dhe nenin 19 të Rregullores së Komisionit (EU) 2019/943, në parashikimet e marrëveshjes kuadër mbi bashkimin e tregjeve të energjisë elektrike të Shqipërisë dhe Kosovës të nënshkruar në vitin 2021 midis OST-ve dhe Enteve Rregullatore të Shqipërisë dhe Kosovës, si dhe duke mbajtur në konsideratë përcaktimet e Memorandumit të nënshkruar në vitin 2020 midis OST-</w:t>
      </w:r>
      <w:r w:rsidRPr="0012719C">
        <w:rPr>
          <w:rFonts w:ascii="Garamond" w:eastAsiaTheme="minorHAnsi" w:hAnsi="Garamond"/>
          <w:spacing w:val="-4"/>
          <w:sz w:val="24"/>
          <w:szCs w:val="24"/>
        </w:rPr>
        <w:lastRenderedPageBreak/>
        <w:t>ve të Shqipërisë dhe Kosovës për vlerësimin dhe alokimin e kapaciteteve të interkoneksionit midis dy vendeve, ku përcaktohet, se: “Palët do të marrin në konsideratë përdorimin e të njëjtës ndërfaqe të interkoneksionit dhe totali i NTC-së do të ndahet ndërmjet tyre në mënyrë të barabartë (50%/50%), me përjashtim të procesit brenda ditës”.</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Lidhur me shtojcën 1, shoqëria OST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sqaron se në bazë të nenit 54 të ligjit nr. 43/2015, i ndryshuar, Operatori i Sistemit të Transmetimit ka në pronësi sistemin e transmetimit të energjisë elektrike, që përfshin ndër të tjera dhe linjat 400 kV, 220 kV dhe 110 kV. Pra, OST sh.a. </w:t>
      </w:r>
      <w:proofErr w:type="gramStart"/>
      <w:r w:rsidRPr="0012719C">
        <w:rPr>
          <w:rFonts w:ascii="Garamond" w:eastAsiaTheme="minorHAnsi" w:hAnsi="Garamond"/>
          <w:spacing w:val="-4"/>
          <w:sz w:val="24"/>
          <w:szCs w:val="24"/>
        </w:rPr>
        <w:t>është</w:t>
      </w:r>
      <w:proofErr w:type="gramEnd"/>
      <w:r w:rsidRPr="0012719C">
        <w:rPr>
          <w:rFonts w:ascii="Garamond" w:eastAsiaTheme="minorHAnsi" w:hAnsi="Garamond"/>
          <w:spacing w:val="-4"/>
          <w:sz w:val="24"/>
          <w:szCs w:val="24"/>
        </w:rPr>
        <w:t xml:space="preserve"> e vetmja pronare e linjave të interkoneksionit Kosova B–Tirana 2, 400 kV (Koman–kufi) dhe Prizren–Fierzë 220 kV (Fierzë–kufi). Po kështu, KOSTT sh.a. </w:t>
      </w:r>
      <w:proofErr w:type="gramStart"/>
      <w:r w:rsidRPr="0012719C">
        <w:rPr>
          <w:rFonts w:ascii="Garamond" w:eastAsiaTheme="minorHAnsi" w:hAnsi="Garamond"/>
          <w:spacing w:val="-4"/>
          <w:sz w:val="24"/>
          <w:szCs w:val="24"/>
        </w:rPr>
        <w:t>është</w:t>
      </w:r>
      <w:proofErr w:type="gramEnd"/>
      <w:r w:rsidRPr="0012719C">
        <w:rPr>
          <w:rFonts w:ascii="Garamond" w:eastAsiaTheme="minorHAnsi" w:hAnsi="Garamond"/>
          <w:spacing w:val="-4"/>
          <w:sz w:val="24"/>
          <w:szCs w:val="24"/>
        </w:rPr>
        <w:t xml:space="preserve"> Operatori i Sistemit, Transmisionit dhe Tregut të energjisë elektrike të Kosovës, i cili, sipas ligjit për energjinë elektrike nr. 05/L-085, të miratuar në vitin 2016, menaxhon Sistemin e Transmetimit të Republikës së Kosovës, duke operuar me nivele të tensionit të lartë 400 kV, 220 kV dhe 110 kV. Pra, dhe KOSTT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është e vetmja pronare e linjave të interkoneksionit Kosova B–Tirana 2, 400 kV (Kosova B–kufi), Prizren–Fierzë 220 kV (Prizren–kufi).</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Nisur nga sa me lartë, me terminologjinë “Aksione të pronësisë”, të tabelës së shtojcës 1, do të kuptohet pikërisht që e drejta e përfitimit të të ardhurave nga kongjestioni i përket vetëm këtyre dy shoqërive si pronare të vetme të linjave në shtetin përkatës (për shkak të së drejtës së pronësisë apo administrimit dhënë nga aktet ligjore në fuqi) dhe në masën 100% të pjesës që i takon secilës sipas koeficientit të përcaktuar në nenin 5 të metodologjisë, të dakordësuar për t’u aplikuar. Për këtë arsye, nga ana e OST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propozohet që në shtojcën 1, të shtohet paragrafi: “Aksionet e pronësisë” - kuptohet që OST-të janë pronarë të vetëm ose zotërojnë pronësinë e plotë mbi linjat pjesë e interkonektorëve të listuar në tabelë, në shtetin përkatës.</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Gjithashtu, në shtojcën 1 janë reflektuar rregullimet e kolonës “Koeficienti i aplikuar për ndarjen e të ardhurave” në tabelë.</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Shoqëria OST sh.a., me shkresën e sipërcituar, gjithashtu, ka përcjellë draftin e rishikuar të “Metodologjisë së shpërndarjes së të ardhurave nga kongjestioni ndërmjet Shqipërisë dhe Kosovës”, të dakordësuar midis OST sh.a., KOSTT sh.a., dhe NEMO-s së Shqipërisë dhe Kosovës”, si dhe ka bërë me dije se është informuar dhe KOSTT sh.a. </w:t>
      </w:r>
      <w:proofErr w:type="gramStart"/>
      <w:r w:rsidRPr="0012719C">
        <w:rPr>
          <w:rFonts w:ascii="Garamond" w:eastAsiaTheme="minorHAnsi" w:hAnsi="Garamond"/>
          <w:spacing w:val="-4"/>
          <w:sz w:val="24"/>
          <w:szCs w:val="24"/>
        </w:rPr>
        <w:t>për</w:t>
      </w:r>
      <w:proofErr w:type="gramEnd"/>
      <w:r w:rsidRPr="0012719C">
        <w:rPr>
          <w:rFonts w:ascii="Garamond" w:eastAsiaTheme="minorHAnsi" w:hAnsi="Garamond"/>
          <w:spacing w:val="-4"/>
          <w:sz w:val="24"/>
          <w:szCs w:val="24"/>
        </w:rPr>
        <w:t xml:space="preserve"> rregullimet në aktin përkatës. Në dokumentacionin e përcjellë me anë të shkresës sipërcituar, u vërejt se janë konsideruar të gjitha ndryshimet e sugjeruara, si dhe janë dhëne sqarimet e kërkuara nga ERE.</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Në mbështetje të </w:t>
      </w:r>
      <w:proofErr w:type="gramStart"/>
      <w:r w:rsidRPr="0012719C">
        <w:rPr>
          <w:rFonts w:ascii="Garamond" w:eastAsiaTheme="minorHAnsi" w:hAnsi="Garamond"/>
          <w:spacing w:val="-4"/>
          <w:sz w:val="24"/>
          <w:szCs w:val="24"/>
        </w:rPr>
        <w:t>sa</w:t>
      </w:r>
      <w:proofErr w:type="gramEnd"/>
      <w:r w:rsidRPr="0012719C">
        <w:rPr>
          <w:rFonts w:ascii="Garamond" w:eastAsiaTheme="minorHAnsi" w:hAnsi="Garamond"/>
          <w:spacing w:val="-4"/>
          <w:sz w:val="24"/>
          <w:szCs w:val="24"/>
        </w:rPr>
        <w:t xml:space="preserve"> parashikohet në ligjin nr. 43/2015, “Për sektorin e energjisë elektrike”, të ndryshuar, në “Rregulloren e kërkesave dhe procedurave për përcaktimin e operatorit të emëruar të tregut të energjisë elektrike (NEMO)”, si dhe rolet e përgjegjësitë e NEMO-s dhe operatorit të sistemit të transmetimit të energjisë në tregun e bashkuar, miratuar me vendimin e Bordit të ERE nr. 40, datë 6.3.2020, Bordi i ERE-s, me vendim nr. 369, datë 26.12.2023, vendosi ndër të tjera: 1. Caktimin e NEMO (ALPEX sh.a.) në rolin e “Agjentit të Transferimit” </w:t>
      </w:r>
      <w:r w:rsidRPr="0012719C">
        <w:rPr>
          <w:rFonts w:ascii="Garamond" w:eastAsiaTheme="minorHAnsi" w:hAnsi="Garamond"/>
          <w:i/>
          <w:iCs/>
          <w:spacing w:val="-4"/>
          <w:sz w:val="24"/>
          <w:szCs w:val="24"/>
        </w:rPr>
        <w:t xml:space="preserve">(Shipping Agent), </w:t>
      </w:r>
      <w:r w:rsidRPr="0012719C">
        <w:rPr>
          <w:rFonts w:ascii="Garamond" w:eastAsiaTheme="minorHAnsi" w:hAnsi="Garamond"/>
          <w:spacing w:val="-4"/>
          <w:sz w:val="24"/>
          <w:szCs w:val="24"/>
        </w:rPr>
        <w:t xml:space="preserve">për bashkimin e tregjeve të energjisë elektrike të Shqipërisë dhe Kosovës; dhe 2. Agjenti i Transferimit, të ardhurat të cilat mblidhen nga konxhestionet do t’i transferojë OST-ve respektive </w:t>
      </w:r>
      <w:proofErr w:type="gramStart"/>
      <w:r w:rsidRPr="0012719C">
        <w:rPr>
          <w:rFonts w:ascii="Garamond" w:eastAsiaTheme="minorHAnsi" w:hAnsi="Garamond"/>
          <w:spacing w:val="-4"/>
          <w:sz w:val="24"/>
          <w:szCs w:val="24"/>
        </w:rPr>
        <w:t>jo</w:t>
      </w:r>
      <w:proofErr w:type="gramEnd"/>
      <w:r w:rsidRPr="0012719C">
        <w:rPr>
          <w:rFonts w:ascii="Garamond" w:eastAsiaTheme="minorHAnsi" w:hAnsi="Garamond"/>
          <w:spacing w:val="-4"/>
          <w:sz w:val="24"/>
          <w:szCs w:val="24"/>
        </w:rPr>
        <w:t xml:space="preserve"> më vonë se dy javë pas datës së shlyerjes.</w:t>
      </w:r>
    </w:p>
    <w:p w:rsidR="00616DD1" w:rsidRPr="0012719C" w:rsidRDefault="00616DD1" w:rsidP="00616DD1">
      <w:pPr>
        <w:tabs>
          <w:tab w:val="left" w:pos="1000"/>
        </w:tabs>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Këshilli i Ministrave, me vendimin nr. 872, datë 27.12.2022, “Për disa ndryshime dhe shtesa në vendimin nr. 519, datë 13.7.2016, të Këshillit të Ministrave “Për miratimin e modelit të tregut të energjisë elektrike”, në pikën 2, germa “b” ka përcaktuar ndër të tjera, se: “OST-ja të vendosë në dispozicion të tregut të organizuar një sasi minimum (50%) të kapaciteteve ndërkufitare të disponueshme, që i përket bashkimit respektiv të tregjeve.”</w:t>
      </w:r>
    </w:p>
    <w:p w:rsidR="00616DD1" w:rsidRPr="0012719C" w:rsidRDefault="00616DD1" w:rsidP="00616DD1">
      <w:pPr>
        <w:tabs>
          <w:tab w:val="left" w:pos="8220"/>
        </w:tabs>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Në rastin konkret bashkimi i tregut ndërmjet Shqipërisë dhe Kosovës do të realizohet me 2 (dy) </w:t>
      </w:r>
      <w:r w:rsidRPr="0012719C">
        <w:rPr>
          <w:rFonts w:ascii="Garamond" w:eastAsiaTheme="minorHAnsi" w:hAnsi="Garamond"/>
          <w:i/>
          <w:iCs/>
          <w:spacing w:val="-4"/>
          <w:sz w:val="24"/>
          <w:szCs w:val="24"/>
        </w:rPr>
        <w:t>bidding</w:t>
      </w:r>
      <w:r w:rsidRPr="0012719C">
        <w:rPr>
          <w:rFonts w:ascii="Garamond" w:eastAsiaTheme="minorHAnsi" w:hAnsi="Garamond"/>
          <w:spacing w:val="-4"/>
          <w:sz w:val="24"/>
          <w:szCs w:val="24"/>
        </w:rPr>
        <w:t xml:space="preserve"> </w:t>
      </w:r>
      <w:r w:rsidRPr="0012719C">
        <w:rPr>
          <w:rFonts w:ascii="Garamond" w:eastAsiaTheme="minorHAnsi" w:hAnsi="Garamond"/>
          <w:i/>
          <w:iCs/>
          <w:spacing w:val="-4"/>
          <w:sz w:val="24"/>
          <w:szCs w:val="24"/>
        </w:rPr>
        <w:t>zones</w:t>
      </w:r>
      <w:r w:rsidRPr="0012719C">
        <w:rPr>
          <w:rFonts w:ascii="Garamond" w:eastAsiaTheme="minorHAnsi" w:hAnsi="Garamond"/>
          <w:spacing w:val="-4"/>
          <w:sz w:val="24"/>
          <w:szCs w:val="24"/>
        </w:rPr>
        <w:t xml:space="preserve"> (zona ofertimi) dhe për të realizuar këtë bashkim do të alokohet një sasi minimale prej 50% e kapacitetit ndërkufitar të disponueshëm. </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cs="Symbol"/>
          <w:spacing w:val="-4"/>
          <w:sz w:val="24"/>
          <w:szCs w:val="24"/>
        </w:rPr>
        <w:t xml:space="preserve">- </w:t>
      </w:r>
      <w:r w:rsidRPr="0012719C">
        <w:rPr>
          <w:rFonts w:ascii="Garamond" w:eastAsiaTheme="minorHAnsi" w:hAnsi="Garamond"/>
          <w:spacing w:val="-4"/>
          <w:sz w:val="24"/>
          <w:szCs w:val="24"/>
        </w:rPr>
        <w:t xml:space="preserve">Shoqëria ALPEX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filloi operimin në zonën e ofertimit të Shqipërisë në 12 prill 2023. Gjithashtu, në datën 1 shkurt 2024, ALPEX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filloi operimin ne zonën e ofertimit të Kosovës. Në kushtet, kur ka </w:t>
      </w:r>
      <w:r w:rsidRPr="0012719C">
        <w:rPr>
          <w:rFonts w:ascii="Garamond" w:eastAsiaTheme="minorHAnsi" w:hAnsi="Garamond"/>
          <w:spacing w:val="-4"/>
          <w:sz w:val="24"/>
          <w:szCs w:val="24"/>
        </w:rPr>
        <w:lastRenderedPageBreak/>
        <w:t xml:space="preserve">filluar operimi i ALPEX </w:t>
      </w:r>
      <w:proofErr w:type="gramStart"/>
      <w:r w:rsidRPr="0012719C">
        <w:rPr>
          <w:rFonts w:ascii="Garamond" w:eastAsiaTheme="minorHAnsi" w:hAnsi="Garamond"/>
          <w:spacing w:val="-4"/>
          <w:sz w:val="24"/>
          <w:szCs w:val="24"/>
        </w:rPr>
        <w:t>sh.a.,</w:t>
      </w:r>
      <w:proofErr w:type="gramEnd"/>
      <w:r w:rsidRPr="0012719C">
        <w:rPr>
          <w:rFonts w:ascii="Garamond" w:eastAsiaTheme="minorHAnsi" w:hAnsi="Garamond"/>
          <w:spacing w:val="-4"/>
          <w:sz w:val="24"/>
          <w:szCs w:val="24"/>
        </w:rPr>
        <w:t xml:space="preserve"> në të dy zonat e operimit, vlerësohet dhe miratimi i metodologjisë së propozuar për të ndarë të ardhurat nga konxhestionet.</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spacing w:val="-4"/>
          <w:sz w:val="24"/>
          <w:szCs w:val="24"/>
        </w:rPr>
        <w:t xml:space="preserve">Për gjithë </w:t>
      </w:r>
      <w:proofErr w:type="gramStart"/>
      <w:r w:rsidRPr="0012719C">
        <w:rPr>
          <w:rFonts w:ascii="Garamond" w:eastAsiaTheme="minorHAnsi" w:hAnsi="Garamond"/>
          <w:spacing w:val="-4"/>
          <w:sz w:val="24"/>
          <w:szCs w:val="24"/>
        </w:rPr>
        <w:t>sa</w:t>
      </w:r>
      <w:proofErr w:type="gramEnd"/>
      <w:r w:rsidRPr="0012719C">
        <w:rPr>
          <w:rFonts w:ascii="Garamond" w:eastAsiaTheme="minorHAnsi" w:hAnsi="Garamond"/>
          <w:spacing w:val="-4"/>
          <w:sz w:val="24"/>
          <w:szCs w:val="24"/>
        </w:rPr>
        <w:t xml:space="preserve"> më sipër, Bordi i ERE-s </w:t>
      </w:r>
    </w:p>
    <w:p w:rsidR="00616DD1" w:rsidRPr="0012719C" w:rsidRDefault="00616DD1" w:rsidP="00616DD1">
      <w:pPr>
        <w:autoSpaceDE w:val="0"/>
        <w:autoSpaceDN w:val="0"/>
        <w:adjustRightInd w:val="0"/>
        <w:spacing w:after="0" w:line="240" w:lineRule="auto"/>
        <w:jc w:val="center"/>
        <w:rPr>
          <w:rFonts w:ascii="Garamond" w:eastAsiaTheme="minorHAnsi" w:hAnsi="Garamond"/>
          <w:b/>
          <w:bCs/>
          <w:spacing w:val="-4"/>
          <w:sz w:val="24"/>
          <w:szCs w:val="24"/>
        </w:rPr>
      </w:pPr>
    </w:p>
    <w:p w:rsidR="00303BB9" w:rsidRPr="0012719C" w:rsidRDefault="00303BB9" w:rsidP="00616DD1">
      <w:pPr>
        <w:autoSpaceDE w:val="0"/>
        <w:autoSpaceDN w:val="0"/>
        <w:adjustRightInd w:val="0"/>
        <w:spacing w:after="0" w:line="240" w:lineRule="auto"/>
        <w:jc w:val="center"/>
        <w:rPr>
          <w:rFonts w:ascii="Garamond" w:eastAsiaTheme="minorHAnsi" w:hAnsi="Garamond"/>
          <w:bCs/>
          <w:spacing w:val="-4"/>
          <w:sz w:val="24"/>
          <w:szCs w:val="24"/>
        </w:rPr>
      </w:pPr>
    </w:p>
    <w:p w:rsidR="00616DD1" w:rsidRPr="0012719C" w:rsidRDefault="00616DD1" w:rsidP="00616DD1">
      <w:pPr>
        <w:autoSpaceDE w:val="0"/>
        <w:autoSpaceDN w:val="0"/>
        <w:adjustRightInd w:val="0"/>
        <w:spacing w:after="0" w:line="240" w:lineRule="auto"/>
        <w:jc w:val="center"/>
        <w:rPr>
          <w:rFonts w:ascii="Garamond" w:eastAsiaTheme="minorHAnsi" w:hAnsi="Garamond"/>
          <w:bCs/>
          <w:spacing w:val="-4"/>
          <w:sz w:val="24"/>
          <w:szCs w:val="24"/>
        </w:rPr>
      </w:pPr>
      <w:r w:rsidRPr="0012719C">
        <w:rPr>
          <w:rFonts w:ascii="Garamond" w:eastAsiaTheme="minorHAnsi" w:hAnsi="Garamond"/>
          <w:bCs/>
          <w:spacing w:val="-4"/>
          <w:sz w:val="24"/>
          <w:szCs w:val="24"/>
        </w:rPr>
        <w:t>VENDOSI:</w:t>
      </w:r>
    </w:p>
    <w:p w:rsidR="00616DD1" w:rsidRPr="0012719C" w:rsidRDefault="00616DD1" w:rsidP="00616DD1">
      <w:pPr>
        <w:autoSpaceDE w:val="0"/>
        <w:autoSpaceDN w:val="0"/>
        <w:adjustRightInd w:val="0"/>
        <w:spacing w:after="0" w:line="240" w:lineRule="auto"/>
        <w:jc w:val="center"/>
        <w:rPr>
          <w:rFonts w:ascii="Garamond" w:eastAsiaTheme="minorHAnsi" w:hAnsi="Garamond"/>
          <w:spacing w:val="-4"/>
          <w:sz w:val="24"/>
          <w:szCs w:val="24"/>
        </w:rPr>
      </w:pP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spacing w:val="-4"/>
          <w:sz w:val="24"/>
          <w:szCs w:val="24"/>
        </w:rPr>
        <w:t>1. Miratimin e “Metodologjisë së shpërndarjes së të ardhurave nga kongjestioni i energjisë elektrike ndërmjet Shqipërisë dhe Kosovës” (bashkëlidhur).</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spacing w:val="-4"/>
          <w:sz w:val="24"/>
          <w:szCs w:val="24"/>
        </w:rPr>
        <w:t>2. Drejtoria e Tarifave dhe Çmimeve të njoftojë palët e interesit për vendimin e Bordit të ERE-s.</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proofErr w:type="gramStart"/>
      <w:r w:rsidRPr="0012719C">
        <w:rPr>
          <w:rFonts w:ascii="Garamond" w:eastAsiaTheme="minorHAnsi" w:hAnsi="Garamond"/>
          <w:spacing w:val="-4"/>
          <w:sz w:val="24"/>
          <w:szCs w:val="24"/>
        </w:rPr>
        <w:t>Ky</w:t>
      </w:r>
      <w:proofErr w:type="gramEnd"/>
      <w:r w:rsidRPr="0012719C">
        <w:rPr>
          <w:rFonts w:ascii="Garamond" w:eastAsiaTheme="minorHAnsi" w:hAnsi="Garamond"/>
          <w:spacing w:val="-4"/>
          <w:sz w:val="24"/>
          <w:szCs w:val="24"/>
        </w:rPr>
        <w:t xml:space="preserve"> vendim hyn në fuqi menjëherë.</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r w:rsidRPr="0012719C">
        <w:rPr>
          <w:rFonts w:ascii="Garamond" w:eastAsiaTheme="minorHAnsi" w:hAnsi="Garamond"/>
          <w:spacing w:val="-4"/>
          <w:sz w:val="24"/>
          <w:szCs w:val="24"/>
        </w:rPr>
        <w:t xml:space="preserve">Çdo palë e përfshirë në këtë procedurë mund t’i kërkojë ERE-s, brenda 7 ditëve kalendarike nga data e marrjes dijeni, rishikimin e vendimit të Bordit, në rast se ka siguruar prova të reja që mund ta çojnë Bordin në marrjen e një vendimi të ndryshëm nga i mëparshmi, apo për gabime materiale të konstatuara. Për këtë vendim mund të bëhet ankim në Gjykatën Administrative Tiranë, </w:t>
      </w:r>
      <w:proofErr w:type="gramStart"/>
      <w:r w:rsidRPr="0012719C">
        <w:rPr>
          <w:rFonts w:ascii="Garamond" w:eastAsiaTheme="minorHAnsi" w:hAnsi="Garamond"/>
          <w:spacing w:val="-4"/>
          <w:sz w:val="24"/>
          <w:szCs w:val="24"/>
        </w:rPr>
        <w:t>brenda</w:t>
      </w:r>
      <w:proofErr w:type="gramEnd"/>
      <w:r w:rsidRPr="0012719C">
        <w:rPr>
          <w:rFonts w:ascii="Garamond" w:eastAsiaTheme="minorHAnsi" w:hAnsi="Garamond"/>
          <w:spacing w:val="-4"/>
          <w:sz w:val="24"/>
          <w:szCs w:val="24"/>
        </w:rPr>
        <w:t xml:space="preserve"> 30 ditëve kalendarike nga dita e publikimit në Fletoren Zyrtare.</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proofErr w:type="gramStart"/>
      <w:r w:rsidRPr="0012719C">
        <w:rPr>
          <w:rFonts w:ascii="Garamond" w:eastAsiaTheme="minorHAnsi" w:hAnsi="Garamond"/>
          <w:spacing w:val="-4"/>
          <w:sz w:val="24"/>
          <w:szCs w:val="24"/>
        </w:rPr>
        <w:t>Ky</w:t>
      </w:r>
      <w:proofErr w:type="gramEnd"/>
      <w:r w:rsidRPr="0012719C">
        <w:rPr>
          <w:rFonts w:ascii="Garamond" w:eastAsiaTheme="minorHAnsi" w:hAnsi="Garamond"/>
          <w:spacing w:val="-4"/>
          <w:sz w:val="24"/>
          <w:szCs w:val="24"/>
        </w:rPr>
        <w:t xml:space="preserve"> vendim botohet në Fletoren Zyrtare.</w:t>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p>
    <w:p w:rsidR="00616DD1" w:rsidRPr="0012719C" w:rsidRDefault="00616DD1" w:rsidP="00616DD1">
      <w:pPr>
        <w:autoSpaceDE w:val="0"/>
        <w:autoSpaceDN w:val="0"/>
        <w:adjustRightInd w:val="0"/>
        <w:spacing w:after="0" w:line="240" w:lineRule="auto"/>
        <w:jc w:val="right"/>
        <w:rPr>
          <w:rFonts w:ascii="Garamond" w:eastAsiaTheme="minorHAnsi" w:hAnsi="Garamond"/>
          <w:bCs/>
          <w:spacing w:val="-4"/>
          <w:sz w:val="24"/>
          <w:szCs w:val="24"/>
        </w:rPr>
      </w:pPr>
      <w:r w:rsidRPr="0012719C">
        <w:rPr>
          <w:rFonts w:ascii="Garamond" w:eastAsiaTheme="minorHAnsi" w:hAnsi="Garamond"/>
          <w:spacing w:val="-4"/>
          <w:sz w:val="24"/>
          <w:szCs w:val="24"/>
        </w:rPr>
        <w:t xml:space="preserve"> </w:t>
      </w:r>
      <w:r w:rsidRPr="0012719C">
        <w:rPr>
          <w:rFonts w:ascii="Garamond" w:eastAsiaTheme="minorHAnsi" w:hAnsi="Garamond"/>
          <w:bCs/>
          <w:spacing w:val="-4"/>
          <w:sz w:val="24"/>
          <w:szCs w:val="24"/>
        </w:rPr>
        <w:t xml:space="preserve">KRYETAR </w:t>
      </w:r>
    </w:p>
    <w:p w:rsidR="00616DD1" w:rsidRPr="0012719C" w:rsidRDefault="00616DD1" w:rsidP="00616DD1">
      <w:pPr>
        <w:autoSpaceDE w:val="0"/>
        <w:autoSpaceDN w:val="0"/>
        <w:adjustRightInd w:val="0"/>
        <w:spacing w:after="0" w:line="240" w:lineRule="auto"/>
        <w:jc w:val="right"/>
        <w:rPr>
          <w:rFonts w:ascii="Garamond" w:eastAsiaTheme="minorHAnsi" w:hAnsi="Garamond"/>
          <w:b/>
          <w:bCs/>
          <w:spacing w:val="-4"/>
          <w:sz w:val="24"/>
          <w:szCs w:val="24"/>
        </w:rPr>
      </w:pPr>
      <w:r w:rsidRPr="0012719C">
        <w:rPr>
          <w:rFonts w:ascii="Garamond" w:eastAsiaTheme="minorHAnsi" w:hAnsi="Garamond"/>
          <w:b/>
          <w:bCs/>
          <w:spacing w:val="-4"/>
          <w:sz w:val="24"/>
          <w:szCs w:val="24"/>
        </w:rPr>
        <w:t>Petrit Ahmeti</w:t>
      </w:r>
    </w:p>
    <w:p w:rsidR="00616DD1" w:rsidRPr="0012719C" w:rsidRDefault="00303BB9" w:rsidP="00616DD1">
      <w:pPr>
        <w:autoSpaceDE w:val="0"/>
        <w:autoSpaceDN w:val="0"/>
        <w:adjustRightInd w:val="0"/>
        <w:spacing w:after="0" w:line="240" w:lineRule="auto"/>
        <w:jc w:val="right"/>
        <w:rPr>
          <w:rFonts w:ascii="Garamond" w:eastAsiaTheme="minorHAnsi" w:hAnsi="Garamond"/>
          <w:spacing w:val="-4"/>
          <w:sz w:val="24"/>
          <w:szCs w:val="24"/>
        </w:rPr>
      </w:pPr>
      <w:r w:rsidRPr="0012719C">
        <w:rPr>
          <w:rFonts w:ascii="Garamond" w:eastAsiaTheme="minorHAnsi" w:hAnsi="Garamond"/>
          <w:noProof/>
          <w:spacing w:val="-4"/>
          <w:sz w:val="24"/>
          <w:szCs w:val="24"/>
        </w:rPr>
        <w:drawing>
          <wp:inline distT="0" distB="0" distL="0" distR="0" wp14:anchorId="383948C2" wp14:editId="08A8FE37">
            <wp:extent cx="5943600" cy="4137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ST_NR.175-4_V2024-4-10_BASHKLIDHJA E VENDIMIT 100 DATE 27.05.2024_Page_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137025"/>
                    </a:xfrm>
                    <a:prstGeom prst="rect">
                      <a:avLst/>
                    </a:prstGeom>
                  </pic:spPr>
                </pic:pic>
              </a:graphicData>
            </a:graphic>
          </wp:inline>
        </w:drawing>
      </w:r>
    </w:p>
    <w:p w:rsidR="00616DD1" w:rsidRPr="0012719C" w:rsidRDefault="00616DD1" w:rsidP="00616DD1">
      <w:pPr>
        <w:autoSpaceDE w:val="0"/>
        <w:autoSpaceDN w:val="0"/>
        <w:adjustRightInd w:val="0"/>
        <w:spacing w:after="0" w:line="240" w:lineRule="auto"/>
        <w:rPr>
          <w:rFonts w:ascii="Garamond" w:eastAsiaTheme="minorHAnsi" w:hAnsi="Garamond"/>
          <w:spacing w:val="-4"/>
          <w:sz w:val="24"/>
          <w:szCs w:val="24"/>
        </w:rPr>
      </w:pPr>
    </w:p>
    <w:p w:rsidR="00616DD1" w:rsidRPr="0012719C" w:rsidRDefault="00616DD1" w:rsidP="00616DD1">
      <w:pPr>
        <w:pStyle w:val="NeniTitull"/>
        <w:rPr>
          <w:szCs w:val="24"/>
        </w:rPr>
      </w:pPr>
    </w:p>
    <w:p w:rsidR="00616DD1" w:rsidRPr="0012719C" w:rsidRDefault="00616DD1" w:rsidP="00616DD1">
      <w:pPr>
        <w:pStyle w:val="NeniTitull"/>
        <w:rPr>
          <w:szCs w:val="24"/>
        </w:rPr>
      </w:pPr>
    </w:p>
    <w:p w:rsidR="00616DD1" w:rsidRPr="0012719C" w:rsidRDefault="00616DD1" w:rsidP="00616DD1">
      <w:pPr>
        <w:pStyle w:val="NeniTitull"/>
        <w:rPr>
          <w:szCs w:val="24"/>
        </w:rPr>
      </w:pPr>
    </w:p>
    <w:p w:rsidR="00616DD1" w:rsidRPr="0012719C" w:rsidRDefault="00616DD1" w:rsidP="00616DD1">
      <w:pPr>
        <w:pStyle w:val="NeniTitull"/>
        <w:rPr>
          <w:szCs w:val="24"/>
        </w:rPr>
      </w:pPr>
    </w:p>
    <w:p w:rsidR="00616DD1" w:rsidRPr="0012719C" w:rsidRDefault="00616DD1" w:rsidP="00616DD1">
      <w:pPr>
        <w:pStyle w:val="NeniTitull"/>
        <w:rPr>
          <w:szCs w:val="24"/>
        </w:rPr>
      </w:pPr>
    </w:p>
    <w:p w:rsidR="00616DD1" w:rsidRPr="0012719C" w:rsidRDefault="00616DD1" w:rsidP="00616DD1">
      <w:pPr>
        <w:pStyle w:val="NeniTitull"/>
        <w:rPr>
          <w:szCs w:val="24"/>
        </w:rPr>
      </w:pPr>
      <w:bookmarkStart w:id="0" w:name="_GoBack"/>
      <w:bookmarkEnd w:id="0"/>
    </w:p>
    <w:p w:rsidR="00616DD1" w:rsidRPr="0012719C" w:rsidRDefault="00616DD1" w:rsidP="00616DD1">
      <w:pPr>
        <w:pStyle w:val="NeniTitull"/>
        <w:rPr>
          <w:szCs w:val="24"/>
        </w:rPr>
      </w:pPr>
    </w:p>
    <w:p w:rsidR="00303BB9" w:rsidRPr="0012719C" w:rsidRDefault="00303BB9" w:rsidP="00303BB9">
      <w:pPr>
        <w:spacing w:after="160" w:line="259" w:lineRule="auto"/>
        <w:ind w:firstLine="0"/>
        <w:rPr>
          <w:rFonts w:ascii="Garamond" w:hAnsi="Garamond"/>
          <w:b/>
          <w:bCs/>
          <w:sz w:val="24"/>
          <w:szCs w:val="24"/>
          <w:lang w:val="sq-AL"/>
        </w:rPr>
      </w:pPr>
    </w:p>
    <w:p w:rsidR="00303BB9" w:rsidRPr="00303BB9" w:rsidRDefault="00303BB9" w:rsidP="00303BB9">
      <w:pPr>
        <w:spacing w:after="160" w:line="259" w:lineRule="auto"/>
        <w:ind w:firstLine="0"/>
        <w:rPr>
          <w:rFonts w:ascii="Garamond" w:hAnsi="Garamond"/>
          <w:b/>
          <w:bCs/>
          <w:sz w:val="24"/>
          <w:szCs w:val="24"/>
          <w:lang w:val="sq-AL"/>
        </w:rPr>
      </w:pPr>
      <w:r w:rsidRPr="00303BB9">
        <w:rPr>
          <w:rFonts w:ascii="Garamond" w:hAnsi="Garamond"/>
          <w:b/>
          <w:bCs/>
          <w:sz w:val="24"/>
          <w:szCs w:val="24"/>
          <w:lang w:val="sq-AL"/>
        </w:rPr>
        <w:t>Duke pasur parasysh që:</w:t>
      </w:r>
    </w:p>
    <w:p w:rsidR="00303BB9" w:rsidRPr="00303BB9" w:rsidRDefault="00303BB9" w:rsidP="00303BB9">
      <w:pPr>
        <w:spacing w:after="0" w:line="259" w:lineRule="auto"/>
        <w:ind w:firstLine="0"/>
        <w:rPr>
          <w:rFonts w:ascii="Garamond" w:hAnsi="Garamond"/>
          <w:sz w:val="24"/>
          <w:szCs w:val="24"/>
          <w:lang w:val="sq-AL"/>
        </w:rPr>
      </w:pPr>
      <w:r w:rsidRPr="00303BB9">
        <w:rPr>
          <w:rFonts w:ascii="Garamond" w:hAnsi="Garamond"/>
          <w:b/>
          <w:bCs/>
          <w:sz w:val="24"/>
          <w:szCs w:val="24"/>
          <w:lang w:val="sq-AL"/>
        </w:rPr>
        <w:br/>
      </w:r>
      <w:r w:rsidRPr="00303BB9">
        <w:rPr>
          <w:rFonts w:ascii="Garamond" w:hAnsi="Garamond"/>
          <w:sz w:val="24"/>
          <w:szCs w:val="24"/>
          <w:lang w:val="sq-AL"/>
        </w:rPr>
        <w:t xml:space="preserve">(1) Ndërmjet ERE, ZRRE, OST dhe KOSTT është nënshkruar marrëveshja kornizë me datë 21.10.2021 "Mbi bashkimin e tregjeve të energjisë elektrike të Shqipërisë dhe Kosovës"(në tekstin e mëtejmë referuar si </w:t>
      </w:r>
      <w:r w:rsidRPr="00303BB9">
        <w:rPr>
          <w:rFonts w:ascii="Garamond" w:hAnsi="Garamond"/>
          <w:b/>
          <w:bCs/>
          <w:sz w:val="24"/>
          <w:szCs w:val="24"/>
          <w:lang w:val="sq-AL"/>
        </w:rPr>
        <w:t>Marrëveshja Kornizë</w:t>
      </w:r>
      <w:r w:rsidRPr="00303BB9">
        <w:rPr>
          <w:rFonts w:ascii="Garamond" w:hAnsi="Garamond"/>
          <w:sz w:val="24"/>
          <w:szCs w:val="24"/>
          <w:lang w:val="sq-AL"/>
        </w:rPr>
        <w:t>").</w:t>
      </w:r>
    </w:p>
    <w:p w:rsidR="00303BB9" w:rsidRPr="00303BB9" w:rsidRDefault="00303BB9" w:rsidP="00303BB9">
      <w:pPr>
        <w:spacing w:after="0" w:line="259" w:lineRule="auto"/>
        <w:ind w:firstLine="0"/>
        <w:rPr>
          <w:rFonts w:ascii="Garamond" w:hAnsi="Garamond"/>
          <w:sz w:val="24"/>
          <w:szCs w:val="24"/>
          <w:lang w:val="sq-AL"/>
        </w:rPr>
      </w:pPr>
      <w:r w:rsidRPr="00303BB9">
        <w:rPr>
          <w:rFonts w:ascii="Garamond" w:hAnsi="Garamond"/>
          <w:sz w:val="24"/>
          <w:szCs w:val="24"/>
          <w:lang w:val="sq-AL"/>
        </w:rPr>
        <w:t>(2) Në bazë të nenit 6.2, dhe nenit 7.2 të Marrëveshjes Kornizë, termat, kushtet ose metodologjitë dhe marrëveshjet pasuese duhet të bazohen në parimet e përkufizuara në Rregulloren e Komisionit (BE)2015/1222 të 24 Korrikut 2015,që vendos udhëzimet mbi alokimin e kapaciteteve dhe menaxhimin e kongjestionit, të jenë në një linjë me iniciativat rajonale dhe praktikat e tjera të aplikueshme në Shqipëri dhe Kosovë si dhe në pajtim me kërkesat e parashikuara në vete në Marrëveshjen Kornizë.</w:t>
      </w:r>
    </w:p>
    <w:p w:rsidR="00303BB9" w:rsidRPr="00303BB9" w:rsidRDefault="00303BB9" w:rsidP="00303BB9">
      <w:pPr>
        <w:spacing w:after="0" w:line="259" w:lineRule="auto"/>
        <w:ind w:firstLine="0"/>
        <w:rPr>
          <w:rFonts w:ascii="Garamond" w:hAnsi="Garamond"/>
          <w:sz w:val="24"/>
          <w:szCs w:val="24"/>
          <w:lang w:val="sq-AL"/>
        </w:rPr>
      </w:pPr>
      <w:r w:rsidRPr="00303BB9">
        <w:rPr>
          <w:rFonts w:ascii="Garamond" w:hAnsi="Garamond"/>
          <w:sz w:val="24"/>
          <w:szCs w:val="24"/>
          <w:lang w:val="sq-AL"/>
        </w:rPr>
        <w:t>(3) Në bazë të nenit 7.3 nën-paragrafi (f) të Marrëveshjes Kornizë, OST, KOSTT dhe NEMO e Shqipërisë dhe Kosovës do të hartojnë një propozim për një metodologji për ndarjen e të ardhurave nga kongjestioni. Metodologjia do të ndihmojë funksionimin dhe zhvillimin e efektshëm afatgjatë të sistemit të transmetimit të energjisë elektrike dhe duhet të jetë në përputhje me parimet e përgjithshme të menaxhimit të kongjestioneve të parashikuara në nenin 66 të Ligjit nr. 43/2015 "Për Sektorin e Energjisë Elektrike" të Shqipërisë dhe nenin 57 dhe 44 të Ligjit Nr. 05/L- 085 për Energjinë Elektrike të Kosovës.</w:t>
      </w:r>
    </w:p>
    <w:p w:rsidR="00303BB9" w:rsidRPr="00303BB9" w:rsidRDefault="00303BB9" w:rsidP="00303BB9">
      <w:pPr>
        <w:spacing w:after="0" w:line="259" w:lineRule="auto"/>
        <w:ind w:firstLine="0"/>
        <w:rPr>
          <w:rFonts w:ascii="Garamond" w:hAnsi="Garamond"/>
          <w:sz w:val="24"/>
          <w:szCs w:val="24"/>
          <w:lang w:val="sq-AL"/>
        </w:rPr>
      </w:pPr>
      <w:r w:rsidRPr="00303BB9">
        <w:rPr>
          <w:rFonts w:ascii="Garamond" w:hAnsi="Garamond"/>
          <w:sz w:val="24"/>
          <w:szCs w:val="24"/>
          <w:lang w:val="sq-AL"/>
        </w:rPr>
        <w:t>(4) Në bazë të neni 6.4 nën paragrafi (h) të Marrëveshjes Kornizë, Rregullatorët do të miratojnë, ndër të tjera, Metodologjinë e shpërndarjes së të ardhurave nga kongjestionet, të propozuar nga NEMO,OST dhe KOSTT.</w:t>
      </w:r>
    </w:p>
    <w:p w:rsidR="00303BB9" w:rsidRPr="00303BB9" w:rsidRDefault="00303BB9" w:rsidP="00303BB9">
      <w:pPr>
        <w:spacing w:after="0" w:line="259" w:lineRule="auto"/>
        <w:ind w:firstLine="0"/>
        <w:rPr>
          <w:rFonts w:ascii="Garamond" w:hAnsi="Garamond"/>
          <w:sz w:val="24"/>
          <w:szCs w:val="24"/>
          <w:lang w:val="sq-AL"/>
        </w:rPr>
      </w:pPr>
      <w:r w:rsidRPr="00303BB9">
        <w:rPr>
          <w:rFonts w:ascii="Garamond" w:hAnsi="Garamond"/>
          <w:sz w:val="24"/>
          <w:szCs w:val="24"/>
          <w:lang w:val="sq-AL"/>
        </w:rPr>
        <w:t>(5) Në bazë të nenit 6.5 të Marrëveshjes Kornizë, Rregullatoret do të marrin parasysh kërkesat e iniciativave rajonale në nivel të Komunitetit të Energjisë dhe do të konsultohen, bashkëpunojnë ngushtë dhe bashkërendohen me njëri-tjetrin me qëllim që ato të miratohen pak a shume në të njëjtën kohë. Te dy Rregullatorët, nëse e konsiderojnë të nevojshme, mund të bien dakord të zhvillojnë dhe nënshkruajnë një marrëveshje specifike që kërkon organizimin e konsultimeve të përbashkëta publike dhe duke siguruar që të gjitha termat, kushtet dhe metodologjitë e parashikuara në Nenin 6.4 të miratohen me të njëjtën përmbajtje identike.</w:t>
      </w:r>
    </w:p>
    <w:p w:rsidR="00303BB9" w:rsidRPr="0012719C" w:rsidRDefault="00303BB9" w:rsidP="00303BB9">
      <w:pPr>
        <w:spacing w:after="0" w:line="259" w:lineRule="auto"/>
        <w:ind w:firstLine="0"/>
        <w:rPr>
          <w:rFonts w:ascii="Garamond" w:hAnsi="Garamond"/>
          <w:i/>
          <w:sz w:val="24"/>
          <w:szCs w:val="24"/>
          <w:lang w:val="sq-AL"/>
        </w:rPr>
      </w:pPr>
      <w:r w:rsidRPr="00303BB9">
        <w:rPr>
          <w:rFonts w:ascii="Garamond" w:hAnsi="Garamond"/>
          <w:i/>
          <w:sz w:val="24"/>
          <w:szCs w:val="24"/>
          <w:lang w:val="sq-AL"/>
        </w:rPr>
        <w:t xml:space="preserve">(6) </w:t>
      </w:r>
      <w:r w:rsidRPr="0012719C">
        <w:rPr>
          <w:rFonts w:ascii="Garamond" w:hAnsi="Garamond"/>
          <w:i/>
          <w:sz w:val="24"/>
          <w:szCs w:val="24"/>
          <w:lang w:val="sq-AL"/>
        </w:rPr>
        <w:t xml:space="preserve">“OST-ja, KOSTT-i dhe NEMO-ja e Shqipërisë dhe e Kosovës përgatitën Metodologjinë për shpërndarjen e të ardhurave nga kongjestioni (në tekstin e mëtejmë referuar si (“Metodologjia CID”)”. Metodologjia CID duhet të mbulojë shpërndarjen e të ardhurave nga kongjestioni, si për periudhën e ditës në avancë, ashtu edhe brenda së njëjtës ditë. </w:t>
      </w:r>
    </w:p>
    <w:p w:rsidR="00303BB9" w:rsidRPr="00303BB9" w:rsidRDefault="00303BB9" w:rsidP="00303BB9">
      <w:pPr>
        <w:spacing w:after="0" w:line="259" w:lineRule="auto"/>
        <w:ind w:firstLine="0"/>
        <w:rPr>
          <w:rFonts w:ascii="Garamond" w:hAnsi="Garamond"/>
          <w:sz w:val="24"/>
          <w:szCs w:val="24"/>
          <w:lang w:val="sq-AL"/>
        </w:rPr>
      </w:pPr>
      <w:r w:rsidRPr="00303BB9">
        <w:rPr>
          <w:rFonts w:ascii="Garamond" w:hAnsi="Garamond"/>
          <w:sz w:val="24"/>
          <w:szCs w:val="24"/>
          <w:lang w:val="sq-AL"/>
        </w:rPr>
        <w:t xml:space="preserve">(7) Kjo Metodologji CID merr ne konsiderate dispozitat mbi parimet e përgjithshme të të ardhurave nga kongjestioni në nenin 16 (6) të Rregullores (KE) nr. 714/2009 të Parlamentit Evropian dhe </w:t>
      </w:r>
      <w:r w:rsidRPr="00303BB9">
        <w:rPr>
          <w:rFonts w:ascii="Garamond" w:hAnsi="Garamond"/>
          <w:sz w:val="24"/>
          <w:szCs w:val="24"/>
          <w:lang w:val="sq-AL"/>
        </w:rPr>
        <w:lastRenderedPageBreak/>
        <w:t>Këshillit të datës 13 Korrik 2009 "Mbi kushtet për qasjen në rrjet për shkëmbimet ndërkufitare të energjisë elektrike (në tekstin e mëtejmë referuar si "</w:t>
      </w:r>
      <w:r w:rsidRPr="00303BB9">
        <w:rPr>
          <w:rFonts w:ascii="Garamond" w:hAnsi="Garamond"/>
          <w:b/>
          <w:bCs/>
          <w:sz w:val="24"/>
          <w:szCs w:val="24"/>
          <w:lang w:val="sq-AL"/>
        </w:rPr>
        <w:t>Rregullorja (KE) nr.714/2009"</w:t>
      </w:r>
      <w:r w:rsidRPr="00303BB9">
        <w:rPr>
          <w:rFonts w:ascii="Garamond" w:hAnsi="Garamond"/>
          <w:sz w:val="24"/>
          <w:szCs w:val="24"/>
          <w:lang w:val="sq-AL"/>
        </w:rPr>
        <w:t>).</w:t>
      </w:r>
    </w:p>
    <w:p w:rsidR="00303BB9" w:rsidRPr="0012719C" w:rsidRDefault="00303BB9" w:rsidP="00303BB9">
      <w:pPr>
        <w:spacing w:after="0" w:line="259" w:lineRule="auto"/>
        <w:ind w:firstLine="0"/>
        <w:rPr>
          <w:rFonts w:ascii="Garamond" w:hAnsi="Garamond"/>
          <w:i/>
          <w:sz w:val="24"/>
          <w:szCs w:val="24"/>
          <w:lang w:val="sq-AL"/>
        </w:rPr>
      </w:pPr>
      <w:r w:rsidRPr="00303BB9">
        <w:rPr>
          <w:rFonts w:ascii="Garamond" w:hAnsi="Garamond"/>
          <w:i/>
          <w:sz w:val="24"/>
          <w:szCs w:val="24"/>
          <w:lang w:val="sq-AL"/>
        </w:rPr>
        <w:t xml:space="preserve">(8) </w:t>
      </w:r>
      <w:r w:rsidRPr="0012719C">
        <w:rPr>
          <w:rFonts w:ascii="Garamond" w:hAnsi="Garamond"/>
          <w:i/>
          <w:sz w:val="24"/>
          <w:szCs w:val="24"/>
          <w:lang w:val="sq-AL"/>
        </w:rPr>
        <w:t xml:space="preserve">Metodologjia CID është strukturuar në dy pjesë. Së pari, përcaktimi dhe mbledhja e të ardhurave të kongjestionit të krijuara nga alokimi implicit i kapaciteteve në bashkimin e tregut të energjisë elektrike të ditës në avancë Shqipëri–Kosovë dhe tregut brenda ditës (në tekstin e mëtejmë referuar si (“AL-KS DAC” dhe “AL-KS IDA”). Së dyti, shpërndarjen e të ardhurave të kongjestionit të mësipërm, ndërmjet OST-së dhe KOSTT-it. </w:t>
      </w:r>
    </w:p>
    <w:p w:rsidR="00303BB9" w:rsidRPr="0012719C" w:rsidRDefault="00303BB9" w:rsidP="00303BB9">
      <w:pPr>
        <w:spacing w:after="0" w:line="259" w:lineRule="auto"/>
        <w:ind w:firstLine="0"/>
        <w:rPr>
          <w:rFonts w:ascii="Garamond" w:hAnsi="Garamond"/>
          <w:i/>
          <w:sz w:val="24"/>
          <w:szCs w:val="24"/>
          <w:lang w:val="sq-AL"/>
        </w:rPr>
      </w:pPr>
      <w:r w:rsidRPr="00303BB9">
        <w:rPr>
          <w:rFonts w:ascii="Garamond" w:hAnsi="Garamond"/>
          <w:i/>
          <w:sz w:val="24"/>
          <w:szCs w:val="24"/>
          <w:lang w:val="sq-AL"/>
        </w:rPr>
        <w:t xml:space="preserve">(9) </w:t>
      </w:r>
      <w:r w:rsidRPr="0012719C">
        <w:rPr>
          <w:rFonts w:ascii="Garamond" w:hAnsi="Garamond"/>
          <w:i/>
          <w:sz w:val="24"/>
          <w:szCs w:val="24"/>
          <w:lang w:val="sq-AL"/>
        </w:rPr>
        <w:t>Si përfundim, kjo metodologji CID e propozuar nga OST-të dhe NEMO-n e Shqipërisë dhe të Kosovës i paraqitet për miratim rregullatorëve përkatës, në përputhje me nenin 6 të Marrëveshjes Kornizë.</w:t>
      </w:r>
    </w:p>
    <w:p w:rsidR="00303BB9" w:rsidRPr="00303BB9" w:rsidRDefault="00303BB9" w:rsidP="00303BB9">
      <w:pPr>
        <w:spacing w:after="0" w:line="259" w:lineRule="auto"/>
        <w:ind w:firstLine="0"/>
        <w:rPr>
          <w:rFonts w:ascii="Garamond" w:hAnsi="Garamond"/>
          <w:sz w:val="24"/>
          <w:szCs w:val="24"/>
          <w:lang w:val="sq-AL"/>
        </w:rPr>
      </w:pPr>
    </w:p>
    <w:p w:rsidR="00303BB9" w:rsidRPr="00303BB9" w:rsidRDefault="00303BB9" w:rsidP="00303BB9">
      <w:pPr>
        <w:spacing w:after="0" w:line="259" w:lineRule="auto"/>
        <w:ind w:firstLine="0"/>
        <w:jc w:val="center"/>
        <w:rPr>
          <w:rFonts w:ascii="Garamond" w:hAnsi="Garamond"/>
          <w:b/>
          <w:bCs/>
          <w:sz w:val="24"/>
          <w:szCs w:val="24"/>
          <w:lang w:val="sq-AL"/>
        </w:rPr>
      </w:pPr>
      <w:r w:rsidRPr="00303BB9">
        <w:rPr>
          <w:rFonts w:ascii="Garamond" w:hAnsi="Garamond"/>
          <w:b/>
          <w:bCs/>
          <w:sz w:val="24"/>
          <w:szCs w:val="24"/>
          <w:lang w:val="sq-AL"/>
        </w:rPr>
        <w:t>Metodologjia e shpërndarjes se te ardhurave nga kongjestioni ndërmjet Shqipërisë dhe</w:t>
      </w:r>
      <w:r w:rsidRPr="00303BB9">
        <w:rPr>
          <w:rFonts w:ascii="Garamond" w:hAnsi="Garamond"/>
          <w:b/>
          <w:bCs/>
          <w:sz w:val="24"/>
          <w:szCs w:val="24"/>
          <w:lang w:val="sq-AL"/>
        </w:rPr>
        <w:br/>
        <w:t>Kosovës</w:t>
      </w:r>
    </w:p>
    <w:p w:rsidR="00303BB9" w:rsidRPr="0012719C" w:rsidRDefault="00303BB9" w:rsidP="00303BB9">
      <w:pPr>
        <w:spacing w:after="0" w:line="259" w:lineRule="auto"/>
        <w:ind w:firstLine="0"/>
        <w:jc w:val="center"/>
        <w:rPr>
          <w:rFonts w:ascii="Garamond" w:hAnsi="Garamond"/>
          <w:b/>
          <w:bCs/>
          <w:sz w:val="24"/>
          <w:szCs w:val="24"/>
          <w:lang w:val="sq-AL"/>
        </w:rPr>
      </w:pPr>
      <w:r w:rsidRPr="00303BB9">
        <w:rPr>
          <w:rFonts w:ascii="Garamond" w:hAnsi="Garamond"/>
          <w:b/>
          <w:bCs/>
          <w:sz w:val="24"/>
          <w:szCs w:val="24"/>
          <w:lang w:val="sq-AL"/>
        </w:rPr>
        <w:br/>
        <w:t>Neni 1</w:t>
      </w:r>
      <w:r w:rsidRPr="00303BB9">
        <w:rPr>
          <w:rFonts w:ascii="Garamond" w:hAnsi="Garamond"/>
          <w:b/>
          <w:bCs/>
          <w:sz w:val="24"/>
          <w:szCs w:val="24"/>
          <w:lang w:val="sq-AL"/>
        </w:rPr>
        <w:br/>
        <w:t>Qëllimi dhe objekti</w:t>
      </w:r>
    </w:p>
    <w:p w:rsidR="00303BB9" w:rsidRPr="0012719C" w:rsidRDefault="00303BB9" w:rsidP="00303BB9">
      <w:pPr>
        <w:spacing w:after="0" w:line="259" w:lineRule="auto"/>
        <w:ind w:firstLine="0"/>
        <w:jc w:val="center"/>
        <w:rPr>
          <w:rFonts w:ascii="Garamond" w:hAnsi="Garamond"/>
          <w:bCs/>
          <w:i/>
          <w:sz w:val="24"/>
          <w:szCs w:val="24"/>
          <w:lang w:val="sq-AL"/>
        </w:rPr>
      </w:pPr>
      <w:r w:rsidRPr="0012719C">
        <w:rPr>
          <w:rFonts w:ascii="Garamond" w:hAnsi="Garamond"/>
          <w:bCs/>
          <w:i/>
          <w:sz w:val="24"/>
          <w:szCs w:val="24"/>
          <w:lang w:val="sq-AL"/>
        </w:rPr>
        <w:t>(Shtuar shkronja “d” me vendimin nr. 47, datë 27.2.2025)</w:t>
      </w:r>
    </w:p>
    <w:p w:rsidR="00303BB9" w:rsidRPr="00303BB9" w:rsidRDefault="00303BB9" w:rsidP="00303BB9">
      <w:pPr>
        <w:spacing w:after="0" w:line="259" w:lineRule="auto"/>
        <w:ind w:firstLine="0"/>
        <w:jc w:val="center"/>
        <w:rPr>
          <w:rFonts w:ascii="Garamond" w:hAnsi="Garamond"/>
          <w:b/>
          <w:bCs/>
          <w:sz w:val="24"/>
          <w:szCs w:val="24"/>
          <w:lang w:val="sq-AL"/>
        </w:rPr>
      </w:pPr>
    </w:p>
    <w:p w:rsidR="00303BB9" w:rsidRPr="00303BB9" w:rsidRDefault="00303BB9" w:rsidP="00303BB9">
      <w:pPr>
        <w:spacing w:after="0" w:line="259" w:lineRule="auto"/>
        <w:ind w:firstLine="0"/>
        <w:jc w:val="left"/>
        <w:rPr>
          <w:rFonts w:ascii="Garamond" w:hAnsi="Garamond"/>
          <w:sz w:val="24"/>
          <w:szCs w:val="24"/>
          <w:lang w:val="sq-AL"/>
        </w:rPr>
      </w:pPr>
      <w:r w:rsidRPr="00303BB9">
        <w:rPr>
          <w:rFonts w:ascii="Garamond" w:hAnsi="Garamond"/>
          <w:sz w:val="24"/>
          <w:szCs w:val="24"/>
          <w:lang w:val="sq-AL"/>
        </w:rPr>
        <w:t xml:space="preserve">1. Metodologjia e shpërndarjes së të ardhurave nga kongjestioni CID ka për qëllim të rregullojë mënyrën e shpërndarjes së të ardhurave nga kongjestioni për: </w:t>
      </w:r>
    </w:p>
    <w:p w:rsidR="00303BB9" w:rsidRPr="00303BB9" w:rsidRDefault="00303BB9" w:rsidP="00303BB9">
      <w:pPr>
        <w:spacing w:after="0" w:line="259" w:lineRule="auto"/>
        <w:ind w:firstLine="0"/>
        <w:jc w:val="left"/>
        <w:rPr>
          <w:rFonts w:ascii="Garamond" w:hAnsi="Garamond"/>
          <w:sz w:val="24"/>
          <w:szCs w:val="24"/>
          <w:lang w:val="sq-AL"/>
        </w:rPr>
      </w:pPr>
      <w:r w:rsidRPr="00303BB9">
        <w:rPr>
          <w:rFonts w:ascii="Garamond" w:hAnsi="Garamond"/>
          <w:sz w:val="24"/>
          <w:szCs w:val="24"/>
          <w:lang w:val="sq-AL"/>
        </w:rPr>
        <w:t xml:space="preserve">a) Zonat ofertuese të Shqipërisë dhe Kosovës dhe interkonektorët ndërmjet Shqipërisë dhe Kosovës ku mblidhen të ardhurat nga kongjestioni; </w:t>
      </w:r>
    </w:p>
    <w:p w:rsidR="00303BB9" w:rsidRPr="00303BB9" w:rsidRDefault="00303BB9" w:rsidP="00303BB9">
      <w:pPr>
        <w:spacing w:after="0" w:line="259" w:lineRule="auto"/>
        <w:ind w:firstLine="0"/>
        <w:jc w:val="left"/>
        <w:rPr>
          <w:rFonts w:ascii="Garamond" w:hAnsi="Garamond"/>
          <w:sz w:val="24"/>
          <w:szCs w:val="24"/>
          <w:lang w:val="sq-AL"/>
        </w:rPr>
      </w:pPr>
      <w:r w:rsidRPr="00303BB9">
        <w:rPr>
          <w:rFonts w:ascii="Garamond" w:hAnsi="Garamond"/>
          <w:sz w:val="24"/>
          <w:szCs w:val="24"/>
          <w:lang w:val="sq-AL"/>
        </w:rPr>
        <w:t xml:space="preserve">b) Të ardhurat nga kongjestioni që vijnë nga alokimi i kapaciteteve bazuar në qasjen e NTC se koordinuar; dhe </w:t>
      </w:r>
    </w:p>
    <w:p w:rsidR="00303BB9" w:rsidRPr="0012719C" w:rsidRDefault="00303BB9" w:rsidP="00303BB9">
      <w:pPr>
        <w:spacing w:after="0" w:line="259" w:lineRule="auto"/>
        <w:ind w:firstLine="0"/>
        <w:jc w:val="left"/>
        <w:rPr>
          <w:rFonts w:ascii="Garamond" w:hAnsi="Garamond"/>
          <w:sz w:val="24"/>
          <w:szCs w:val="24"/>
          <w:lang w:val="sq-AL"/>
        </w:rPr>
      </w:pPr>
      <w:r w:rsidRPr="00303BB9">
        <w:rPr>
          <w:rFonts w:ascii="Garamond" w:hAnsi="Garamond"/>
          <w:sz w:val="24"/>
          <w:szCs w:val="24"/>
          <w:lang w:val="sq-AL"/>
        </w:rPr>
        <w:t>c) Të ardhurat nga kongjestioni që vijnë nga alokimi i kapaciteteve në harkun kohor të ditës në avancë.</w:t>
      </w:r>
    </w:p>
    <w:p w:rsidR="00303BB9" w:rsidRPr="00303BB9" w:rsidRDefault="00303BB9" w:rsidP="00303BB9">
      <w:pPr>
        <w:spacing w:after="0" w:line="259" w:lineRule="auto"/>
        <w:ind w:firstLine="0"/>
        <w:jc w:val="left"/>
        <w:rPr>
          <w:rFonts w:ascii="Garamond" w:hAnsi="Garamond"/>
          <w:sz w:val="24"/>
          <w:szCs w:val="24"/>
          <w:lang w:val="sq-AL"/>
        </w:rPr>
      </w:pPr>
      <w:r w:rsidRPr="0012719C">
        <w:rPr>
          <w:rFonts w:ascii="Garamond" w:eastAsia="MS Mincho" w:hAnsi="Garamond"/>
          <w:sz w:val="24"/>
          <w:szCs w:val="24"/>
        </w:rPr>
        <w:t xml:space="preserve">d) Të ardhurat nga kongjestioni që vijnë nga alokimi i kapaciteteve në harkun kohor </w:t>
      </w:r>
      <w:proofErr w:type="gramStart"/>
      <w:r w:rsidRPr="0012719C">
        <w:rPr>
          <w:rFonts w:ascii="Garamond" w:eastAsia="MS Mincho" w:hAnsi="Garamond"/>
          <w:sz w:val="24"/>
          <w:szCs w:val="24"/>
        </w:rPr>
        <w:t>brenda</w:t>
      </w:r>
      <w:proofErr w:type="gramEnd"/>
      <w:r w:rsidRPr="0012719C">
        <w:rPr>
          <w:rFonts w:ascii="Garamond" w:eastAsia="MS Mincho" w:hAnsi="Garamond"/>
          <w:sz w:val="24"/>
          <w:szCs w:val="24"/>
        </w:rPr>
        <w:t xml:space="preserve"> ditës.</w:t>
      </w:r>
      <w:r w:rsidRPr="00303BB9">
        <w:rPr>
          <w:rFonts w:ascii="Garamond" w:hAnsi="Garamond"/>
          <w:sz w:val="24"/>
          <w:szCs w:val="24"/>
          <w:lang w:val="sq-AL"/>
        </w:rPr>
        <w:br/>
      </w:r>
    </w:p>
    <w:p w:rsidR="00303BB9" w:rsidRPr="00303BB9" w:rsidRDefault="00303BB9" w:rsidP="00303BB9">
      <w:pPr>
        <w:spacing w:after="0" w:line="259" w:lineRule="auto"/>
        <w:ind w:firstLine="0"/>
        <w:jc w:val="center"/>
        <w:rPr>
          <w:rFonts w:ascii="Garamond" w:hAnsi="Garamond"/>
          <w:b/>
          <w:bCs/>
          <w:sz w:val="24"/>
          <w:szCs w:val="24"/>
          <w:lang w:val="sq-AL"/>
        </w:rPr>
      </w:pPr>
      <w:r w:rsidRPr="00303BB9">
        <w:rPr>
          <w:rFonts w:ascii="Garamond" w:hAnsi="Garamond"/>
          <w:b/>
          <w:bCs/>
          <w:sz w:val="24"/>
          <w:szCs w:val="24"/>
          <w:lang w:val="sq-AL"/>
        </w:rPr>
        <w:t>Neni2</w:t>
      </w:r>
      <w:r w:rsidRPr="00303BB9">
        <w:rPr>
          <w:rFonts w:ascii="Garamond" w:hAnsi="Garamond"/>
          <w:b/>
          <w:bCs/>
          <w:sz w:val="24"/>
          <w:szCs w:val="24"/>
          <w:lang w:val="sq-AL"/>
        </w:rPr>
        <w:br/>
        <w:t>Baza ligjore</w:t>
      </w:r>
      <w:r w:rsidRPr="00303BB9">
        <w:rPr>
          <w:rFonts w:ascii="Garamond" w:hAnsi="Garamond"/>
          <w:b/>
          <w:bCs/>
          <w:sz w:val="24"/>
          <w:szCs w:val="24"/>
          <w:lang w:val="sq-AL"/>
        </w:rPr>
        <w:br/>
      </w:r>
    </w:p>
    <w:p w:rsidR="00303BB9" w:rsidRPr="00303BB9" w:rsidRDefault="00303BB9" w:rsidP="00303BB9">
      <w:pPr>
        <w:spacing w:after="0" w:line="259" w:lineRule="auto"/>
        <w:ind w:firstLine="0"/>
        <w:rPr>
          <w:rFonts w:ascii="Garamond" w:hAnsi="Garamond"/>
          <w:sz w:val="24"/>
          <w:szCs w:val="24"/>
          <w:lang w:val="sq-AL"/>
        </w:rPr>
      </w:pPr>
      <w:r w:rsidRPr="00303BB9">
        <w:rPr>
          <w:rFonts w:ascii="Garamond" w:hAnsi="Garamond"/>
          <w:sz w:val="24"/>
          <w:szCs w:val="24"/>
          <w:lang w:val="sq-AL"/>
        </w:rPr>
        <w:t>Kjo metodologji është hartuar dhe miratohet në përputhje me:</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Ligjin nr. 43/2015, datë 30/04/2015 "Për Sektorin e Energjisë Elektrike" i ndryshuar;</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Ligjin Nr. 05/L-085 dt. 21/07/2016 për energjinë elektrike të Kosovës.</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Memorandumin e mirëkuptimin të Ballkanit Perëndimor, të nënshkruar në Vjenë me 27 Prill 2016 mbi zhvillimin e tregut rajonal të energjisë elektrike dhe krijimin e kornizës për bashkëpunime të tjera të ardhshme të nënshkruar edhe nga Shqipëria dhe Kosova;</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Marrëveshjen Kornizë me datë 21.10.2021 "Mbi bashkimin e tregjeve të energjisë elektrike të Shqipërisë dhe Kosovës";</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Vendimin e Këshillit të Ministrave nr. 519, datë 13.7.2016 "Për miratimin e modelit te tregut të energjisë elektrike", i ndryshuar.</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Vendimin e Bordit të ERE nr.134, datë 06/09/2017 "Mbi licensimin e shoqërisë Operatori i Sistemit të Transmetimit OST sh.a. në aktivitetin e operimit të sistemit të transmetimit të energjisë elektrike";</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lastRenderedPageBreak/>
        <w:t>Vendimin e Bordit të ERE nr. 247, datë 29.09.2022 "Mbi licencimin e "Bursës</w:t>
      </w:r>
      <w:r w:rsidRPr="00303BB9">
        <w:rPr>
          <w:rFonts w:ascii="Garamond" w:hAnsi="Garamond"/>
          <w:sz w:val="24"/>
          <w:szCs w:val="24"/>
          <w:lang w:val="sq-AL"/>
        </w:rPr>
        <w:br/>
        <w:t>Shqiptare të Energjisë Elektrike-ALPEX" sh.a., në veprimtarinë e operimit të tregut</w:t>
      </w:r>
      <w:r w:rsidRPr="00303BB9">
        <w:rPr>
          <w:rFonts w:ascii="Garamond" w:hAnsi="Garamond"/>
          <w:sz w:val="24"/>
          <w:szCs w:val="24"/>
          <w:lang w:val="sq-AL"/>
        </w:rPr>
        <w:br/>
        <w:t>të energjisë elektrike";</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Vendimin e Bordit të ERE nr. 347, date 27.12.2022 "Për miratimin e rregullave të</w:t>
      </w:r>
      <w:r w:rsidRPr="00303BB9">
        <w:rPr>
          <w:rFonts w:ascii="Garamond" w:hAnsi="Garamond"/>
          <w:sz w:val="24"/>
          <w:szCs w:val="24"/>
          <w:lang w:val="sq-AL"/>
        </w:rPr>
        <w:br/>
        <w:t>tregut të energjisë elektrike (rregullat e ALPEX, përkufizimet, procedura e tregtimit si</w:t>
      </w:r>
      <w:r w:rsidRPr="00303BB9">
        <w:rPr>
          <w:rFonts w:ascii="Garamond" w:hAnsi="Garamond"/>
          <w:sz w:val="24"/>
          <w:szCs w:val="24"/>
          <w:lang w:val="sq-AL"/>
        </w:rPr>
        <w:br/>
        <w:t>dhe procedura e klerimit dhe shlyerjes);</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Vendimin e ZRRE Nr.V_1332_2020, date 10.12.2020 "Mbi miratimin në parim të</w:t>
      </w:r>
      <w:r w:rsidRPr="00303BB9">
        <w:rPr>
          <w:rFonts w:ascii="Garamond" w:hAnsi="Garamond"/>
          <w:sz w:val="24"/>
          <w:szCs w:val="24"/>
          <w:lang w:val="sq-AL"/>
        </w:rPr>
        <w:br/>
        <w:t>kërkesës së KOSTT për transferimin e disa të drejtave dhe detyrimeve të KOSTT tek</w:t>
      </w:r>
      <w:r w:rsidRPr="00303BB9">
        <w:rPr>
          <w:rFonts w:ascii="Garamond" w:hAnsi="Garamond"/>
          <w:sz w:val="24"/>
          <w:szCs w:val="24"/>
          <w:lang w:val="sq-AL"/>
        </w:rPr>
        <w:br/>
        <w:t>ALPEX për operimin e tregut të ditës në avancë dhe brenda ditës të energjisë elektrike</w:t>
      </w:r>
      <w:r w:rsidRPr="00303BB9">
        <w:rPr>
          <w:rFonts w:ascii="Garamond" w:hAnsi="Garamond"/>
          <w:sz w:val="24"/>
          <w:szCs w:val="24"/>
          <w:lang w:val="sq-AL"/>
        </w:rPr>
        <w:br/>
        <w:t>për territorin e Republikës së Kosovës."</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Vendimin e Bordit të ERE nr. 197, datë 26.11.2020 "Mbi Miratimin e rregullave të</w:t>
      </w:r>
      <w:r w:rsidRPr="00303BB9">
        <w:rPr>
          <w:rFonts w:ascii="Garamond" w:hAnsi="Garamond"/>
          <w:sz w:val="24"/>
          <w:szCs w:val="24"/>
          <w:lang w:val="sq-AL"/>
        </w:rPr>
        <w:br/>
        <w:t>harmonizuara të alokimit të kapaciteteve të interkonjeksionit për zyrën e koordinimit</w:t>
      </w:r>
      <w:r w:rsidRPr="00303BB9">
        <w:rPr>
          <w:rFonts w:ascii="Garamond" w:hAnsi="Garamond"/>
          <w:sz w:val="24"/>
          <w:szCs w:val="24"/>
          <w:lang w:val="sq-AL"/>
        </w:rPr>
        <w:br/>
        <w:t>të ankandeve në Evropën Juglindore (SEE CAO), për kufijtë Shqipëri-Greqi, Shqipëri-Mai i Zi dhe Shqipëri-Kosovë".</w:t>
      </w:r>
    </w:p>
    <w:p w:rsidR="00303BB9" w:rsidRPr="00303BB9" w:rsidRDefault="00303BB9" w:rsidP="00303BB9">
      <w:pPr>
        <w:numPr>
          <w:ilvl w:val="0"/>
          <w:numId w:val="1"/>
        </w:numPr>
        <w:spacing w:after="0" w:line="259" w:lineRule="auto"/>
        <w:contextualSpacing/>
        <w:jc w:val="left"/>
        <w:rPr>
          <w:rFonts w:ascii="Garamond" w:hAnsi="Garamond"/>
          <w:sz w:val="24"/>
          <w:szCs w:val="24"/>
          <w:lang w:val="sq-AL"/>
        </w:rPr>
      </w:pPr>
      <w:r w:rsidRPr="00303BB9">
        <w:rPr>
          <w:rFonts w:ascii="Garamond" w:hAnsi="Garamond"/>
          <w:sz w:val="24"/>
          <w:szCs w:val="24"/>
          <w:lang w:val="sq-AL"/>
        </w:rPr>
        <w:t>Vendimin e Bordit të ERE nr. 228, datë 17.07.2023 dhe Vendimin e ZRRE</w:t>
      </w:r>
      <w:r w:rsidRPr="00303BB9">
        <w:rPr>
          <w:rFonts w:ascii="Garamond" w:hAnsi="Garamond"/>
          <w:sz w:val="24"/>
          <w:szCs w:val="24"/>
          <w:lang w:val="sq-AL"/>
        </w:rPr>
        <w:br/>
        <w:t>V_1748_2023, datë 17.07.2023 "Mbi përcaktimin e shoqërisë "Bursa Shqiptare e</w:t>
      </w:r>
      <w:r w:rsidRPr="00303BB9">
        <w:rPr>
          <w:rFonts w:ascii="Garamond" w:hAnsi="Garamond"/>
          <w:sz w:val="24"/>
          <w:szCs w:val="24"/>
          <w:lang w:val="sq-AL"/>
        </w:rPr>
        <w:br/>
        <w:t>Energjisë Elektrike - ALPEX" sh.a., si Operator i Emëruar i Tregut të Energjisë</w:t>
      </w:r>
      <w:r w:rsidRPr="00303BB9">
        <w:rPr>
          <w:rFonts w:ascii="Garamond" w:hAnsi="Garamond"/>
          <w:sz w:val="24"/>
          <w:szCs w:val="24"/>
          <w:lang w:val="sq-AL"/>
        </w:rPr>
        <w:br/>
        <w:t>Elektrike (NEMO)".</w:t>
      </w:r>
    </w:p>
    <w:p w:rsidR="00303BB9" w:rsidRPr="00303BB9" w:rsidRDefault="00303BB9" w:rsidP="00303BB9">
      <w:pPr>
        <w:spacing w:after="0" w:line="259" w:lineRule="auto"/>
        <w:ind w:left="360" w:firstLine="0"/>
        <w:contextualSpacing/>
        <w:rPr>
          <w:rFonts w:ascii="Garamond" w:hAnsi="Garamond"/>
          <w:b/>
          <w:bCs/>
          <w:sz w:val="24"/>
          <w:szCs w:val="24"/>
          <w:lang w:val="sq-AL"/>
        </w:rPr>
      </w:pPr>
    </w:p>
    <w:p w:rsidR="00303BB9" w:rsidRPr="0012719C" w:rsidRDefault="00303BB9" w:rsidP="00303BB9">
      <w:pPr>
        <w:spacing w:after="0" w:line="259" w:lineRule="auto"/>
        <w:ind w:firstLine="0"/>
        <w:jc w:val="center"/>
        <w:rPr>
          <w:rFonts w:ascii="Garamond" w:hAnsi="Garamond"/>
          <w:b/>
          <w:bCs/>
          <w:sz w:val="24"/>
          <w:szCs w:val="24"/>
          <w:lang w:val="sq-AL"/>
        </w:rPr>
      </w:pPr>
      <w:r w:rsidRPr="0012719C">
        <w:rPr>
          <w:rFonts w:ascii="Garamond" w:hAnsi="Garamond"/>
          <w:b/>
          <w:bCs/>
          <w:sz w:val="24"/>
          <w:szCs w:val="24"/>
          <w:lang w:val="sq-AL"/>
        </w:rPr>
        <w:t>Neni3</w:t>
      </w:r>
      <w:r w:rsidRPr="00303BB9">
        <w:rPr>
          <w:rFonts w:ascii="Garamond" w:hAnsi="Garamond"/>
          <w:b/>
          <w:bCs/>
          <w:sz w:val="24"/>
          <w:szCs w:val="24"/>
          <w:lang w:val="sq-AL"/>
        </w:rPr>
        <w:br/>
      </w:r>
      <w:r w:rsidRPr="0012719C">
        <w:rPr>
          <w:rFonts w:ascii="Garamond" w:hAnsi="Garamond"/>
          <w:b/>
          <w:bCs/>
          <w:sz w:val="24"/>
          <w:szCs w:val="24"/>
          <w:lang w:val="sq-AL"/>
        </w:rPr>
        <w:t>Përkufizimet dhe interpretimi</w:t>
      </w:r>
    </w:p>
    <w:p w:rsidR="00303BB9" w:rsidRPr="0012719C" w:rsidRDefault="00303BB9" w:rsidP="00303BB9">
      <w:pPr>
        <w:spacing w:after="0" w:line="259" w:lineRule="auto"/>
        <w:ind w:firstLine="0"/>
        <w:jc w:val="center"/>
        <w:rPr>
          <w:rFonts w:ascii="Garamond" w:hAnsi="Garamond"/>
          <w:bCs/>
          <w:i/>
          <w:sz w:val="24"/>
          <w:szCs w:val="24"/>
          <w:lang w:val="sq-AL"/>
        </w:rPr>
      </w:pPr>
      <w:r w:rsidRPr="0012719C">
        <w:rPr>
          <w:rFonts w:ascii="Garamond" w:hAnsi="Garamond"/>
          <w:bCs/>
          <w:i/>
          <w:sz w:val="24"/>
          <w:szCs w:val="24"/>
          <w:lang w:val="sq-AL"/>
        </w:rPr>
        <w:t>(</w:t>
      </w:r>
      <w:r w:rsidRPr="0012719C">
        <w:rPr>
          <w:rFonts w:ascii="Garamond" w:hAnsi="Garamond"/>
          <w:bCs/>
          <w:i/>
          <w:sz w:val="24"/>
          <w:szCs w:val="24"/>
          <w:lang w:val="sq-AL"/>
        </w:rPr>
        <w:t>Ndryshuar</w:t>
      </w:r>
      <w:r w:rsidRPr="0012719C">
        <w:rPr>
          <w:rFonts w:ascii="Garamond" w:hAnsi="Garamond"/>
          <w:bCs/>
          <w:i/>
          <w:sz w:val="24"/>
          <w:szCs w:val="24"/>
          <w:lang w:val="sq-AL"/>
        </w:rPr>
        <w:t xml:space="preserve"> shkronja “</w:t>
      </w:r>
      <w:r w:rsidRPr="0012719C">
        <w:rPr>
          <w:rFonts w:ascii="Garamond" w:hAnsi="Garamond"/>
          <w:bCs/>
          <w:i/>
          <w:sz w:val="24"/>
          <w:szCs w:val="24"/>
          <w:lang w:val="sq-AL"/>
        </w:rPr>
        <w:t>b</w:t>
      </w:r>
      <w:r w:rsidRPr="0012719C">
        <w:rPr>
          <w:rFonts w:ascii="Garamond" w:hAnsi="Garamond"/>
          <w:bCs/>
          <w:i/>
          <w:sz w:val="24"/>
          <w:szCs w:val="24"/>
          <w:lang w:val="sq-AL"/>
        </w:rPr>
        <w:t>”</w:t>
      </w:r>
      <w:r w:rsidRPr="0012719C">
        <w:rPr>
          <w:rFonts w:ascii="Garamond" w:hAnsi="Garamond"/>
          <w:bCs/>
          <w:i/>
          <w:sz w:val="24"/>
          <w:szCs w:val="24"/>
          <w:lang w:val="sq-AL"/>
        </w:rPr>
        <w:t xml:space="preserve"> e pikës 3</w:t>
      </w:r>
      <w:r w:rsidRPr="0012719C">
        <w:rPr>
          <w:rFonts w:ascii="Garamond" w:hAnsi="Garamond"/>
          <w:bCs/>
          <w:i/>
          <w:sz w:val="24"/>
          <w:szCs w:val="24"/>
          <w:lang w:val="sq-AL"/>
        </w:rPr>
        <w:t xml:space="preserve"> me vendimin nr. 47, datë 27.2.2025)</w:t>
      </w:r>
    </w:p>
    <w:p w:rsidR="00303BB9" w:rsidRPr="0012719C" w:rsidRDefault="00303BB9" w:rsidP="00303BB9">
      <w:pPr>
        <w:spacing w:after="0" w:line="259" w:lineRule="auto"/>
        <w:ind w:firstLine="0"/>
        <w:jc w:val="center"/>
        <w:rPr>
          <w:rFonts w:ascii="Garamond" w:hAnsi="Garamond"/>
          <w:b/>
          <w:bCs/>
          <w:sz w:val="24"/>
          <w:szCs w:val="24"/>
          <w:lang w:val="sq-AL"/>
        </w:rPr>
      </w:pPr>
    </w:p>
    <w:p w:rsidR="00303BB9" w:rsidRPr="0012719C" w:rsidRDefault="00303BB9" w:rsidP="00303BB9">
      <w:pPr>
        <w:numPr>
          <w:ilvl w:val="0"/>
          <w:numId w:val="2"/>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Për qëllimin e metodologjisë CID, termat e përdorur në këtë dokument do të kenë</w:t>
      </w:r>
      <w:r w:rsidRPr="00303BB9">
        <w:rPr>
          <w:rFonts w:ascii="Garamond" w:hAnsi="Garamond"/>
          <w:sz w:val="24"/>
          <w:szCs w:val="24"/>
          <w:lang w:val="sq-AL"/>
        </w:rPr>
        <w:br/>
      </w:r>
      <w:r w:rsidRPr="0012719C">
        <w:rPr>
          <w:rFonts w:ascii="Garamond" w:hAnsi="Garamond"/>
          <w:sz w:val="24"/>
          <w:szCs w:val="24"/>
          <w:lang w:val="sq-AL"/>
        </w:rPr>
        <w:t>kuptimin e përkufizimeve të përfshira në aktet ligjore dhe nënligjore rregullatore dhe</w:t>
      </w:r>
      <w:r w:rsidRPr="00303BB9">
        <w:rPr>
          <w:rFonts w:ascii="Garamond" w:hAnsi="Garamond"/>
          <w:sz w:val="24"/>
          <w:szCs w:val="24"/>
          <w:lang w:val="sq-AL"/>
        </w:rPr>
        <w:br/>
      </w:r>
      <w:r w:rsidRPr="0012719C">
        <w:rPr>
          <w:rFonts w:ascii="Garamond" w:hAnsi="Garamond"/>
          <w:sz w:val="24"/>
          <w:szCs w:val="24"/>
          <w:lang w:val="sq-AL"/>
        </w:rPr>
        <w:t>marrëveshjet midis OST -ve dhe NEMO-s së Shqipërisë dhe Kosovës.</w:t>
      </w:r>
    </w:p>
    <w:p w:rsidR="00303BB9" w:rsidRPr="0012719C" w:rsidRDefault="00303BB9" w:rsidP="00303BB9">
      <w:pPr>
        <w:numPr>
          <w:ilvl w:val="0"/>
          <w:numId w:val="2"/>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Gjithashtu, në këtë metodologji CID, me termin "Të ardhurat neto kufitare" do të</w:t>
      </w:r>
      <w:r w:rsidRPr="00303BB9">
        <w:rPr>
          <w:rFonts w:ascii="Garamond" w:hAnsi="Garamond"/>
          <w:sz w:val="24"/>
          <w:szCs w:val="24"/>
          <w:lang w:val="sq-AL"/>
        </w:rPr>
        <w:br/>
      </w:r>
      <w:r w:rsidRPr="0012719C">
        <w:rPr>
          <w:rFonts w:ascii="Garamond" w:hAnsi="Garamond"/>
          <w:sz w:val="24"/>
          <w:szCs w:val="24"/>
          <w:lang w:val="sq-AL"/>
        </w:rPr>
        <w:t>kuptojmë të ardhurat e kongjestionit të alokuara për kufirin e zonës ofertuese siç</w:t>
      </w:r>
      <w:r w:rsidRPr="00303BB9">
        <w:rPr>
          <w:rFonts w:ascii="Garamond" w:hAnsi="Garamond"/>
          <w:sz w:val="24"/>
          <w:szCs w:val="24"/>
          <w:lang w:val="sq-AL"/>
        </w:rPr>
        <w:br/>
      </w:r>
      <w:r w:rsidRPr="0012719C">
        <w:rPr>
          <w:rFonts w:ascii="Garamond" w:hAnsi="Garamond"/>
          <w:sz w:val="24"/>
          <w:szCs w:val="24"/>
          <w:lang w:val="sq-AL"/>
        </w:rPr>
        <w:t>përcaktohet në këtë metodologji.</w:t>
      </w:r>
    </w:p>
    <w:p w:rsidR="00303BB9" w:rsidRPr="00303BB9" w:rsidRDefault="00303BB9" w:rsidP="00303BB9">
      <w:pPr>
        <w:numPr>
          <w:ilvl w:val="0"/>
          <w:numId w:val="2"/>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Përveç kësaj, në këtë metodologji CID, përveç rasteve kur konteksti e kërkon ndryshe:</w:t>
      </w:r>
    </w:p>
    <w:p w:rsidR="00303BB9" w:rsidRPr="0012719C" w:rsidRDefault="00303BB9" w:rsidP="00303BB9">
      <w:pPr>
        <w:numPr>
          <w:ilvl w:val="0"/>
          <w:numId w:val="3"/>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kufiri i zonës se ofertimit mund të përbehet nga një ose me shumë interkonektorë</w:t>
      </w:r>
      <w:r w:rsidRPr="00303BB9">
        <w:rPr>
          <w:rFonts w:ascii="Garamond" w:hAnsi="Garamond"/>
          <w:sz w:val="24"/>
          <w:szCs w:val="24"/>
          <w:lang w:val="sq-AL"/>
        </w:rPr>
        <w:t xml:space="preserve"> </w:t>
      </w:r>
      <w:r w:rsidRPr="0012719C">
        <w:rPr>
          <w:rFonts w:ascii="Garamond" w:hAnsi="Garamond"/>
          <w:sz w:val="24"/>
          <w:szCs w:val="24"/>
          <w:lang w:val="sq-AL"/>
        </w:rPr>
        <w:t>për qëllime të shpërndarjes së të ardhurave nga kongjestioni;</w:t>
      </w:r>
    </w:p>
    <w:p w:rsidR="00303BB9" w:rsidRPr="0012719C" w:rsidRDefault="00303BB9" w:rsidP="00303BB9">
      <w:pPr>
        <w:spacing w:after="0" w:line="259" w:lineRule="auto"/>
        <w:ind w:left="720" w:firstLine="0"/>
        <w:contextualSpacing/>
        <w:rPr>
          <w:rFonts w:ascii="Garamond" w:hAnsi="Garamond"/>
          <w:sz w:val="24"/>
          <w:szCs w:val="24"/>
          <w:lang w:val="sq-AL"/>
        </w:rPr>
      </w:pPr>
      <w:r w:rsidRPr="0012719C">
        <w:rPr>
          <w:rFonts w:ascii="Garamond" w:hAnsi="Garamond"/>
          <w:sz w:val="24"/>
          <w:szCs w:val="24"/>
          <w:lang w:val="sq-AL"/>
        </w:rPr>
        <w:t>b. përveç nëse nuk specifikohet ndryshe, termat e përdorur zbatohen në kontekstin e</w:t>
      </w:r>
      <w:r w:rsidRPr="00303BB9">
        <w:rPr>
          <w:rFonts w:ascii="Garamond" w:hAnsi="Garamond"/>
          <w:sz w:val="24"/>
          <w:szCs w:val="24"/>
          <w:lang w:val="sq-AL"/>
        </w:rPr>
        <w:br/>
      </w:r>
      <w:r w:rsidRPr="0012719C">
        <w:rPr>
          <w:rFonts w:ascii="Garamond" w:hAnsi="Garamond"/>
          <w:sz w:val="24"/>
          <w:szCs w:val="24"/>
          <w:lang w:val="sq-AL"/>
        </w:rPr>
        <w:t>bashkimi të tregut të energjisë elektrike të ditës në avancë Shqipëri-Kosovë  (ALKS DAC)</w:t>
      </w:r>
    </w:p>
    <w:p w:rsidR="00303BB9" w:rsidRPr="0012719C" w:rsidRDefault="00303BB9" w:rsidP="00303BB9">
      <w:pPr>
        <w:numPr>
          <w:ilvl w:val="0"/>
          <w:numId w:val="3"/>
        </w:numPr>
        <w:spacing w:after="0" w:line="259" w:lineRule="auto"/>
        <w:contextualSpacing/>
        <w:jc w:val="left"/>
        <w:rPr>
          <w:rFonts w:ascii="Garamond" w:hAnsi="Garamond"/>
          <w:i/>
          <w:sz w:val="24"/>
          <w:szCs w:val="24"/>
          <w:lang w:val="sq-AL"/>
        </w:rPr>
      </w:pPr>
      <w:r w:rsidRPr="0012719C">
        <w:rPr>
          <w:rFonts w:ascii="Garamond" w:hAnsi="Garamond"/>
          <w:i/>
          <w:sz w:val="24"/>
          <w:szCs w:val="24"/>
          <w:lang w:val="sq-AL"/>
        </w:rPr>
        <w:t>përveç nëse nuk specifikohet ndryshe, termat e përdorur zbatohen në kontekstin e bashkimi të tregut të energjisë elektrike të ditës në avancë Shqipëri–Kosovë (AL-KS DAC) dhe bashkimit të tregut të energjisë elektrike brenda së njëjtës ditë Shqipëri–Kosovë (AL-KS IDA), si dhe (EMCS) për AL-KS DAC dhe AL-KS IDA</w:t>
      </w:r>
      <w:r w:rsidRPr="0012719C">
        <w:rPr>
          <w:rFonts w:ascii="Garamond" w:hAnsi="Garamond"/>
          <w:i/>
          <w:sz w:val="24"/>
          <w:szCs w:val="24"/>
          <w:lang w:val="sq-AL"/>
        </w:rPr>
        <w:t>;</w:t>
      </w:r>
    </w:p>
    <w:p w:rsidR="00303BB9" w:rsidRPr="0012719C" w:rsidRDefault="00303BB9" w:rsidP="00303BB9">
      <w:pPr>
        <w:numPr>
          <w:ilvl w:val="0"/>
          <w:numId w:val="3"/>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titujt janë futur vetëm për lehtësi dhe nuk ndikojnë në interpretimin e kësaj</w:t>
      </w:r>
      <w:r w:rsidRPr="00303BB9">
        <w:rPr>
          <w:rFonts w:ascii="Garamond" w:hAnsi="Garamond"/>
          <w:sz w:val="24"/>
          <w:szCs w:val="24"/>
          <w:lang w:val="sq-AL"/>
        </w:rPr>
        <w:br/>
      </w:r>
      <w:r w:rsidRPr="0012719C">
        <w:rPr>
          <w:rFonts w:ascii="Garamond" w:hAnsi="Garamond"/>
          <w:sz w:val="24"/>
          <w:szCs w:val="24"/>
          <w:lang w:val="sq-AL"/>
        </w:rPr>
        <w:t>metodologjie CID; dhe</w:t>
      </w:r>
    </w:p>
    <w:p w:rsidR="00303BB9" w:rsidRPr="00303BB9" w:rsidRDefault="00303BB9" w:rsidP="00303BB9">
      <w:pPr>
        <w:numPr>
          <w:ilvl w:val="0"/>
          <w:numId w:val="3"/>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 xml:space="preserve">çdo reference ndaj legjislacionit, rregulloreve, urdhrave, instrumenteve, kodeve </w:t>
      </w:r>
      <w:r w:rsidRPr="00303BB9">
        <w:rPr>
          <w:rFonts w:ascii="Garamond" w:hAnsi="Garamond"/>
          <w:sz w:val="24"/>
          <w:szCs w:val="24"/>
          <w:lang w:val="sq-AL"/>
        </w:rPr>
        <w:t>ose ndonjë akti tjetër do t</w:t>
      </w:r>
      <w:r w:rsidRPr="0012719C">
        <w:rPr>
          <w:rFonts w:ascii="Garamond" w:hAnsi="Garamond"/>
          <w:sz w:val="24"/>
          <w:szCs w:val="24"/>
          <w:lang w:val="sq-AL"/>
        </w:rPr>
        <w:t>ë</w:t>
      </w:r>
      <w:r w:rsidRPr="00303BB9">
        <w:rPr>
          <w:rFonts w:ascii="Garamond" w:hAnsi="Garamond"/>
          <w:sz w:val="24"/>
          <w:szCs w:val="24"/>
          <w:lang w:val="sq-AL"/>
        </w:rPr>
        <w:t xml:space="preserve"> përfshijë çdo ndryshim, shtes</w:t>
      </w:r>
      <w:r w:rsidRPr="0012719C">
        <w:rPr>
          <w:rFonts w:ascii="Garamond" w:hAnsi="Garamond"/>
          <w:sz w:val="24"/>
          <w:szCs w:val="24"/>
          <w:lang w:val="sq-AL"/>
        </w:rPr>
        <w:t>ë</w:t>
      </w:r>
      <w:r w:rsidRPr="00303BB9">
        <w:rPr>
          <w:rFonts w:ascii="Garamond" w:hAnsi="Garamond"/>
          <w:sz w:val="24"/>
          <w:szCs w:val="24"/>
          <w:lang w:val="sq-AL"/>
        </w:rPr>
        <w:t xml:space="preserve"> t</w:t>
      </w:r>
      <w:r w:rsidRPr="0012719C">
        <w:rPr>
          <w:rFonts w:ascii="Garamond" w:hAnsi="Garamond"/>
          <w:sz w:val="24"/>
          <w:szCs w:val="24"/>
          <w:lang w:val="sq-AL"/>
        </w:rPr>
        <w:t>ë</w:t>
      </w:r>
      <w:r w:rsidRPr="00303BB9">
        <w:rPr>
          <w:rFonts w:ascii="Garamond" w:hAnsi="Garamond"/>
          <w:sz w:val="24"/>
          <w:szCs w:val="24"/>
          <w:lang w:val="sq-AL"/>
        </w:rPr>
        <w:t xml:space="preserve"> tyre t</w:t>
      </w:r>
      <w:r w:rsidRPr="0012719C">
        <w:rPr>
          <w:rFonts w:ascii="Garamond" w:hAnsi="Garamond"/>
          <w:sz w:val="24"/>
          <w:szCs w:val="24"/>
          <w:lang w:val="sq-AL"/>
        </w:rPr>
        <w:t>ë</w:t>
      </w:r>
      <w:r w:rsidRPr="00303BB9">
        <w:rPr>
          <w:rFonts w:ascii="Garamond" w:hAnsi="Garamond"/>
          <w:sz w:val="24"/>
          <w:szCs w:val="24"/>
          <w:lang w:val="sq-AL"/>
        </w:rPr>
        <w:t xml:space="preserve"> mëvonshme,</w:t>
      </w:r>
      <w:r w:rsidRPr="00303BB9">
        <w:rPr>
          <w:rFonts w:ascii="Garamond" w:hAnsi="Garamond"/>
          <w:sz w:val="24"/>
          <w:szCs w:val="24"/>
          <w:lang w:val="sq-AL"/>
        </w:rPr>
        <w:br/>
        <w:t>ose akte t</w:t>
      </w:r>
      <w:r w:rsidRPr="0012719C">
        <w:rPr>
          <w:rFonts w:ascii="Garamond" w:hAnsi="Garamond"/>
          <w:sz w:val="24"/>
          <w:szCs w:val="24"/>
          <w:lang w:val="sq-AL"/>
        </w:rPr>
        <w:t>ë</w:t>
      </w:r>
      <w:r w:rsidRPr="00303BB9">
        <w:rPr>
          <w:rFonts w:ascii="Garamond" w:hAnsi="Garamond"/>
          <w:sz w:val="24"/>
          <w:szCs w:val="24"/>
          <w:lang w:val="sq-AL"/>
        </w:rPr>
        <w:t xml:space="preserve"> tjera q</w:t>
      </w:r>
      <w:r w:rsidRPr="0012719C">
        <w:rPr>
          <w:rFonts w:ascii="Garamond" w:hAnsi="Garamond"/>
          <w:sz w:val="24"/>
          <w:szCs w:val="24"/>
          <w:lang w:val="sq-AL"/>
        </w:rPr>
        <w:t>ë</w:t>
      </w:r>
      <w:r w:rsidRPr="00303BB9">
        <w:rPr>
          <w:rFonts w:ascii="Garamond" w:hAnsi="Garamond"/>
          <w:sz w:val="24"/>
          <w:szCs w:val="24"/>
          <w:lang w:val="sq-AL"/>
        </w:rPr>
        <w:t xml:space="preserve"> i zëvendësojnë at</w:t>
      </w:r>
      <w:r w:rsidRPr="0012719C">
        <w:rPr>
          <w:rFonts w:ascii="Garamond" w:hAnsi="Garamond"/>
          <w:sz w:val="24"/>
          <w:szCs w:val="24"/>
          <w:lang w:val="sq-AL"/>
        </w:rPr>
        <w:t>ë</w:t>
      </w:r>
      <w:r w:rsidRPr="00303BB9">
        <w:rPr>
          <w:rFonts w:ascii="Garamond" w:hAnsi="Garamond"/>
          <w:sz w:val="24"/>
          <w:szCs w:val="24"/>
          <w:lang w:val="sq-AL"/>
        </w:rPr>
        <w:t>, nëse këto ndryshime dhe shtesa, ose akte t</w:t>
      </w:r>
      <w:r w:rsidRPr="0012719C">
        <w:rPr>
          <w:rFonts w:ascii="Garamond" w:hAnsi="Garamond"/>
          <w:sz w:val="24"/>
          <w:szCs w:val="24"/>
          <w:lang w:val="sq-AL"/>
        </w:rPr>
        <w:t>ë</w:t>
      </w:r>
      <w:r w:rsidRPr="00303BB9">
        <w:rPr>
          <w:rFonts w:ascii="Garamond" w:hAnsi="Garamond"/>
          <w:sz w:val="24"/>
          <w:szCs w:val="24"/>
          <w:lang w:val="sq-AL"/>
        </w:rPr>
        <w:br/>
      </w:r>
      <w:r w:rsidRPr="00303BB9">
        <w:rPr>
          <w:rFonts w:ascii="Garamond" w:hAnsi="Garamond"/>
          <w:sz w:val="24"/>
          <w:szCs w:val="24"/>
          <w:lang w:val="sq-AL"/>
        </w:rPr>
        <w:lastRenderedPageBreak/>
        <w:t>mëvonshme, n</w:t>
      </w:r>
      <w:r w:rsidRPr="0012719C">
        <w:rPr>
          <w:rFonts w:ascii="Garamond" w:hAnsi="Garamond"/>
          <w:sz w:val="24"/>
          <w:szCs w:val="24"/>
          <w:lang w:val="sq-AL"/>
        </w:rPr>
        <w:t>ë</w:t>
      </w:r>
      <w:r w:rsidRPr="00303BB9">
        <w:rPr>
          <w:rFonts w:ascii="Garamond" w:hAnsi="Garamond"/>
          <w:sz w:val="24"/>
          <w:szCs w:val="24"/>
          <w:lang w:val="sq-AL"/>
        </w:rPr>
        <w:t xml:space="preserve"> përputhje me dispozitat e tyre kalimtare dhe përfundimtare,</w:t>
      </w:r>
      <w:r w:rsidRPr="00303BB9">
        <w:rPr>
          <w:rFonts w:ascii="Garamond" w:hAnsi="Garamond"/>
          <w:sz w:val="24"/>
          <w:szCs w:val="24"/>
          <w:lang w:val="sq-AL"/>
        </w:rPr>
        <w:br/>
        <w:t>lejohen t</w:t>
      </w:r>
      <w:r w:rsidRPr="0012719C">
        <w:rPr>
          <w:rFonts w:ascii="Garamond" w:hAnsi="Garamond"/>
          <w:sz w:val="24"/>
          <w:szCs w:val="24"/>
          <w:lang w:val="sq-AL"/>
        </w:rPr>
        <w:t>ë</w:t>
      </w:r>
      <w:r w:rsidRPr="00303BB9">
        <w:rPr>
          <w:rFonts w:ascii="Garamond" w:hAnsi="Garamond"/>
          <w:sz w:val="24"/>
          <w:szCs w:val="24"/>
          <w:lang w:val="sq-AL"/>
        </w:rPr>
        <w:t xml:space="preserve"> zbatohen n</w:t>
      </w:r>
      <w:r w:rsidRPr="0012719C">
        <w:rPr>
          <w:rFonts w:ascii="Garamond" w:hAnsi="Garamond"/>
          <w:sz w:val="24"/>
          <w:szCs w:val="24"/>
          <w:lang w:val="sq-AL"/>
        </w:rPr>
        <w:t>ë</w:t>
      </w:r>
      <w:r w:rsidRPr="00303BB9">
        <w:rPr>
          <w:rFonts w:ascii="Garamond" w:hAnsi="Garamond"/>
          <w:sz w:val="24"/>
          <w:szCs w:val="24"/>
          <w:lang w:val="sq-AL"/>
        </w:rPr>
        <w:t xml:space="preserve"> këtë metodologji.</w:t>
      </w:r>
    </w:p>
    <w:p w:rsidR="00303BB9" w:rsidRPr="00303BB9" w:rsidRDefault="00303BB9" w:rsidP="00303BB9">
      <w:pPr>
        <w:spacing w:after="0" w:line="259" w:lineRule="auto"/>
        <w:ind w:firstLine="0"/>
        <w:rPr>
          <w:rFonts w:ascii="Garamond" w:hAnsi="Garamond"/>
          <w:sz w:val="24"/>
          <w:szCs w:val="24"/>
          <w:lang w:val="sq-AL"/>
        </w:rPr>
      </w:pPr>
    </w:p>
    <w:p w:rsidR="00303BB9" w:rsidRPr="0012719C" w:rsidRDefault="00303BB9" w:rsidP="00303BB9">
      <w:pPr>
        <w:spacing w:after="0" w:line="259" w:lineRule="auto"/>
        <w:ind w:firstLine="0"/>
        <w:jc w:val="center"/>
        <w:rPr>
          <w:rFonts w:ascii="Garamond" w:hAnsi="Garamond"/>
          <w:b/>
          <w:bCs/>
          <w:sz w:val="24"/>
          <w:szCs w:val="24"/>
          <w:lang w:val="sq-AL"/>
        </w:rPr>
      </w:pPr>
      <w:r w:rsidRPr="0012719C">
        <w:rPr>
          <w:rFonts w:ascii="Garamond" w:hAnsi="Garamond"/>
          <w:b/>
          <w:bCs/>
          <w:sz w:val="24"/>
          <w:szCs w:val="24"/>
          <w:lang w:val="sq-AL"/>
        </w:rPr>
        <w:t>Neni4</w:t>
      </w:r>
      <w:r w:rsidRPr="00303BB9">
        <w:rPr>
          <w:rFonts w:ascii="Garamond" w:hAnsi="Garamond"/>
          <w:b/>
          <w:bCs/>
          <w:sz w:val="24"/>
          <w:szCs w:val="24"/>
          <w:lang w:val="sq-AL"/>
        </w:rPr>
        <w:br/>
      </w:r>
      <w:r w:rsidRPr="0012719C">
        <w:rPr>
          <w:rFonts w:ascii="Garamond" w:hAnsi="Garamond"/>
          <w:b/>
          <w:bCs/>
          <w:sz w:val="24"/>
          <w:szCs w:val="24"/>
          <w:lang w:val="sq-AL"/>
        </w:rPr>
        <w:t>Procesi dhe llogaritja e te ardhurave nga kongjestioni</w:t>
      </w:r>
    </w:p>
    <w:p w:rsidR="00303BB9" w:rsidRPr="0012719C" w:rsidRDefault="00303BB9" w:rsidP="00303BB9">
      <w:pPr>
        <w:spacing w:after="0" w:line="259" w:lineRule="auto"/>
        <w:ind w:firstLine="0"/>
        <w:jc w:val="center"/>
        <w:rPr>
          <w:rFonts w:ascii="Garamond" w:hAnsi="Garamond"/>
          <w:b/>
          <w:bCs/>
          <w:sz w:val="24"/>
          <w:szCs w:val="24"/>
          <w:lang w:val="sq-AL"/>
        </w:rPr>
      </w:pPr>
    </w:p>
    <w:p w:rsidR="00303BB9" w:rsidRPr="00303BB9" w:rsidRDefault="00303BB9" w:rsidP="00303BB9">
      <w:pPr>
        <w:numPr>
          <w:ilvl w:val="0"/>
          <w:numId w:val="4"/>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ALPEX do të mbledhë të ardhurat e kongjestionit që dalin nga AL -KS DAC dhe do</w:t>
      </w:r>
      <w:r w:rsidRPr="00303BB9">
        <w:rPr>
          <w:rFonts w:ascii="Garamond" w:hAnsi="Garamond"/>
          <w:sz w:val="24"/>
          <w:szCs w:val="24"/>
          <w:lang w:val="sq-AL"/>
        </w:rPr>
        <w:t xml:space="preserve"> </w:t>
      </w:r>
      <w:r w:rsidRPr="0012719C">
        <w:rPr>
          <w:rFonts w:ascii="Garamond" w:hAnsi="Garamond"/>
          <w:sz w:val="24"/>
          <w:szCs w:val="24"/>
          <w:lang w:val="sq-AL"/>
        </w:rPr>
        <w:t>të sigurojë që të ardhurat e mbledhura nga kongjestioni t'i transferohen OST-ve</w:t>
      </w:r>
      <w:r w:rsidRPr="00303BB9">
        <w:rPr>
          <w:rFonts w:ascii="Garamond" w:hAnsi="Garamond"/>
          <w:sz w:val="24"/>
          <w:szCs w:val="24"/>
          <w:lang w:val="sq-AL"/>
        </w:rPr>
        <w:t xml:space="preserve"> </w:t>
      </w:r>
      <w:r w:rsidRPr="0012719C">
        <w:rPr>
          <w:rFonts w:ascii="Garamond" w:hAnsi="Garamond"/>
          <w:sz w:val="24"/>
          <w:szCs w:val="24"/>
          <w:lang w:val="sq-AL"/>
        </w:rPr>
        <w:t>nëpërmjet SEECAO.</w:t>
      </w:r>
    </w:p>
    <w:p w:rsidR="00303BB9" w:rsidRPr="00303BB9" w:rsidRDefault="00303BB9" w:rsidP="00303BB9">
      <w:pPr>
        <w:numPr>
          <w:ilvl w:val="0"/>
          <w:numId w:val="4"/>
        </w:numPr>
        <w:spacing w:before="240" w:after="0" w:line="259" w:lineRule="auto"/>
        <w:contextualSpacing/>
        <w:jc w:val="left"/>
        <w:rPr>
          <w:rFonts w:ascii="Garamond" w:hAnsi="Garamond"/>
          <w:sz w:val="24"/>
          <w:szCs w:val="24"/>
          <w:lang w:val="sq-AL"/>
        </w:rPr>
      </w:pPr>
      <w:bookmarkStart w:id="1" w:name="_Hlk191294962"/>
      <w:r w:rsidRPr="0012719C">
        <w:rPr>
          <w:rFonts w:ascii="Garamond" w:hAnsi="Garamond"/>
          <w:sz w:val="24"/>
          <w:szCs w:val="24"/>
          <w:lang w:val="sq-AL"/>
        </w:rPr>
        <w:t>Platforma e Bursës Shqiptare të Energjisë Elektrike (ALPEX sh.a.)-EMCS</w:t>
      </w:r>
      <w:bookmarkEnd w:id="1"/>
      <w:r w:rsidRPr="0012719C">
        <w:rPr>
          <w:rFonts w:ascii="Garamond" w:hAnsi="Garamond"/>
          <w:sz w:val="24"/>
          <w:szCs w:val="24"/>
          <w:lang w:val="sq-AL"/>
        </w:rPr>
        <w:t>, për çdo</w:t>
      </w:r>
      <w:r w:rsidRPr="00303BB9">
        <w:rPr>
          <w:rFonts w:ascii="Garamond" w:hAnsi="Garamond"/>
          <w:sz w:val="24"/>
          <w:szCs w:val="24"/>
          <w:lang w:val="sq-AL"/>
        </w:rPr>
        <w:t xml:space="preserve"> </w:t>
      </w:r>
      <w:r w:rsidRPr="0012719C">
        <w:rPr>
          <w:rFonts w:ascii="Garamond" w:hAnsi="Garamond"/>
          <w:sz w:val="24"/>
          <w:szCs w:val="24"/>
          <w:lang w:val="sq-AL"/>
        </w:rPr>
        <w:t>ditë klerimi, llogarit të ardhurat nga kongjestioni, për secilën Njësi Kohore të Tregut</w:t>
      </w:r>
      <w:r w:rsidRPr="00303BB9">
        <w:rPr>
          <w:rFonts w:ascii="Garamond" w:hAnsi="Garamond"/>
          <w:sz w:val="24"/>
          <w:szCs w:val="24"/>
          <w:lang w:val="sq-AL"/>
        </w:rPr>
        <w:t xml:space="preserve"> </w:t>
      </w:r>
      <w:r w:rsidRPr="0012719C">
        <w:rPr>
          <w:rFonts w:ascii="Garamond" w:hAnsi="Garamond"/>
          <w:sz w:val="24"/>
          <w:szCs w:val="24"/>
          <w:lang w:val="sq-AL"/>
        </w:rPr>
        <w:t>(MTU) në Euro te rrumbullakosur me dy shifra pas presjes dhe e barabartë me:</w:t>
      </w:r>
    </w:p>
    <w:p w:rsidR="00303BB9" w:rsidRPr="00303BB9" w:rsidRDefault="00303BB9" w:rsidP="00303BB9">
      <w:pPr>
        <w:spacing w:before="240" w:after="0" w:line="259" w:lineRule="auto"/>
        <w:ind w:left="360" w:firstLine="0"/>
        <w:contextualSpacing/>
        <w:rPr>
          <w:rFonts w:ascii="Garamond" w:hAnsi="Garamond"/>
          <w:sz w:val="24"/>
          <w:szCs w:val="24"/>
          <w:lang w:val="sq-AL"/>
        </w:rPr>
      </w:pPr>
      <w:r w:rsidRPr="0012719C">
        <w:rPr>
          <w:rFonts w:ascii="Garamond" w:hAnsi="Garamond"/>
          <w:b/>
          <w:bCs/>
          <w:sz w:val="24"/>
          <w:szCs w:val="24"/>
          <w:lang w:val="sq-AL"/>
        </w:rPr>
        <w:t>Diferenca e çmimeve midis dy zonave ofertuese (çmimi i zonës ofertuese që</w:t>
      </w:r>
      <w:r w:rsidRPr="00303BB9">
        <w:rPr>
          <w:rFonts w:ascii="Garamond" w:hAnsi="Garamond"/>
          <w:b/>
          <w:bCs/>
          <w:sz w:val="24"/>
          <w:szCs w:val="24"/>
          <w:lang w:val="sq-AL"/>
        </w:rPr>
        <w:t xml:space="preserve"> </w:t>
      </w:r>
      <w:r w:rsidRPr="0012719C">
        <w:rPr>
          <w:rFonts w:ascii="Garamond" w:hAnsi="Garamond"/>
          <w:b/>
          <w:bCs/>
          <w:sz w:val="24"/>
          <w:szCs w:val="24"/>
          <w:lang w:val="sq-AL"/>
        </w:rPr>
        <w:t>importon minus çmimin e zonës ofertuese që eksporton) shumëzuar me sasinë në</w:t>
      </w:r>
      <w:r w:rsidRPr="00303BB9">
        <w:rPr>
          <w:rFonts w:ascii="Garamond" w:hAnsi="Garamond"/>
          <w:b/>
          <w:bCs/>
          <w:sz w:val="24"/>
          <w:szCs w:val="24"/>
          <w:lang w:val="sq-AL"/>
        </w:rPr>
        <w:t xml:space="preserve"> </w:t>
      </w:r>
      <w:r w:rsidRPr="0012719C">
        <w:rPr>
          <w:rFonts w:ascii="Garamond" w:hAnsi="Garamond"/>
          <w:b/>
          <w:bCs/>
          <w:sz w:val="24"/>
          <w:szCs w:val="24"/>
          <w:lang w:val="sq-AL"/>
        </w:rPr>
        <w:t>MWh të energjisë elektrike që rrjedh/dispeçohet midis këtyre dy zonave</w:t>
      </w:r>
      <w:r w:rsidRPr="00303BB9">
        <w:rPr>
          <w:rFonts w:ascii="Garamond" w:hAnsi="Garamond"/>
          <w:b/>
          <w:bCs/>
          <w:sz w:val="24"/>
          <w:szCs w:val="24"/>
          <w:lang w:val="sq-AL"/>
        </w:rPr>
        <w:t xml:space="preserve"> </w:t>
      </w:r>
      <w:r w:rsidRPr="0012719C">
        <w:rPr>
          <w:rFonts w:ascii="Garamond" w:hAnsi="Garamond"/>
          <w:b/>
          <w:bCs/>
          <w:sz w:val="24"/>
          <w:szCs w:val="24"/>
          <w:lang w:val="sq-AL"/>
        </w:rPr>
        <w:t>(Skedulet e Shkëmbyera), ku:</w:t>
      </w:r>
    </w:p>
    <w:p w:rsidR="00303BB9" w:rsidRPr="00303BB9" w:rsidRDefault="00303BB9" w:rsidP="00303BB9">
      <w:pPr>
        <w:spacing w:before="240" w:after="0" w:line="259" w:lineRule="auto"/>
        <w:ind w:left="630" w:hanging="270"/>
        <w:contextualSpacing/>
        <w:rPr>
          <w:rFonts w:ascii="Garamond" w:hAnsi="Garamond"/>
          <w:sz w:val="24"/>
          <w:szCs w:val="24"/>
          <w:lang w:val="sq-AL"/>
        </w:rPr>
      </w:pPr>
      <w:r w:rsidRPr="0012719C">
        <w:rPr>
          <w:rFonts w:ascii="Garamond" w:hAnsi="Garamond"/>
          <w:sz w:val="24"/>
          <w:szCs w:val="24"/>
          <w:lang w:val="sq-AL"/>
        </w:rPr>
        <w:t>• Çmimet e tregut që përdoren janë çmimet e parrumbullakosura për zonat e</w:t>
      </w:r>
      <w:r w:rsidRPr="00303BB9">
        <w:rPr>
          <w:rFonts w:ascii="Garamond" w:hAnsi="Garamond"/>
          <w:sz w:val="24"/>
          <w:szCs w:val="24"/>
          <w:lang w:val="sq-AL"/>
        </w:rPr>
        <w:br/>
      </w:r>
      <w:r w:rsidRPr="0012719C">
        <w:rPr>
          <w:rFonts w:ascii="Garamond" w:hAnsi="Garamond"/>
          <w:sz w:val="24"/>
          <w:szCs w:val="24"/>
          <w:lang w:val="sq-AL"/>
        </w:rPr>
        <w:t>ofertimit AL dhe KS që llogariten nga algoritmi i PGR dhe më pas rrumbullakosen</w:t>
      </w:r>
      <w:r w:rsidRPr="00303BB9">
        <w:rPr>
          <w:rFonts w:ascii="Garamond" w:hAnsi="Garamond"/>
          <w:sz w:val="24"/>
          <w:szCs w:val="24"/>
          <w:lang w:val="sq-AL"/>
        </w:rPr>
        <w:br/>
      </w:r>
      <w:r w:rsidRPr="0012719C">
        <w:rPr>
          <w:rFonts w:ascii="Garamond" w:hAnsi="Garamond"/>
          <w:sz w:val="24"/>
          <w:szCs w:val="24"/>
          <w:lang w:val="sq-AL"/>
        </w:rPr>
        <w:t>me dy shifra pas presjes. (çmimet e reja të rrumbullakosura përdoren nga platforma</w:t>
      </w:r>
      <w:r w:rsidRPr="00303BB9">
        <w:rPr>
          <w:rFonts w:ascii="Garamond" w:hAnsi="Garamond"/>
          <w:sz w:val="24"/>
          <w:szCs w:val="24"/>
          <w:lang w:val="sq-AL"/>
        </w:rPr>
        <w:br/>
      </w:r>
      <w:r w:rsidRPr="0012719C">
        <w:rPr>
          <w:rFonts w:ascii="Garamond" w:hAnsi="Garamond"/>
          <w:sz w:val="24"/>
          <w:szCs w:val="24"/>
          <w:lang w:val="sq-AL"/>
        </w:rPr>
        <w:t>elektronike e ALPEX-EMCS për llogaritjen e te ardhurave nga kongjestioni.</w:t>
      </w:r>
    </w:p>
    <w:p w:rsidR="00303BB9" w:rsidRPr="00303BB9" w:rsidRDefault="00303BB9" w:rsidP="00303BB9">
      <w:pPr>
        <w:spacing w:before="240" w:after="0" w:line="259" w:lineRule="auto"/>
        <w:ind w:left="630" w:hanging="270"/>
        <w:contextualSpacing/>
        <w:rPr>
          <w:rFonts w:ascii="Garamond" w:hAnsi="Garamond"/>
          <w:sz w:val="24"/>
          <w:szCs w:val="24"/>
          <w:lang w:val="sq-AL"/>
        </w:rPr>
      </w:pPr>
      <w:r w:rsidRPr="0012719C">
        <w:rPr>
          <w:rFonts w:ascii="Garamond" w:hAnsi="Garamond"/>
          <w:sz w:val="24"/>
          <w:szCs w:val="24"/>
          <w:lang w:val="sq-AL"/>
        </w:rPr>
        <w:t>• Fluksi respektiv orar i energjisë jepet nga skedulët (shkëmbimet) ndërkufitare (të</w:t>
      </w:r>
      <w:r w:rsidRPr="00303BB9">
        <w:rPr>
          <w:rFonts w:ascii="Garamond" w:hAnsi="Garamond"/>
          <w:sz w:val="24"/>
          <w:szCs w:val="24"/>
          <w:lang w:val="sq-AL"/>
        </w:rPr>
        <w:br/>
      </w:r>
      <w:r w:rsidRPr="0012719C">
        <w:rPr>
          <w:rFonts w:ascii="Garamond" w:hAnsi="Garamond"/>
          <w:sz w:val="24"/>
          <w:szCs w:val="24"/>
          <w:lang w:val="sq-AL"/>
        </w:rPr>
        <w:t>rrumbullakosura me dy shifra pas presje) midis zonave të ofertimit të Shqipëri -</w:t>
      </w:r>
      <w:r w:rsidRPr="00303BB9">
        <w:rPr>
          <w:rFonts w:ascii="Garamond" w:hAnsi="Garamond"/>
          <w:sz w:val="24"/>
          <w:szCs w:val="24"/>
          <w:lang w:val="sq-AL"/>
        </w:rPr>
        <w:br/>
      </w:r>
      <w:r w:rsidRPr="0012719C">
        <w:rPr>
          <w:rFonts w:ascii="Garamond" w:hAnsi="Garamond"/>
          <w:sz w:val="24"/>
          <w:szCs w:val="24"/>
          <w:lang w:val="sq-AL"/>
        </w:rPr>
        <w:t>Kosovës.</w:t>
      </w:r>
    </w:p>
    <w:p w:rsidR="00303BB9" w:rsidRPr="0012719C" w:rsidRDefault="00303BB9" w:rsidP="00303BB9">
      <w:pPr>
        <w:spacing w:before="240" w:after="0" w:line="259" w:lineRule="auto"/>
        <w:ind w:left="630" w:hanging="270"/>
        <w:contextualSpacing/>
        <w:rPr>
          <w:rFonts w:ascii="Garamond" w:hAnsi="Garamond"/>
          <w:sz w:val="24"/>
          <w:szCs w:val="24"/>
          <w:lang w:val="sq-AL"/>
        </w:rPr>
      </w:pPr>
      <w:r w:rsidRPr="0012719C">
        <w:rPr>
          <w:rFonts w:ascii="Garamond" w:hAnsi="Garamond"/>
          <w:sz w:val="24"/>
          <w:szCs w:val="24"/>
          <w:lang w:val="sq-AL"/>
        </w:rPr>
        <w:t>•   Humbjet në sistem nuk do të përfshihen në llogaritjen e të ardhurave nga</w:t>
      </w:r>
      <w:r w:rsidRPr="00303BB9">
        <w:rPr>
          <w:rFonts w:ascii="Garamond" w:hAnsi="Garamond"/>
          <w:sz w:val="24"/>
          <w:szCs w:val="24"/>
          <w:lang w:val="sq-AL"/>
        </w:rPr>
        <w:t xml:space="preserve"> </w:t>
      </w:r>
      <w:r w:rsidRPr="0012719C">
        <w:rPr>
          <w:rFonts w:ascii="Garamond" w:hAnsi="Garamond"/>
          <w:sz w:val="24"/>
          <w:szCs w:val="24"/>
          <w:lang w:val="sq-AL"/>
        </w:rPr>
        <w:t>kongjestioni.</w:t>
      </w:r>
    </w:p>
    <w:p w:rsidR="00303BB9" w:rsidRPr="0012719C" w:rsidRDefault="00303BB9" w:rsidP="00303BB9">
      <w:pPr>
        <w:spacing w:before="240" w:after="0" w:line="259" w:lineRule="auto"/>
        <w:ind w:left="630" w:hanging="270"/>
        <w:contextualSpacing/>
        <w:rPr>
          <w:rFonts w:ascii="Garamond" w:hAnsi="Garamond"/>
          <w:sz w:val="24"/>
          <w:szCs w:val="24"/>
          <w:lang w:val="sq-AL"/>
        </w:rPr>
      </w:pPr>
    </w:p>
    <w:p w:rsidR="00303BB9" w:rsidRPr="0012719C" w:rsidRDefault="00303BB9" w:rsidP="00303BB9">
      <w:pPr>
        <w:spacing w:after="0" w:line="259" w:lineRule="auto"/>
        <w:ind w:left="360" w:firstLine="0"/>
        <w:contextualSpacing/>
        <w:jc w:val="center"/>
        <w:rPr>
          <w:rFonts w:ascii="Garamond" w:hAnsi="Garamond"/>
          <w:b/>
          <w:bCs/>
          <w:sz w:val="24"/>
          <w:szCs w:val="24"/>
          <w:lang w:val="sq-AL"/>
        </w:rPr>
      </w:pPr>
      <w:r w:rsidRPr="00303BB9">
        <w:rPr>
          <w:rFonts w:ascii="Garamond" w:hAnsi="Garamond"/>
          <w:sz w:val="24"/>
          <w:szCs w:val="24"/>
          <w:lang w:val="sq-AL"/>
        </w:rPr>
        <w:br/>
      </w:r>
      <w:r w:rsidRPr="0012719C">
        <w:rPr>
          <w:rFonts w:ascii="Garamond" w:hAnsi="Garamond"/>
          <w:b/>
          <w:bCs/>
          <w:sz w:val="24"/>
          <w:szCs w:val="24"/>
          <w:lang w:val="sq-AL"/>
        </w:rPr>
        <w:t>Neni5</w:t>
      </w:r>
      <w:r w:rsidRPr="00303BB9">
        <w:rPr>
          <w:rFonts w:ascii="Garamond" w:hAnsi="Garamond"/>
          <w:b/>
          <w:bCs/>
          <w:sz w:val="24"/>
          <w:szCs w:val="24"/>
          <w:lang w:val="sq-AL"/>
        </w:rPr>
        <w:br/>
      </w:r>
      <w:r w:rsidRPr="0012719C">
        <w:rPr>
          <w:rFonts w:ascii="Garamond" w:hAnsi="Garamond"/>
          <w:b/>
          <w:bCs/>
          <w:sz w:val="24"/>
          <w:szCs w:val="24"/>
          <w:lang w:val="sq-AL"/>
        </w:rPr>
        <w:t>Parimet për ndarjen</w:t>
      </w:r>
    </w:p>
    <w:p w:rsidR="00303BB9" w:rsidRPr="0012719C" w:rsidRDefault="00303BB9" w:rsidP="00303BB9">
      <w:pPr>
        <w:spacing w:after="0" w:line="259" w:lineRule="auto"/>
        <w:ind w:firstLine="0"/>
        <w:jc w:val="center"/>
        <w:rPr>
          <w:rFonts w:ascii="Garamond" w:hAnsi="Garamond"/>
          <w:bCs/>
          <w:i/>
          <w:sz w:val="24"/>
          <w:szCs w:val="24"/>
          <w:lang w:val="sq-AL"/>
        </w:rPr>
      </w:pPr>
      <w:r w:rsidRPr="0012719C">
        <w:rPr>
          <w:rFonts w:ascii="Garamond" w:hAnsi="Garamond"/>
          <w:bCs/>
          <w:i/>
          <w:sz w:val="24"/>
          <w:szCs w:val="24"/>
          <w:lang w:val="sq-AL"/>
        </w:rPr>
        <w:t xml:space="preserve">(Ndryshuar </w:t>
      </w:r>
      <w:r w:rsidRPr="0012719C">
        <w:rPr>
          <w:rFonts w:ascii="Garamond" w:hAnsi="Garamond"/>
          <w:bCs/>
          <w:i/>
          <w:sz w:val="24"/>
          <w:szCs w:val="24"/>
          <w:lang w:val="sq-AL"/>
        </w:rPr>
        <w:t xml:space="preserve">pika 1 </w:t>
      </w:r>
      <w:r w:rsidRPr="0012719C">
        <w:rPr>
          <w:rFonts w:ascii="Garamond" w:hAnsi="Garamond"/>
          <w:bCs/>
          <w:i/>
          <w:sz w:val="24"/>
          <w:szCs w:val="24"/>
          <w:lang w:val="sq-AL"/>
        </w:rPr>
        <w:t>me vendimin nr. 47, datë 27.2.2025)</w:t>
      </w:r>
    </w:p>
    <w:p w:rsidR="00303BB9" w:rsidRPr="00303BB9" w:rsidRDefault="00303BB9" w:rsidP="00303BB9">
      <w:pPr>
        <w:spacing w:after="0" w:line="259" w:lineRule="auto"/>
        <w:ind w:left="360" w:firstLine="0"/>
        <w:contextualSpacing/>
        <w:jc w:val="left"/>
        <w:rPr>
          <w:rFonts w:ascii="Garamond" w:hAnsi="Garamond"/>
          <w:sz w:val="24"/>
          <w:szCs w:val="24"/>
          <w:lang w:val="sq-AL"/>
        </w:rPr>
      </w:pPr>
    </w:p>
    <w:p w:rsidR="00303BB9" w:rsidRPr="0012719C" w:rsidRDefault="00303BB9" w:rsidP="00303BB9">
      <w:pPr>
        <w:numPr>
          <w:ilvl w:val="0"/>
          <w:numId w:val="5"/>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“OST-ja dhe KOSTT-i do të marrin pjesën e tyre të të ardhurave neto kufitare AL-KS DAC dhe AL-KS IDA, bazuar në një koeficient ndarjeje 50% me 50%. Detajet, si dhe arsyet themeluese, përcaktohen në shtojcën 1 të kësaj metodologjie.</w:t>
      </w: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center"/>
        <w:rPr>
          <w:rFonts w:ascii="Garamond" w:hAnsi="Garamond"/>
          <w:b/>
          <w:bCs/>
          <w:sz w:val="24"/>
          <w:szCs w:val="24"/>
          <w:lang w:val="sq-AL"/>
        </w:rPr>
      </w:pPr>
      <w:r w:rsidRPr="00303BB9">
        <w:rPr>
          <w:rFonts w:ascii="Garamond" w:hAnsi="Garamond"/>
          <w:sz w:val="24"/>
          <w:szCs w:val="24"/>
          <w:lang w:val="sq-AL"/>
        </w:rPr>
        <w:br/>
      </w:r>
      <w:r w:rsidRPr="0012719C">
        <w:rPr>
          <w:rFonts w:ascii="Garamond" w:hAnsi="Garamond"/>
          <w:b/>
          <w:bCs/>
          <w:sz w:val="24"/>
          <w:szCs w:val="24"/>
          <w:lang w:val="sq-AL"/>
        </w:rPr>
        <w:t>Neni6</w:t>
      </w:r>
      <w:r w:rsidRPr="00303BB9">
        <w:rPr>
          <w:rFonts w:ascii="Garamond" w:hAnsi="Garamond"/>
          <w:b/>
          <w:bCs/>
          <w:sz w:val="24"/>
          <w:szCs w:val="24"/>
          <w:lang w:val="sq-AL"/>
        </w:rPr>
        <w:br/>
      </w:r>
      <w:r w:rsidRPr="0012719C">
        <w:rPr>
          <w:rFonts w:ascii="Garamond" w:hAnsi="Garamond"/>
          <w:b/>
          <w:bCs/>
          <w:sz w:val="24"/>
          <w:szCs w:val="24"/>
          <w:lang w:val="sq-AL"/>
        </w:rPr>
        <w:t>Publikimi i të dhënave</w:t>
      </w:r>
    </w:p>
    <w:p w:rsidR="00303BB9" w:rsidRPr="00303BB9" w:rsidRDefault="00303BB9" w:rsidP="00303BB9">
      <w:pPr>
        <w:spacing w:after="0" w:line="259" w:lineRule="auto"/>
        <w:ind w:left="720" w:firstLine="0"/>
        <w:contextualSpacing/>
        <w:jc w:val="left"/>
        <w:rPr>
          <w:rFonts w:ascii="Garamond" w:hAnsi="Garamond"/>
          <w:sz w:val="24"/>
          <w:szCs w:val="24"/>
          <w:lang w:val="sq-AL"/>
        </w:rPr>
      </w:pPr>
    </w:p>
    <w:p w:rsidR="00303BB9" w:rsidRPr="00303BB9" w:rsidRDefault="00303BB9" w:rsidP="00303BB9">
      <w:pPr>
        <w:numPr>
          <w:ilvl w:val="0"/>
          <w:numId w:val="6"/>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OST dhe KOSTT do të publikojnë informacionin e kërkuar për transparencën e</w:t>
      </w:r>
      <w:r w:rsidRPr="00303BB9">
        <w:rPr>
          <w:rFonts w:ascii="Garamond" w:hAnsi="Garamond"/>
          <w:sz w:val="24"/>
          <w:szCs w:val="24"/>
          <w:lang w:val="sq-AL"/>
        </w:rPr>
        <w:br/>
      </w:r>
      <w:r w:rsidRPr="0012719C">
        <w:rPr>
          <w:rFonts w:ascii="Garamond" w:hAnsi="Garamond"/>
          <w:sz w:val="24"/>
          <w:szCs w:val="24"/>
          <w:lang w:val="sq-AL"/>
        </w:rPr>
        <w:t>shpërndarjes së të ardhurave nga kongjestioni.</w:t>
      </w:r>
    </w:p>
    <w:p w:rsidR="00303BB9" w:rsidRPr="0012719C" w:rsidRDefault="00303BB9" w:rsidP="00303BB9">
      <w:pPr>
        <w:numPr>
          <w:ilvl w:val="0"/>
          <w:numId w:val="6"/>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Informacioni në përputhje me paragrafin 1 do të publikohet për çdo fragment njësie</w:t>
      </w:r>
      <w:r w:rsidRPr="00303BB9">
        <w:rPr>
          <w:rFonts w:ascii="Garamond" w:hAnsi="Garamond"/>
          <w:sz w:val="24"/>
          <w:szCs w:val="24"/>
          <w:lang w:val="sq-AL"/>
        </w:rPr>
        <w:t xml:space="preserve"> </w:t>
      </w:r>
      <w:r w:rsidRPr="0012719C">
        <w:rPr>
          <w:rFonts w:ascii="Garamond" w:hAnsi="Garamond"/>
          <w:sz w:val="24"/>
          <w:szCs w:val="24"/>
          <w:lang w:val="sq-AL"/>
        </w:rPr>
        <w:t>kohore tregu dhe së paku në baza mujore.</w:t>
      </w:r>
    </w:p>
    <w:p w:rsidR="00303BB9" w:rsidRPr="00303BB9" w:rsidRDefault="00303BB9" w:rsidP="00303BB9">
      <w:pPr>
        <w:spacing w:after="0" w:line="259" w:lineRule="auto"/>
        <w:ind w:left="720" w:firstLine="0"/>
        <w:contextualSpacing/>
        <w:jc w:val="left"/>
        <w:rPr>
          <w:rFonts w:ascii="Garamond" w:hAnsi="Garamond"/>
          <w:sz w:val="24"/>
          <w:szCs w:val="24"/>
          <w:lang w:val="sq-AL"/>
        </w:rPr>
      </w:pPr>
    </w:p>
    <w:p w:rsidR="0012719C" w:rsidRDefault="0012719C" w:rsidP="00303BB9">
      <w:pPr>
        <w:spacing w:after="0" w:line="259" w:lineRule="auto"/>
        <w:ind w:firstLine="0"/>
        <w:jc w:val="center"/>
        <w:rPr>
          <w:rFonts w:ascii="Garamond" w:hAnsi="Garamond"/>
          <w:b/>
          <w:bCs/>
          <w:sz w:val="24"/>
          <w:szCs w:val="24"/>
          <w:lang w:val="sq-AL"/>
        </w:rPr>
      </w:pPr>
    </w:p>
    <w:p w:rsidR="0012719C" w:rsidRDefault="0012719C" w:rsidP="00303BB9">
      <w:pPr>
        <w:spacing w:after="0" w:line="259" w:lineRule="auto"/>
        <w:ind w:firstLine="0"/>
        <w:jc w:val="center"/>
        <w:rPr>
          <w:rFonts w:ascii="Garamond" w:hAnsi="Garamond"/>
          <w:b/>
          <w:bCs/>
          <w:sz w:val="24"/>
          <w:szCs w:val="24"/>
          <w:lang w:val="sq-AL"/>
        </w:rPr>
      </w:pPr>
    </w:p>
    <w:p w:rsidR="00303BB9" w:rsidRPr="0012719C" w:rsidRDefault="00303BB9" w:rsidP="00303BB9">
      <w:pPr>
        <w:spacing w:after="0" w:line="259" w:lineRule="auto"/>
        <w:ind w:firstLine="0"/>
        <w:jc w:val="center"/>
        <w:rPr>
          <w:rFonts w:ascii="Garamond" w:hAnsi="Garamond"/>
          <w:b/>
          <w:bCs/>
          <w:sz w:val="24"/>
          <w:szCs w:val="24"/>
          <w:lang w:val="sq-AL"/>
        </w:rPr>
      </w:pPr>
      <w:r w:rsidRPr="0012719C">
        <w:rPr>
          <w:rFonts w:ascii="Garamond" w:hAnsi="Garamond"/>
          <w:b/>
          <w:bCs/>
          <w:sz w:val="24"/>
          <w:szCs w:val="24"/>
          <w:lang w:val="sq-AL"/>
        </w:rPr>
        <w:lastRenderedPageBreak/>
        <w:t>Neni7</w:t>
      </w:r>
      <w:r w:rsidRPr="00303BB9">
        <w:rPr>
          <w:rFonts w:ascii="Garamond" w:hAnsi="Garamond"/>
          <w:b/>
          <w:bCs/>
          <w:sz w:val="24"/>
          <w:szCs w:val="24"/>
          <w:lang w:val="sq-AL"/>
        </w:rPr>
        <w:br/>
      </w:r>
      <w:r w:rsidRPr="0012719C">
        <w:rPr>
          <w:rFonts w:ascii="Garamond" w:hAnsi="Garamond"/>
          <w:b/>
          <w:bCs/>
          <w:sz w:val="24"/>
          <w:szCs w:val="24"/>
          <w:lang w:val="sq-AL"/>
        </w:rPr>
        <w:t>Publikimi dhe zbatimi i metodologjisë CID</w:t>
      </w:r>
    </w:p>
    <w:p w:rsidR="00303BB9" w:rsidRPr="0012719C" w:rsidRDefault="00303BB9" w:rsidP="00303BB9">
      <w:pPr>
        <w:spacing w:after="0" w:line="259" w:lineRule="auto"/>
        <w:ind w:firstLine="0"/>
        <w:jc w:val="center"/>
        <w:rPr>
          <w:rFonts w:ascii="Garamond" w:hAnsi="Garamond"/>
          <w:b/>
          <w:bCs/>
          <w:sz w:val="24"/>
          <w:szCs w:val="24"/>
          <w:lang w:val="sq-AL"/>
        </w:rPr>
      </w:pPr>
    </w:p>
    <w:p w:rsidR="00303BB9" w:rsidRPr="0012719C" w:rsidRDefault="00303BB9" w:rsidP="00303BB9">
      <w:pPr>
        <w:numPr>
          <w:ilvl w:val="0"/>
          <w:numId w:val="7"/>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OST dhe KOSTT do të publikojnë metodologjinë CID me hyrjen në fuqi të vendimit</w:t>
      </w:r>
      <w:r w:rsidRPr="00303BB9">
        <w:rPr>
          <w:rFonts w:ascii="Garamond" w:hAnsi="Garamond"/>
          <w:sz w:val="24"/>
          <w:szCs w:val="24"/>
          <w:lang w:val="sq-AL"/>
        </w:rPr>
        <w:br/>
      </w:r>
      <w:r w:rsidRPr="0012719C">
        <w:rPr>
          <w:rFonts w:ascii="Garamond" w:hAnsi="Garamond"/>
          <w:sz w:val="24"/>
          <w:szCs w:val="24"/>
          <w:lang w:val="sq-AL"/>
        </w:rPr>
        <w:t>të Enteve përkatëse rregullatore që e miratojnë atë.</w:t>
      </w:r>
    </w:p>
    <w:p w:rsidR="00303BB9" w:rsidRPr="00303BB9" w:rsidRDefault="00303BB9" w:rsidP="00303BB9">
      <w:pPr>
        <w:numPr>
          <w:ilvl w:val="0"/>
          <w:numId w:val="7"/>
        </w:numPr>
        <w:spacing w:after="0" w:line="259" w:lineRule="auto"/>
        <w:contextualSpacing/>
        <w:jc w:val="left"/>
        <w:rPr>
          <w:rFonts w:ascii="Garamond" w:hAnsi="Garamond"/>
          <w:sz w:val="24"/>
          <w:szCs w:val="24"/>
          <w:lang w:val="sq-AL"/>
        </w:rPr>
      </w:pPr>
      <w:r w:rsidRPr="0012719C">
        <w:rPr>
          <w:rFonts w:ascii="Garamond" w:hAnsi="Garamond"/>
          <w:sz w:val="24"/>
          <w:szCs w:val="24"/>
          <w:lang w:val="sq-AL"/>
        </w:rPr>
        <w:t>OST dhe KOSTT do të zbatojnë metodologjinë CID në datën e zbatimit të</w:t>
      </w:r>
      <w:r w:rsidRPr="00303BB9">
        <w:rPr>
          <w:rFonts w:ascii="Garamond" w:hAnsi="Garamond"/>
          <w:sz w:val="24"/>
          <w:szCs w:val="24"/>
          <w:lang w:val="sq-AL"/>
        </w:rPr>
        <w:br/>
      </w:r>
      <w:r w:rsidRPr="0012719C">
        <w:rPr>
          <w:rFonts w:ascii="Garamond" w:hAnsi="Garamond"/>
          <w:sz w:val="24"/>
          <w:szCs w:val="24"/>
          <w:lang w:val="sq-AL"/>
        </w:rPr>
        <w:t>metodologjisë së llogaritjes së kapaciteteve dhe implementimit të tregut të përbashkët</w:t>
      </w:r>
      <w:r w:rsidRPr="00303BB9">
        <w:rPr>
          <w:rFonts w:ascii="Garamond" w:hAnsi="Garamond"/>
          <w:sz w:val="24"/>
          <w:szCs w:val="24"/>
          <w:lang w:val="sq-AL"/>
        </w:rPr>
        <w:br/>
      </w:r>
      <w:r w:rsidRPr="0012719C">
        <w:rPr>
          <w:rFonts w:ascii="Garamond" w:hAnsi="Garamond"/>
          <w:sz w:val="24"/>
          <w:szCs w:val="24"/>
          <w:lang w:val="sq-AL"/>
        </w:rPr>
        <w:t>të energjisë elektrike AL- KS.</w:t>
      </w:r>
    </w:p>
    <w:p w:rsidR="00303BB9" w:rsidRPr="0012719C" w:rsidRDefault="00303BB9" w:rsidP="00303BB9">
      <w:pPr>
        <w:spacing w:after="0" w:line="259" w:lineRule="auto"/>
        <w:ind w:left="720" w:firstLine="0"/>
        <w:contextualSpacing/>
        <w:rPr>
          <w:rFonts w:ascii="Garamond" w:hAnsi="Garamond"/>
          <w:sz w:val="24"/>
          <w:szCs w:val="24"/>
          <w:lang w:val="sq-AL"/>
        </w:rPr>
      </w:pPr>
      <w:r w:rsidRPr="00303BB9">
        <w:rPr>
          <w:rFonts w:ascii="Garamond" w:hAnsi="Garamond"/>
          <w:sz w:val="24"/>
          <w:szCs w:val="24"/>
          <w:lang w:val="sq-AL"/>
        </w:rPr>
        <w:br/>
      </w: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center"/>
        <w:rPr>
          <w:rFonts w:ascii="Garamond" w:hAnsi="Garamond"/>
          <w:b/>
          <w:bCs/>
          <w:sz w:val="24"/>
          <w:szCs w:val="24"/>
          <w:lang w:val="sq-AL"/>
        </w:rPr>
      </w:pPr>
      <w:r w:rsidRPr="0012719C">
        <w:rPr>
          <w:rFonts w:ascii="Garamond" w:hAnsi="Garamond"/>
          <w:b/>
          <w:bCs/>
          <w:sz w:val="24"/>
          <w:szCs w:val="24"/>
          <w:lang w:val="sq-AL"/>
        </w:rPr>
        <w:t>Neni 8</w:t>
      </w:r>
      <w:r w:rsidRPr="00303BB9">
        <w:rPr>
          <w:rFonts w:ascii="Garamond" w:hAnsi="Garamond"/>
          <w:b/>
          <w:bCs/>
          <w:sz w:val="24"/>
          <w:szCs w:val="24"/>
          <w:lang w:val="sq-AL"/>
        </w:rPr>
        <w:br/>
      </w:r>
      <w:r w:rsidRPr="0012719C">
        <w:rPr>
          <w:rFonts w:ascii="Garamond" w:hAnsi="Garamond"/>
          <w:b/>
          <w:bCs/>
          <w:sz w:val="24"/>
          <w:szCs w:val="24"/>
          <w:lang w:val="sq-AL"/>
        </w:rPr>
        <w:t>Gjuha</w:t>
      </w:r>
    </w:p>
    <w:p w:rsidR="00303BB9" w:rsidRPr="0012719C" w:rsidRDefault="00303BB9" w:rsidP="00303BB9">
      <w:pPr>
        <w:spacing w:after="0" w:line="259" w:lineRule="auto"/>
        <w:ind w:left="720" w:firstLine="0"/>
        <w:contextualSpacing/>
        <w:jc w:val="center"/>
        <w:rPr>
          <w:rFonts w:ascii="Garamond" w:hAnsi="Garamond"/>
          <w:b/>
          <w:bCs/>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r w:rsidRPr="0012719C">
        <w:rPr>
          <w:rFonts w:ascii="Garamond" w:hAnsi="Garamond"/>
          <w:sz w:val="24"/>
          <w:szCs w:val="24"/>
          <w:lang w:val="sq-AL"/>
        </w:rPr>
        <w:t>Gjuha e kësaj metodologjie CID do të jetë gjuha shqipe.</w:t>
      </w: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left"/>
        <w:rPr>
          <w:rFonts w:ascii="Garamond" w:hAnsi="Garamond"/>
          <w:sz w:val="24"/>
          <w:szCs w:val="24"/>
          <w:lang w:val="sq-AL"/>
        </w:rPr>
      </w:pPr>
    </w:p>
    <w:p w:rsidR="00303BB9" w:rsidRPr="0012719C" w:rsidRDefault="00303BB9" w:rsidP="00303BB9">
      <w:pPr>
        <w:spacing w:after="0" w:line="259" w:lineRule="auto"/>
        <w:ind w:left="720" w:firstLine="0"/>
        <w:contextualSpacing/>
        <w:jc w:val="center"/>
        <w:rPr>
          <w:rFonts w:ascii="Garamond" w:hAnsi="Garamond"/>
          <w:b/>
          <w:bCs/>
          <w:sz w:val="24"/>
          <w:szCs w:val="24"/>
          <w:lang w:val="sq-AL"/>
        </w:rPr>
      </w:pPr>
      <w:r w:rsidRPr="0012719C">
        <w:rPr>
          <w:rFonts w:ascii="Garamond" w:hAnsi="Garamond"/>
          <w:b/>
          <w:bCs/>
          <w:sz w:val="24"/>
          <w:szCs w:val="24"/>
          <w:lang w:val="sq-AL"/>
        </w:rPr>
        <w:t>SHTOJCA 1</w:t>
      </w:r>
    </w:p>
    <w:p w:rsidR="00303BB9" w:rsidRPr="00303BB9" w:rsidRDefault="00303BB9" w:rsidP="00303BB9">
      <w:pPr>
        <w:tabs>
          <w:tab w:val="left" w:pos="480"/>
        </w:tabs>
        <w:spacing w:after="0" w:line="259" w:lineRule="auto"/>
        <w:ind w:firstLine="0"/>
        <w:rPr>
          <w:rFonts w:ascii="Garamond" w:hAnsi="Garamond"/>
          <w:sz w:val="24"/>
          <w:szCs w:val="24"/>
          <w:lang w:val="sq-AL"/>
        </w:rPr>
      </w:pPr>
      <w:r w:rsidRPr="00303BB9">
        <w:rPr>
          <w:rFonts w:ascii="Garamond" w:hAnsi="Garamond"/>
          <w:sz w:val="24"/>
          <w:szCs w:val="24"/>
          <w:lang w:val="sq-AL"/>
        </w:rPr>
        <w:t>Në përputhje me nenin 4 të metodologjisë së shpërndarjes së të ardhurave nga kongjestioni, kjo Shtojcë përshkruan koeficentin specifik të bashkëndarjes të zbatuar për bashkëndarjen e të ardhurave nga kongjestioni ndërmjet OST-ve në kufirin e zonës se ofertimit.</w:t>
      </w:r>
    </w:p>
    <w:tbl>
      <w:tblPr>
        <w:tblStyle w:val="TableGrid"/>
        <w:tblW w:w="0" w:type="auto"/>
        <w:tblLook w:val="04A0" w:firstRow="1" w:lastRow="0" w:firstColumn="1" w:lastColumn="0" w:noHBand="0" w:noVBand="1"/>
      </w:tblPr>
      <w:tblGrid>
        <w:gridCol w:w="1481"/>
        <w:gridCol w:w="1908"/>
        <w:gridCol w:w="1339"/>
        <w:gridCol w:w="1555"/>
        <w:gridCol w:w="1542"/>
        <w:gridCol w:w="1525"/>
      </w:tblGrid>
      <w:tr w:rsidR="0012719C" w:rsidRPr="00303BB9" w:rsidTr="002C20E0">
        <w:tc>
          <w:tcPr>
            <w:tcW w:w="1507" w:type="dxa"/>
          </w:tcPr>
          <w:p w:rsidR="00303BB9" w:rsidRPr="00303BB9" w:rsidRDefault="00303BB9" w:rsidP="00303BB9">
            <w:pPr>
              <w:tabs>
                <w:tab w:val="left" w:pos="480"/>
              </w:tabs>
              <w:spacing w:after="0" w:line="240" w:lineRule="auto"/>
              <w:ind w:firstLine="0"/>
              <w:jc w:val="left"/>
              <w:rPr>
                <w:rFonts w:ascii="Garamond" w:hAnsi="Garamond"/>
                <w:b/>
                <w:bCs/>
                <w:sz w:val="24"/>
                <w:szCs w:val="24"/>
                <w:lang w:val="sq-AL"/>
              </w:rPr>
            </w:pPr>
            <w:r w:rsidRPr="00303BB9">
              <w:rPr>
                <w:rFonts w:ascii="Garamond" w:hAnsi="Garamond"/>
                <w:b/>
                <w:bCs/>
                <w:sz w:val="24"/>
                <w:szCs w:val="24"/>
                <w:lang w:val="sq-AL"/>
              </w:rPr>
              <w:t>Zona e ofertimit</w:t>
            </w:r>
          </w:p>
        </w:tc>
        <w:tc>
          <w:tcPr>
            <w:tcW w:w="1908"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92"/>
            </w:tblGrid>
            <w:tr w:rsidR="0012719C" w:rsidRPr="00303BB9" w:rsidTr="002C20E0">
              <w:tc>
                <w:tcPr>
                  <w:tcW w:w="2400" w:type="dxa"/>
                  <w:tcBorders>
                    <w:top w:val="nil"/>
                    <w:left w:val="nil"/>
                    <w:bottom w:val="nil"/>
                    <w:right w:val="nil"/>
                  </w:tcBorders>
                  <w:vAlign w:val="center"/>
                  <w:hideMark/>
                </w:tcPr>
                <w:p w:rsidR="00303BB9" w:rsidRPr="00303BB9" w:rsidRDefault="00303BB9" w:rsidP="00303BB9">
                  <w:pPr>
                    <w:spacing w:after="0" w:line="240" w:lineRule="auto"/>
                    <w:ind w:firstLine="0"/>
                    <w:jc w:val="left"/>
                    <w:rPr>
                      <w:rFonts w:ascii="Garamond" w:eastAsia="Times New Roman" w:hAnsi="Garamond"/>
                      <w:b/>
                      <w:bCs/>
                      <w:sz w:val="24"/>
                      <w:szCs w:val="24"/>
                      <w:lang w:val="sq-AL"/>
                    </w:rPr>
                  </w:pPr>
                  <w:r w:rsidRPr="00303BB9">
                    <w:rPr>
                      <w:rFonts w:ascii="Garamond" w:eastAsia="Times New Roman" w:hAnsi="Garamond"/>
                      <w:b/>
                      <w:bCs/>
                      <w:sz w:val="24"/>
                      <w:szCs w:val="24"/>
                      <w:lang w:val="sq-AL"/>
                    </w:rPr>
                    <w:t>Interkonektori</w:t>
                  </w:r>
                </w:p>
              </w:tc>
            </w:tr>
          </w:tbl>
          <w:p w:rsidR="00303BB9" w:rsidRPr="00303BB9" w:rsidRDefault="00303BB9" w:rsidP="00303BB9">
            <w:pPr>
              <w:tabs>
                <w:tab w:val="left" w:pos="480"/>
              </w:tabs>
              <w:spacing w:after="0" w:line="240" w:lineRule="auto"/>
              <w:ind w:firstLine="0"/>
              <w:rPr>
                <w:rFonts w:ascii="Garamond" w:hAnsi="Garamond"/>
                <w:b/>
                <w:bCs/>
                <w:sz w:val="24"/>
                <w:szCs w:val="24"/>
                <w:lang w:val="sq-AL"/>
              </w:rPr>
            </w:pPr>
          </w:p>
        </w:tc>
        <w:tc>
          <w:tcPr>
            <w:tcW w:w="1309" w:type="dxa"/>
          </w:tcPr>
          <w:p w:rsidR="00303BB9" w:rsidRPr="00303BB9" w:rsidRDefault="00303BB9" w:rsidP="00303BB9">
            <w:pPr>
              <w:spacing w:after="0" w:line="240" w:lineRule="auto"/>
              <w:ind w:firstLine="0"/>
              <w:jc w:val="left"/>
              <w:rPr>
                <w:rFonts w:ascii="Garamond" w:hAnsi="Garamond"/>
                <w:b/>
                <w:bCs/>
                <w:sz w:val="24"/>
                <w:szCs w:val="24"/>
                <w:lang w:val="sq-AL"/>
              </w:rPr>
            </w:pPr>
            <w:r w:rsidRPr="0012719C">
              <w:rPr>
                <w:rFonts w:ascii="Garamond" w:hAnsi="Garamond"/>
                <w:b/>
                <w:bCs/>
                <w:sz w:val="24"/>
                <w:szCs w:val="24"/>
                <w:lang w:val="sq-AL"/>
              </w:rPr>
              <w:t>OST/Palët e përfshira</w:t>
            </w:r>
          </w:p>
          <w:p w:rsidR="00303BB9" w:rsidRPr="00303BB9" w:rsidRDefault="00303BB9" w:rsidP="00303BB9">
            <w:pPr>
              <w:tabs>
                <w:tab w:val="left" w:pos="480"/>
              </w:tabs>
              <w:spacing w:after="0" w:line="240" w:lineRule="auto"/>
              <w:ind w:firstLine="0"/>
              <w:rPr>
                <w:rFonts w:ascii="Garamond" w:hAnsi="Garamond"/>
                <w:b/>
                <w:bCs/>
                <w:sz w:val="24"/>
                <w:szCs w:val="24"/>
                <w:lang w:val="sq-AL"/>
              </w:rPr>
            </w:pPr>
          </w:p>
        </w:tc>
        <w:tc>
          <w:tcPr>
            <w:tcW w:w="153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39"/>
            </w:tblGrid>
            <w:tr w:rsidR="0012719C" w:rsidRPr="00303BB9" w:rsidTr="002C20E0">
              <w:tc>
                <w:tcPr>
                  <w:tcW w:w="1815" w:type="dxa"/>
                  <w:tcBorders>
                    <w:top w:val="nil"/>
                    <w:left w:val="nil"/>
                    <w:bottom w:val="nil"/>
                    <w:right w:val="nil"/>
                  </w:tcBorders>
                  <w:vAlign w:val="center"/>
                  <w:hideMark/>
                </w:tcPr>
                <w:p w:rsidR="00303BB9" w:rsidRPr="00303BB9" w:rsidRDefault="00303BB9" w:rsidP="00303BB9">
                  <w:pPr>
                    <w:spacing w:after="0" w:line="240" w:lineRule="auto"/>
                    <w:ind w:firstLine="0"/>
                    <w:jc w:val="left"/>
                    <w:rPr>
                      <w:rFonts w:ascii="Garamond" w:eastAsia="Times New Roman" w:hAnsi="Garamond"/>
                      <w:b/>
                      <w:bCs/>
                      <w:sz w:val="24"/>
                      <w:szCs w:val="24"/>
                      <w:lang w:val="sq-AL"/>
                    </w:rPr>
                  </w:pPr>
                  <w:r w:rsidRPr="00303BB9">
                    <w:rPr>
                      <w:rFonts w:ascii="Garamond" w:eastAsia="Times New Roman" w:hAnsi="Garamond"/>
                      <w:b/>
                      <w:bCs/>
                      <w:sz w:val="24"/>
                      <w:szCs w:val="24"/>
                      <w:lang w:val="sq-AL"/>
                    </w:rPr>
                    <w:t>OST/Pal</w:t>
                  </w:r>
                  <w:r w:rsidRPr="0012719C">
                    <w:rPr>
                      <w:rFonts w:ascii="Garamond" w:hAnsi="Garamond"/>
                      <w:b/>
                      <w:bCs/>
                      <w:sz w:val="24"/>
                      <w:szCs w:val="24"/>
                      <w:lang w:val="sq-AL"/>
                    </w:rPr>
                    <w:t>ë</w:t>
                  </w:r>
                  <w:r w:rsidRPr="00303BB9">
                    <w:rPr>
                      <w:rFonts w:ascii="Garamond" w:eastAsia="Times New Roman" w:hAnsi="Garamond"/>
                      <w:b/>
                      <w:bCs/>
                      <w:sz w:val="24"/>
                      <w:szCs w:val="24"/>
                      <w:lang w:val="sq-AL"/>
                    </w:rPr>
                    <w:t>t e</w:t>
                  </w:r>
                  <w:r w:rsidRPr="00303BB9">
                    <w:rPr>
                      <w:rFonts w:ascii="Garamond" w:eastAsia="Times New Roman" w:hAnsi="Garamond"/>
                      <w:b/>
                      <w:bCs/>
                      <w:sz w:val="24"/>
                      <w:szCs w:val="24"/>
                      <w:lang w:val="sq-AL"/>
                    </w:rPr>
                    <w:br/>
                    <w:t>p</w:t>
                  </w:r>
                  <w:r w:rsidRPr="0012719C">
                    <w:rPr>
                      <w:rFonts w:ascii="Garamond" w:hAnsi="Garamond"/>
                      <w:b/>
                      <w:bCs/>
                      <w:sz w:val="24"/>
                      <w:szCs w:val="24"/>
                      <w:lang w:val="sq-AL"/>
                    </w:rPr>
                    <w:t>ë</w:t>
                  </w:r>
                  <w:r w:rsidRPr="00303BB9">
                    <w:rPr>
                      <w:rFonts w:ascii="Garamond" w:eastAsia="Times New Roman" w:hAnsi="Garamond"/>
                      <w:b/>
                      <w:bCs/>
                      <w:sz w:val="24"/>
                      <w:szCs w:val="24"/>
                      <w:lang w:val="sq-AL"/>
                    </w:rPr>
                    <w:t>rfshira</w:t>
                  </w:r>
                </w:p>
              </w:tc>
            </w:tr>
          </w:tbl>
          <w:p w:rsidR="00303BB9" w:rsidRPr="00303BB9" w:rsidRDefault="00303BB9" w:rsidP="00303BB9">
            <w:pPr>
              <w:tabs>
                <w:tab w:val="left" w:pos="480"/>
              </w:tabs>
              <w:spacing w:after="0" w:line="240" w:lineRule="auto"/>
              <w:ind w:firstLine="0"/>
              <w:rPr>
                <w:rFonts w:ascii="Garamond" w:hAnsi="Garamond"/>
                <w:b/>
                <w:bCs/>
                <w:sz w:val="24"/>
                <w:szCs w:val="24"/>
                <w:lang w:val="sq-AL"/>
              </w:rPr>
            </w:pPr>
          </w:p>
        </w:tc>
        <w:tc>
          <w:tcPr>
            <w:tcW w:w="1542"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26"/>
            </w:tblGrid>
            <w:tr w:rsidR="0012719C" w:rsidRPr="00303BB9" w:rsidTr="002C20E0">
              <w:tc>
                <w:tcPr>
                  <w:tcW w:w="2010" w:type="dxa"/>
                  <w:tcBorders>
                    <w:top w:val="nil"/>
                    <w:left w:val="nil"/>
                    <w:bottom w:val="nil"/>
                    <w:right w:val="nil"/>
                  </w:tcBorders>
                  <w:vAlign w:val="center"/>
                  <w:hideMark/>
                </w:tcPr>
                <w:p w:rsidR="00303BB9" w:rsidRPr="00303BB9" w:rsidRDefault="00303BB9" w:rsidP="00303BB9">
                  <w:pPr>
                    <w:spacing w:after="0" w:line="240" w:lineRule="auto"/>
                    <w:ind w:firstLine="0"/>
                    <w:jc w:val="left"/>
                    <w:rPr>
                      <w:rFonts w:ascii="Garamond" w:eastAsia="Times New Roman" w:hAnsi="Garamond"/>
                      <w:b/>
                      <w:bCs/>
                      <w:sz w:val="24"/>
                      <w:szCs w:val="24"/>
                      <w:lang w:val="sq-AL"/>
                    </w:rPr>
                  </w:pPr>
                  <w:r w:rsidRPr="00303BB9">
                    <w:rPr>
                      <w:rFonts w:ascii="Garamond" w:eastAsia="Times New Roman" w:hAnsi="Garamond"/>
                      <w:b/>
                      <w:bCs/>
                      <w:sz w:val="24"/>
                      <w:szCs w:val="24"/>
                      <w:lang w:val="sq-AL"/>
                    </w:rPr>
                    <w:t>Koeficienti i</w:t>
                  </w:r>
                  <w:r w:rsidRPr="00303BB9">
                    <w:rPr>
                      <w:rFonts w:ascii="Garamond" w:eastAsia="Times New Roman" w:hAnsi="Garamond"/>
                      <w:b/>
                      <w:bCs/>
                      <w:sz w:val="24"/>
                      <w:szCs w:val="24"/>
                      <w:lang w:val="sq-AL"/>
                    </w:rPr>
                    <w:br/>
                    <w:t>aplikuar p</w:t>
                  </w:r>
                  <w:r w:rsidRPr="0012719C">
                    <w:rPr>
                      <w:rFonts w:ascii="Garamond" w:hAnsi="Garamond"/>
                      <w:b/>
                      <w:bCs/>
                      <w:sz w:val="24"/>
                      <w:szCs w:val="24"/>
                      <w:lang w:val="sq-AL"/>
                    </w:rPr>
                    <w:t>ë</w:t>
                  </w:r>
                  <w:r w:rsidRPr="00303BB9">
                    <w:rPr>
                      <w:rFonts w:ascii="Garamond" w:eastAsia="Times New Roman" w:hAnsi="Garamond"/>
                      <w:b/>
                      <w:bCs/>
                      <w:sz w:val="24"/>
                      <w:szCs w:val="24"/>
                      <w:lang w:val="sq-AL"/>
                    </w:rPr>
                    <w:t>r</w:t>
                  </w:r>
                  <w:r w:rsidRPr="00303BB9">
                    <w:rPr>
                      <w:rFonts w:ascii="Garamond" w:eastAsia="Times New Roman" w:hAnsi="Garamond"/>
                      <w:b/>
                      <w:bCs/>
                      <w:sz w:val="24"/>
                      <w:szCs w:val="24"/>
                      <w:lang w:val="sq-AL"/>
                    </w:rPr>
                    <w:br/>
                    <w:t>ndarjen e t</w:t>
                  </w:r>
                  <w:r w:rsidRPr="0012719C">
                    <w:rPr>
                      <w:rFonts w:ascii="Garamond" w:hAnsi="Garamond"/>
                      <w:b/>
                      <w:bCs/>
                      <w:sz w:val="24"/>
                      <w:szCs w:val="24"/>
                      <w:lang w:val="sq-AL"/>
                    </w:rPr>
                    <w:t>ë</w:t>
                  </w:r>
                </w:p>
              </w:tc>
            </w:tr>
          </w:tbl>
          <w:p w:rsidR="00303BB9" w:rsidRPr="00303BB9" w:rsidRDefault="00303BB9" w:rsidP="00303BB9">
            <w:pPr>
              <w:tabs>
                <w:tab w:val="left" w:pos="480"/>
              </w:tabs>
              <w:spacing w:after="0" w:line="240" w:lineRule="auto"/>
              <w:ind w:firstLine="0"/>
              <w:jc w:val="left"/>
              <w:rPr>
                <w:rFonts w:ascii="Garamond" w:hAnsi="Garamond"/>
                <w:b/>
                <w:bCs/>
                <w:sz w:val="24"/>
                <w:szCs w:val="24"/>
                <w:lang w:val="sq-AL"/>
              </w:rPr>
            </w:pPr>
            <w:r w:rsidRPr="00303BB9">
              <w:rPr>
                <w:rFonts w:ascii="Garamond" w:eastAsia="Times New Roman" w:hAnsi="Garamond"/>
                <w:b/>
                <w:bCs/>
                <w:sz w:val="24"/>
                <w:szCs w:val="24"/>
                <w:lang w:val="sq-AL"/>
              </w:rPr>
              <w:t xml:space="preserve"> ardhurave</w:t>
            </w:r>
          </w:p>
        </w:tc>
        <w:tc>
          <w:tcPr>
            <w:tcW w:w="1547" w:type="dxa"/>
          </w:tcPr>
          <w:p w:rsidR="00303BB9" w:rsidRPr="00303BB9" w:rsidRDefault="00303BB9" w:rsidP="00303BB9">
            <w:pPr>
              <w:spacing w:after="0" w:line="240" w:lineRule="auto"/>
              <w:ind w:firstLine="0"/>
              <w:rPr>
                <w:rFonts w:ascii="Garamond" w:hAnsi="Garamond"/>
                <w:b/>
                <w:bCs/>
                <w:sz w:val="24"/>
                <w:szCs w:val="24"/>
                <w:lang w:val="sq-AL"/>
              </w:rPr>
            </w:pPr>
            <w:r w:rsidRPr="0012719C">
              <w:rPr>
                <w:rFonts w:ascii="Garamond" w:hAnsi="Garamond"/>
                <w:b/>
                <w:bCs/>
                <w:sz w:val="24"/>
                <w:szCs w:val="24"/>
                <w:lang w:val="sq-AL"/>
              </w:rPr>
              <w:t>Arsyeja</w:t>
            </w:r>
          </w:p>
          <w:p w:rsidR="00303BB9" w:rsidRPr="00303BB9" w:rsidRDefault="00303BB9" w:rsidP="00303BB9">
            <w:pPr>
              <w:tabs>
                <w:tab w:val="left" w:pos="480"/>
              </w:tabs>
              <w:spacing w:after="0" w:line="240" w:lineRule="auto"/>
              <w:ind w:firstLine="0"/>
              <w:rPr>
                <w:rFonts w:ascii="Garamond" w:hAnsi="Garamond"/>
                <w:b/>
                <w:bCs/>
                <w:sz w:val="24"/>
                <w:szCs w:val="24"/>
                <w:lang w:val="sq-AL"/>
              </w:rPr>
            </w:pPr>
          </w:p>
        </w:tc>
      </w:tr>
      <w:tr w:rsidR="0012719C" w:rsidRPr="00303BB9" w:rsidTr="002C20E0">
        <w:tc>
          <w:tcPr>
            <w:tcW w:w="1507" w:type="dxa"/>
          </w:tcPr>
          <w:p w:rsidR="00303BB9" w:rsidRPr="00303BB9" w:rsidRDefault="00303BB9" w:rsidP="00303BB9">
            <w:pPr>
              <w:tabs>
                <w:tab w:val="left" w:pos="480"/>
              </w:tabs>
              <w:spacing w:after="0" w:line="240" w:lineRule="auto"/>
              <w:ind w:firstLine="0"/>
              <w:rPr>
                <w:rFonts w:ascii="Garamond" w:hAnsi="Garamond"/>
                <w:sz w:val="24"/>
                <w:szCs w:val="24"/>
                <w:lang w:val="sq-AL"/>
              </w:rPr>
            </w:pPr>
            <w:r w:rsidRPr="00303BB9">
              <w:rPr>
                <w:rFonts w:ascii="Garamond" w:hAnsi="Garamond"/>
                <w:sz w:val="24"/>
                <w:szCs w:val="24"/>
                <w:lang w:val="sq-AL"/>
              </w:rPr>
              <w:t>AL-KS</w:t>
            </w:r>
          </w:p>
        </w:tc>
        <w:tc>
          <w:tcPr>
            <w:tcW w:w="1908" w:type="dxa"/>
          </w:tcPr>
          <w:p w:rsidR="00303BB9" w:rsidRPr="00303BB9" w:rsidRDefault="00303BB9" w:rsidP="00303BB9">
            <w:pPr>
              <w:tabs>
                <w:tab w:val="left" w:pos="480"/>
              </w:tabs>
              <w:spacing w:after="0" w:line="240" w:lineRule="auto"/>
              <w:ind w:firstLine="0"/>
              <w:jc w:val="left"/>
              <w:rPr>
                <w:rFonts w:ascii="Garamond" w:hAnsi="Garamond"/>
                <w:sz w:val="24"/>
                <w:szCs w:val="24"/>
                <w:lang w:val="sq-AL"/>
              </w:rPr>
            </w:pPr>
            <w:r w:rsidRPr="00303BB9">
              <w:rPr>
                <w:rFonts w:ascii="Garamond" w:hAnsi="Garamond"/>
                <w:sz w:val="24"/>
                <w:szCs w:val="24"/>
                <w:lang w:val="sq-AL"/>
              </w:rPr>
              <w:t>Kosova B – Tirana 2 400 kV</w:t>
            </w:r>
          </w:p>
        </w:tc>
        <w:tc>
          <w:tcPr>
            <w:tcW w:w="1309" w:type="dxa"/>
          </w:tcPr>
          <w:p w:rsidR="00303BB9" w:rsidRPr="00303BB9" w:rsidRDefault="00303BB9" w:rsidP="00303BB9">
            <w:pPr>
              <w:tabs>
                <w:tab w:val="left" w:pos="480"/>
              </w:tabs>
              <w:spacing w:after="0" w:line="240" w:lineRule="auto"/>
              <w:ind w:firstLine="0"/>
              <w:rPr>
                <w:rFonts w:ascii="Garamond" w:hAnsi="Garamond"/>
                <w:sz w:val="24"/>
                <w:szCs w:val="24"/>
                <w:lang w:val="sq-AL"/>
              </w:rPr>
            </w:pPr>
            <w:r w:rsidRPr="0012719C">
              <w:rPr>
                <w:rFonts w:ascii="Garamond" w:hAnsi="Garamond"/>
                <w:sz w:val="24"/>
                <w:szCs w:val="24"/>
                <w:lang w:val="sq-AL"/>
              </w:rPr>
              <w:t>OST,</w:t>
            </w:r>
            <w:r w:rsidRPr="00303BB9">
              <w:rPr>
                <w:rFonts w:ascii="Garamond" w:hAnsi="Garamond"/>
                <w:sz w:val="24"/>
                <w:szCs w:val="24"/>
                <w:lang w:val="sq-AL"/>
              </w:rPr>
              <w:br/>
            </w:r>
            <w:r w:rsidRPr="0012719C">
              <w:rPr>
                <w:rFonts w:ascii="Garamond" w:hAnsi="Garamond"/>
                <w:sz w:val="24"/>
                <w:szCs w:val="24"/>
                <w:lang w:val="sq-AL"/>
              </w:rPr>
              <w:t>KOSTT</w:t>
            </w:r>
          </w:p>
        </w:tc>
        <w:tc>
          <w:tcPr>
            <w:tcW w:w="1537" w:type="dxa"/>
          </w:tcPr>
          <w:p w:rsidR="00303BB9" w:rsidRPr="00303BB9" w:rsidRDefault="00303BB9" w:rsidP="00303BB9">
            <w:pPr>
              <w:tabs>
                <w:tab w:val="left" w:pos="480"/>
              </w:tabs>
              <w:spacing w:after="0" w:line="240" w:lineRule="auto"/>
              <w:ind w:firstLine="0"/>
              <w:rPr>
                <w:rFonts w:ascii="Garamond" w:hAnsi="Garamond"/>
                <w:sz w:val="24"/>
                <w:szCs w:val="24"/>
                <w:lang w:val="sq-AL"/>
              </w:rPr>
            </w:pPr>
            <w:r w:rsidRPr="0012719C">
              <w:rPr>
                <w:rFonts w:ascii="Garamond" w:hAnsi="Garamond"/>
                <w:sz w:val="24"/>
                <w:szCs w:val="24"/>
                <w:lang w:val="sq-AL"/>
              </w:rPr>
              <w:t>OST, KOSTT</w:t>
            </w:r>
          </w:p>
        </w:tc>
        <w:tc>
          <w:tcPr>
            <w:tcW w:w="1542" w:type="dxa"/>
          </w:tcPr>
          <w:p w:rsidR="00303BB9" w:rsidRPr="00303BB9" w:rsidRDefault="00303BB9" w:rsidP="00303BB9">
            <w:pPr>
              <w:tabs>
                <w:tab w:val="left" w:pos="480"/>
              </w:tabs>
              <w:spacing w:after="0" w:line="240" w:lineRule="auto"/>
              <w:ind w:firstLine="0"/>
              <w:rPr>
                <w:rFonts w:ascii="Garamond" w:hAnsi="Garamond"/>
                <w:sz w:val="24"/>
                <w:szCs w:val="24"/>
                <w:lang w:val="sq-AL"/>
              </w:rPr>
            </w:pPr>
            <w:r w:rsidRPr="00303BB9">
              <w:rPr>
                <w:rFonts w:ascii="Garamond" w:hAnsi="Garamond"/>
                <w:sz w:val="24"/>
                <w:szCs w:val="24"/>
                <w:lang w:val="sq-AL"/>
              </w:rPr>
              <w:t>OST:50%</w:t>
            </w:r>
            <w:r w:rsidRPr="00303BB9">
              <w:rPr>
                <w:rFonts w:ascii="Garamond" w:hAnsi="Garamond"/>
                <w:sz w:val="24"/>
                <w:szCs w:val="24"/>
                <w:lang w:val="sq-AL"/>
              </w:rPr>
              <w:br/>
              <w:t>KOSTT:50%</w:t>
            </w:r>
          </w:p>
        </w:tc>
        <w:tc>
          <w:tcPr>
            <w:tcW w:w="1547" w:type="dxa"/>
          </w:tcPr>
          <w:p w:rsidR="00303BB9" w:rsidRPr="00303BB9" w:rsidRDefault="00303BB9" w:rsidP="00303BB9">
            <w:pPr>
              <w:tabs>
                <w:tab w:val="left" w:pos="480"/>
              </w:tabs>
              <w:spacing w:after="0" w:line="240" w:lineRule="auto"/>
              <w:ind w:firstLine="0"/>
              <w:jc w:val="left"/>
              <w:rPr>
                <w:rFonts w:ascii="Garamond" w:hAnsi="Garamond"/>
                <w:sz w:val="24"/>
                <w:szCs w:val="24"/>
                <w:lang w:val="sq-AL"/>
              </w:rPr>
            </w:pPr>
            <w:r w:rsidRPr="00303BB9">
              <w:rPr>
                <w:rFonts w:ascii="Garamond" w:hAnsi="Garamond"/>
                <w:sz w:val="24"/>
                <w:szCs w:val="24"/>
                <w:lang w:val="sq-AL"/>
              </w:rPr>
              <w:t>Aksionet e</w:t>
            </w:r>
            <w:r w:rsidRPr="00303BB9">
              <w:rPr>
                <w:rFonts w:ascii="Garamond" w:hAnsi="Garamond"/>
                <w:sz w:val="24"/>
                <w:szCs w:val="24"/>
                <w:lang w:val="sq-AL"/>
              </w:rPr>
              <w:br/>
              <w:t>pronësisë*</w:t>
            </w:r>
          </w:p>
        </w:tc>
      </w:tr>
      <w:tr w:rsidR="0012719C" w:rsidRPr="00303BB9" w:rsidTr="002C20E0">
        <w:tc>
          <w:tcPr>
            <w:tcW w:w="1507" w:type="dxa"/>
          </w:tcPr>
          <w:p w:rsidR="00303BB9" w:rsidRPr="00303BB9" w:rsidRDefault="00303BB9" w:rsidP="00303BB9">
            <w:pPr>
              <w:tabs>
                <w:tab w:val="left" w:pos="480"/>
              </w:tabs>
              <w:spacing w:after="0" w:line="240" w:lineRule="auto"/>
              <w:ind w:firstLine="0"/>
              <w:rPr>
                <w:rFonts w:ascii="Garamond" w:hAnsi="Garamond"/>
                <w:sz w:val="24"/>
                <w:szCs w:val="24"/>
                <w:lang w:val="sq-AL"/>
              </w:rPr>
            </w:pPr>
            <w:r w:rsidRPr="00303BB9">
              <w:rPr>
                <w:rFonts w:ascii="Garamond" w:hAnsi="Garamond"/>
                <w:sz w:val="24"/>
                <w:szCs w:val="24"/>
                <w:lang w:val="sq-AL"/>
              </w:rPr>
              <w:t>AL-KS</w:t>
            </w:r>
          </w:p>
        </w:tc>
        <w:tc>
          <w:tcPr>
            <w:tcW w:w="1908" w:type="dxa"/>
          </w:tcPr>
          <w:p w:rsidR="00303BB9" w:rsidRPr="00303BB9" w:rsidRDefault="00303BB9" w:rsidP="00303BB9">
            <w:pPr>
              <w:tabs>
                <w:tab w:val="left" w:pos="480"/>
              </w:tabs>
              <w:spacing w:after="0" w:line="240" w:lineRule="auto"/>
              <w:ind w:firstLine="0"/>
              <w:jc w:val="left"/>
              <w:rPr>
                <w:rFonts w:ascii="Garamond" w:hAnsi="Garamond"/>
                <w:sz w:val="24"/>
                <w:szCs w:val="24"/>
                <w:lang w:val="sq-AL"/>
              </w:rPr>
            </w:pPr>
            <w:r w:rsidRPr="00303BB9">
              <w:rPr>
                <w:rFonts w:ascii="Garamond" w:hAnsi="Garamond"/>
                <w:sz w:val="24"/>
                <w:szCs w:val="24"/>
                <w:lang w:val="sq-AL"/>
              </w:rPr>
              <w:t xml:space="preserve">Prizren - Fierze </w:t>
            </w:r>
          </w:p>
          <w:p w:rsidR="00303BB9" w:rsidRPr="00303BB9" w:rsidRDefault="00303BB9" w:rsidP="00303BB9">
            <w:pPr>
              <w:tabs>
                <w:tab w:val="left" w:pos="480"/>
              </w:tabs>
              <w:spacing w:after="0" w:line="240" w:lineRule="auto"/>
              <w:ind w:firstLine="0"/>
              <w:jc w:val="left"/>
              <w:rPr>
                <w:rFonts w:ascii="Garamond" w:hAnsi="Garamond"/>
                <w:sz w:val="24"/>
                <w:szCs w:val="24"/>
                <w:lang w:val="sq-AL"/>
              </w:rPr>
            </w:pPr>
            <w:r w:rsidRPr="00303BB9">
              <w:rPr>
                <w:rFonts w:ascii="Garamond" w:hAnsi="Garamond"/>
                <w:sz w:val="24"/>
                <w:szCs w:val="24"/>
                <w:lang w:val="sq-AL"/>
              </w:rPr>
              <w:t>220 kV</w:t>
            </w:r>
          </w:p>
        </w:tc>
        <w:tc>
          <w:tcPr>
            <w:tcW w:w="1309" w:type="dxa"/>
          </w:tcPr>
          <w:p w:rsidR="00303BB9" w:rsidRPr="00303BB9" w:rsidRDefault="00303BB9" w:rsidP="00303BB9">
            <w:pPr>
              <w:tabs>
                <w:tab w:val="left" w:pos="480"/>
              </w:tabs>
              <w:spacing w:after="0" w:line="240" w:lineRule="auto"/>
              <w:ind w:firstLine="0"/>
              <w:rPr>
                <w:rFonts w:ascii="Garamond" w:hAnsi="Garamond"/>
                <w:sz w:val="24"/>
                <w:szCs w:val="24"/>
                <w:lang w:val="sq-AL"/>
              </w:rPr>
            </w:pPr>
            <w:r w:rsidRPr="0012719C">
              <w:rPr>
                <w:rFonts w:ascii="Garamond" w:hAnsi="Garamond"/>
                <w:sz w:val="24"/>
                <w:szCs w:val="24"/>
                <w:lang w:val="sq-AL"/>
              </w:rPr>
              <w:t>OST,</w:t>
            </w:r>
            <w:r w:rsidRPr="00303BB9">
              <w:rPr>
                <w:rFonts w:ascii="Garamond" w:hAnsi="Garamond"/>
                <w:sz w:val="24"/>
                <w:szCs w:val="24"/>
                <w:lang w:val="sq-AL"/>
              </w:rPr>
              <w:br/>
            </w:r>
            <w:r w:rsidRPr="0012719C">
              <w:rPr>
                <w:rFonts w:ascii="Garamond" w:hAnsi="Garamond"/>
                <w:sz w:val="24"/>
                <w:szCs w:val="24"/>
                <w:lang w:val="sq-AL"/>
              </w:rPr>
              <w:t>KOSTT</w:t>
            </w:r>
          </w:p>
        </w:tc>
        <w:tc>
          <w:tcPr>
            <w:tcW w:w="1537" w:type="dxa"/>
          </w:tcPr>
          <w:p w:rsidR="00303BB9" w:rsidRPr="00303BB9" w:rsidRDefault="00303BB9" w:rsidP="00303BB9">
            <w:pPr>
              <w:tabs>
                <w:tab w:val="left" w:pos="480"/>
              </w:tabs>
              <w:spacing w:after="0" w:line="240" w:lineRule="auto"/>
              <w:ind w:firstLine="0"/>
              <w:rPr>
                <w:rFonts w:ascii="Garamond" w:hAnsi="Garamond"/>
                <w:sz w:val="24"/>
                <w:szCs w:val="24"/>
                <w:lang w:val="sq-AL"/>
              </w:rPr>
            </w:pPr>
            <w:r w:rsidRPr="0012719C">
              <w:rPr>
                <w:rFonts w:ascii="Garamond" w:hAnsi="Garamond"/>
                <w:sz w:val="24"/>
                <w:szCs w:val="24"/>
                <w:lang w:val="sq-AL"/>
              </w:rPr>
              <w:t>OST, KOSTT</w:t>
            </w:r>
          </w:p>
        </w:tc>
        <w:tc>
          <w:tcPr>
            <w:tcW w:w="1542" w:type="dxa"/>
          </w:tcPr>
          <w:p w:rsidR="00303BB9" w:rsidRPr="00303BB9" w:rsidRDefault="00303BB9" w:rsidP="00303BB9">
            <w:pPr>
              <w:tabs>
                <w:tab w:val="left" w:pos="480"/>
              </w:tabs>
              <w:spacing w:after="0" w:line="240" w:lineRule="auto"/>
              <w:ind w:firstLine="0"/>
              <w:rPr>
                <w:rFonts w:ascii="Garamond" w:hAnsi="Garamond"/>
                <w:sz w:val="24"/>
                <w:szCs w:val="24"/>
                <w:lang w:val="sq-AL"/>
              </w:rPr>
            </w:pPr>
            <w:r w:rsidRPr="00303BB9">
              <w:rPr>
                <w:rFonts w:ascii="Garamond" w:hAnsi="Garamond"/>
                <w:sz w:val="24"/>
                <w:szCs w:val="24"/>
                <w:lang w:val="sq-AL"/>
              </w:rPr>
              <w:t>OST:50%</w:t>
            </w:r>
            <w:r w:rsidRPr="00303BB9">
              <w:rPr>
                <w:rFonts w:ascii="Garamond" w:hAnsi="Garamond"/>
                <w:sz w:val="24"/>
                <w:szCs w:val="24"/>
                <w:lang w:val="sq-AL"/>
              </w:rPr>
              <w:br/>
              <w:t>KOSTT:50%</w:t>
            </w:r>
          </w:p>
        </w:tc>
        <w:tc>
          <w:tcPr>
            <w:tcW w:w="1547" w:type="dxa"/>
          </w:tcPr>
          <w:p w:rsidR="00303BB9" w:rsidRPr="00303BB9" w:rsidRDefault="00303BB9" w:rsidP="00303BB9">
            <w:pPr>
              <w:tabs>
                <w:tab w:val="left" w:pos="480"/>
              </w:tabs>
              <w:spacing w:after="0" w:line="240" w:lineRule="auto"/>
              <w:ind w:firstLine="0"/>
              <w:jc w:val="left"/>
              <w:rPr>
                <w:rFonts w:ascii="Garamond" w:hAnsi="Garamond"/>
                <w:sz w:val="24"/>
                <w:szCs w:val="24"/>
                <w:lang w:val="sq-AL"/>
              </w:rPr>
            </w:pPr>
            <w:r w:rsidRPr="00303BB9">
              <w:rPr>
                <w:rFonts w:ascii="Garamond" w:hAnsi="Garamond"/>
                <w:sz w:val="24"/>
                <w:szCs w:val="24"/>
                <w:lang w:val="sq-AL"/>
              </w:rPr>
              <w:t>Aksionet e</w:t>
            </w:r>
            <w:r w:rsidRPr="00303BB9">
              <w:rPr>
                <w:rFonts w:ascii="Garamond" w:hAnsi="Garamond"/>
                <w:sz w:val="24"/>
                <w:szCs w:val="24"/>
                <w:lang w:val="sq-AL"/>
              </w:rPr>
              <w:br/>
              <w:t>pronësisë*</w:t>
            </w:r>
          </w:p>
        </w:tc>
      </w:tr>
    </w:tbl>
    <w:p w:rsidR="00303BB9" w:rsidRPr="00303BB9" w:rsidRDefault="00303BB9" w:rsidP="00303BB9">
      <w:pPr>
        <w:tabs>
          <w:tab w:val="left" w:pos="480"/>
        </w:tabs>
        <w:spacing w:after="0" w:line="259" w:lineRule="auto"/>
        <w:ind w:firstLine="0"/>
        <w:rPr>
          <w:rFonts w:ascii="Garamond" w:hAnsi="Garamond"/>
          <w:sz w:val="24"/>
          <w:szCs w:val="24"/>
          <w:lang w:val="sq-AL"/>
        </w:rPr>
      </w:pPr>
    </w:p>
    <w:p w:rsidR="00303BB9" w:rsidRPr="00303BB9" w:rsidRDefault="00303BB9" w:rsidP="00303BB9">
      <w:pPr>
        <w:tabs>
          <w:tab w:val="left" w:pos="480"/>
        </w:tabs>
        <w:spacing w:after="0" w:line="259" w:lineRule="auto"/>
        <w:ind w:firstLine="0"/>
        <w:rPr>
          <w:rFonts w:ascii="Garamond" w:hAnsi="Garamond"/>
          <w:sz w:val="24"/>
          <w:szCs w:val="24"/>
          <w:lang w:val="sq-AL"/>
        </w:rPr>
      </w:pPr>
      <w:r w:rsidRPr="00303BB9">
        <w:rPr>
          <w:rFonts w:ascii="Garamond" w:hAnsi="Garamond"/>
          <w:sz w:val="24"/>
          <w:szCs w:val="24"/>
          <w:lang w:val="sq-AL"/>
        </w:rPr>
        <w:t>* Me "Aksionet e pronësisë" kuptohet që OST-të janë pronarë të vetëm ose zotërojnë pronësinë e plotë mbi linjat pjesë e interkonektorëve të listuar në tabelën e shtetin përkatës.</w:t>
      </w:r>
      <w:r w:rsidRPr="00303BB9">
        <w:rPr>
          <w:rFonts w:ascii="Garamond" w:hAnsi="Garamond"/>
          <w:sz w:val="24"/>
          <w:szCs w:val="24"/>
          <w:lang w:val="sq-AL"/>
        </w:rPr>
        <w:br/>
      </w:r>
    </w:p>
    <w:p w:rsidR="00303BB9" w:rsidRPr="00303BB9" w:rsidRDefault="00303BB9" w:rsidP="00303BB9">
      <w:pPr>
        <w:tabs>
          <w:tab w:val="left" w:pos="480"/>
        </w:tabs>
        <w:spacing w:after="0" w:line="259" w:lineRule="auto"/>
        <w:ind w:firstLine="0"/>
        <w:rPr>
          <w:rFonts w:ascii="Garamond" w:hAnsi="Garamond"/>
          <w:sz w:val="24"/>
          <w:szCs w:val="24"/>
          <w:lang w:val="sq-AL"/>
        </w:rPr>
      </w:pPr>
      <w:r w:rsidRPr="00303BB9">
        <w:rPr>
          <w:rFonts w:ascii="Garamond" w:hAnsi="Garamond"/>
          <w:sz w:val="24"/>
          <w:szCs w:val="24"/>
          <w:lang w:val="sq-AL"/>
        </w:rPr>
        <w:t>Formula për llogaritjen e të ardhurave nga kongjestioni:</w:t>
      </w:r>
    </w:p>
    <w:p w:rsidR="00303BB9" w:rsidRPr="00303BB9" w:rsidRDefault="00303BB9" w:rsidP="00303BB9">
      <w:pPr>
        <w:tabs>
          <w:tab w:val="left" w:pos="480"/>
        </w:tabs>
        <w:spacing w:after="0" w:line="259" w:lineRule="auto"/>
        <w:ind w:firstLine="0"/>
        <w:rPr>
          <w:rFonts w:ascii="Garamond" w:hAnsi="Garamond"/>
          <w:sz w:val="24"/>
          <w:szCs w:val="24"/>
          <w:lang w:val="sq-AL"/>
        </w:rPr>
      </w:pPr>
      <w:r w:rsidRPr="00303BB9">
        <w:rPr>
          <w:rFonts w:ascii="Garamond" w:hAnsi="Garamond"/>
          <w:sz w:val="24"/>
          <w:szCs w:val="24"/>
          <w:lang w:val="sq-AL"/>
        </w:rPr>
        <w:lastRenderedPageBreak/>
        <w:br/>
        <w:t>Të ardhurat nga kongjestioni =(çmimi i zonës ofertuese të importit-çmimi i zonës ofertuese të eksportit)* sasinë në MWh të transferuar</w:t>
      </w:r>
    </w:p>
    <w:p w:rsidR="00616DD1" w:rsidRPr="0012719C" w:rsidRDefault="00616DD1" w:rsidP="00303BB9">
      <w:pPr>
        <w:pStyle w:val="NeniTitull"/>
        <w:rPr>
          <w:szCs w:val="24"/>
        </w:rPr>
      </w:pPr>
    </w:p>
    <w:p w:rsidR="00616DD1" w:rsidRPr="0012719C" w:rsidRDefault="00616DD1" w:rsidP="00303BB9">
      <w:pPr>
        <w:pStyle w:val="NeniTitull"/>
        <w:rPr>
          <w:szCs w:val="24"/>
        </w:rPr>
      </w:pPr>
    </w:p>
    <w:p w:rsidR="00FF11BA" w:rsidRPr="0012719C" w:rsidRDefault="00FF11BA" w:rsidP="00303BB9">
      <w:pPr>
        <w:spacing w:after="0"/>
        <w:rPr>
          <w:rFonts w:ascii="Garamond" w:hAnsi="Garamond"/>
          <w:sz w:val="24"/>
          <w:szCs w:val="24"/>
        </w:rPr>
      </w:pPr>
    </w:p>
    <w:sectPr w:rsidR="00FF11BA" w:rsidRPr="0012719C" w:rsidSect="00B7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52208"/>
    <w:multiLevelType w:val="hybridMultilevel"/>
    <w:tmpl w:val="1FEC2B0E"/>
    <w:lvl w:ilvl="0" w:tplc="5AA28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D0A8A"/>
    <w:multiLevelType w:val="hybridMultilevel"/>
    <w:tmpl w:val="C7989B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A92A83"/>
    <w:multiLevelType w:val="hybridMultilevel"/>
    <w:tmpl w:val="C2F6FDEC"/>
    <w:lvl w:ilvl="0" w:tplc="023C01E0">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84B7F36"/>
    <w:multiLevelType w:val="hybridMultilevel"/>
    <w:tmpl w:val="BEA2F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A53CC3"/>
    <w:multiLevelType w:val="hybridMultilevel"/>
    <w:tmpl w:val="93AA4A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1C0128"/>
    <w:multiLevelType w:val="hybridMultilevel"/>
    <w:tmpl w:val="1D28D1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C440227"/>
    <w:multiLevelType w:val="hybridMultilevel"/>
    <w:tmpl w:val="A85EC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1"/>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DD1"/>
    <w:rsid w:val="0012719C"/>
    <w:rsid w:val="00303BB9"/>
    <w:rsid w:val="00616DD1"/>
    <w:rsid w:val="006F7F4C"/>
    <w:rsid w:val="00B73CD8"/>
    <w:rsid w:val="00E82C7D"/>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2A909C-7211-46BB-9848-C742DFF0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DD1"/>
    <w:pPr>
      <w:spacing w:after="200" w:line="276" w:lineRule="auto"/>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link w:val="NeniTitullChar"/>
    <w:rsid w:val="00616DD1"/>
    <w:pPr>
      <w:keepNext/>
      <w:widowControl w:val="0"/>
      <w:spacing w:after="0" w:line="240" w:lineRule="auto"/>
      <w:jc w:val="center"/>
      <w:outlineLvl w:val="2"/>
    </w:pPr>
    <w:rPr>
      <w:rFonts w:ascii="Garamond" w:hAnsi="Garamond" w:cs="CG Times"/>
      <w:b/>
      <w:bCs/>
      <w:sz w:val="24"/>
      <w:lang w:val="en-GB"/>
    </w:rPr>
  </w:style>
  <w:style w:type="character" w:customStyle="1" w:styleId="NeniTitullChar">
    <w:name w:val="Neni_Titull Char"/>
    <w:link w:val="NeniTitull"/>
    <w:locked/>
    <w:rsid w:val="00616DD1"/>
    <w:rPr>
      <w:rFonts w:ascii="Garamond" w:eastAsia="MS Mincho" w:hAnsi="Garamond" w:cs="CG Times"/>
      <w:b/>
      <w:bCs/>
      <w:sz w:val="24"/>
      <w:lang w:val="en-GB"/>
    </w:rPr>
  </w:style>
  <w:style w:type="table" w:styleId="TableGrid">
    <w:name w:val="Table Grid"/>
    <w:basedOn w:val="TableNormal"/>
    <w:uiPriority w:val="39"/>
    <w:rsid w:val="00303BB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3065</Words>
  <Characters>17477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Ermira Bukaci</dc:creator>
  <cp:keywords/>
  <dc:description/>
  <cp:lastModifiedBy>Sara Mborja</cp:lastModifiedBy>
  <cp:revision>2</cp:revision>
  <dcterms:created xsi:type="dcterms:W3CDTF">2025-03-28T09:44:00Z</dcterms:created>
  <dcterms:modified xsi:type="dcterms:W3CDTF">2025-03-28T09:44:00Z</dcterms:modified>
</cp:coreProperties>
</file>