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17B06" w14:textId="77777777" w:rsidR="00552782" w:rsidRP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VENDIM</w:t>
      </w:r>
    </w:p>
    <w:p w14:paraId="13E95CAA" w14:textId="58996856" w:rsidR="00552782" w:rsidRP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 xml:space="preserve">Nr. 132, </w:t>
      </w:r>
      <w:r w:rsidR="005D17D7">
        <w:rPr>
          <w:rFonts w:ascii="Garamond" w:eastAsiaTheme="minorHAnsi" w:hAnsi="Garamond"/>
          <w:b/>
          <w:bCs/>
          <w:color w:val="000000"/>
          <w:sz w:val="24"/>
          <w:szCs w:val="24"/>
        </w:rPr>
        <w:t>d</w:t>
      </w:r>
      <w:r w:rsidRPr="00552782">
        <w:rPr>
          <w:rFonts w:ascii="Garamond" w:eastAsiaTheme="minorHAnsi" w:hAnsi="Garamond"/>
          <w:b/>
          <w:bCs/>
          <w:color w:val="000000"/>
          <w:sz w:val="24"/>
          <w:szCs w:val="24"/>
        </w:rPr>
        <w:t>atë 2.7.2024</w:t>
      </w:r>
    </w:p>
    <w:p w14:paraId="228BB46B" w14:textId="77777777" w:rsid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36B1197" w14:textId="1334DD5C" w:rsidR="00552782"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782">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552782">
        <w:rPr>
          <w:rFonts w:ascii="Garamond" w:eastAsiaTheme="minorHAnsi" w:hAnsi="Garamond"/>
          <w:b/>
          <w:bCs/>
          <w:color w:val="000000"/>
          <w:sz w:val="24"/>
          <w:szCs w:val="24"/>
        </w:rPr>
        <w:t>LICENCIMIN E SHOQËRISË “GREENNAT SOLAR PARK BALLSH” SHPK</w:t>
      </w:r>
      <w:r w:rsidR="004A0F8B">
        <w:rPr>
          <w:rFonts w:ascii="Garamond" w:eastAsiaTheme="minorHAnsi" w:hAnsi="Garamond"/>
          <w:b/>
          <w:bCs/>
          <w:color w:val="000000"/>
          <w:sz w:val="24"/>
          <w:szCs w:val="24"/>
        </w:rPr>
        <w:t xml:space="preserve"> </w:t>
      </w:r>
      <w:r w:rsidRPr="00552782">
        <w:rPr>
          <w:rFonts w:ascii="Garamond" w:eastAsiaTheme="minorHAnsi" w:hAnsi="Garamond"/>
          <w:b/>
          <w:bCs/>
          <w:color w:val="000000"/>
          <w:sz w:val="24"/>
          <w:szCs w:val="24"/>
        </w:rPr>
        <w:t>NË VEPRIMTARINË E PRODHIMIT TË ENERGJISË ELEKTRIKE</w:t>
      </w:r>
    </w:p>
    <w:p w14:paraId="0CCD8737" w14:textId="6791EE80" w:rsidR="006738EC" w:rsidRDefault="006738EC" w:rsidP="00552782">
      <w:pPr>
        <w:autoSpaceDE w:val="0"/>
        <w:autoSpaceDN w:val="0"/>
        <w:adjustRightInd w:val="0"/>
        <w:spacing w:after="0" w:line="240" w:lineRule="auto"/>
        <w:ind w:firstLine="284"/>
        <w:jc w:val="center"/>
        <w:rPr>
          <w:rFonts w:ascii="Garamond" w:eastAsiaTheme="minorHAnsi" w:hAnsi="Garamond"/>
          <w:bCs/>
          <w:i/>
          <w:color w:val="000000"/>
          <w:sz w:val="24"/>
          <w:szCs w:val="24"/>
        </w:rPr>
      </w:pPr>
      <w:r w:rsidRPr="006738EC">
        <w:rPr>
          <w:rFonts w:ascii="Garamond" w:eastAsiaTheme="minorHAnsi" w:hAnsi="Garamond"/>
          <w:bCs/>
          <w:i/>
          <w:color w:val="000000"/>
          <w:sz w:val="24"/>
          <w:szCs w:val="24"/>
        </w:rPr>
        <w:t>(Ndryshuar me</w:t>
      </w:r>
      <w:r>
        <w:rPr>
          <w:rFonts w:ascii="Garamond" w:eastAsiaTheme="minorHAnsi" w:hAnsi="Garamond"/>
          <w:bCs/>
          <w:i/>
          <w:color w:val="000000"/>
          <w:sz w:val="24"/>
          <w:szCs w:val="24"/>
        </w:rPr>
        <w:t xml:space="preserve"> Vendimin nr. </w:t>
      </w:r>
      <w:r w:rsidR="003832F0">
        <w:rPr>
          <w:rFonts w:ascii="Garamond" w:eastAsiaTheme="minorHAnsi" w:hAnsi="Garamond"/>
          <w:bCs/>
          <w:i/>
          <w:color w:val="000000"/>
          <w:sz w:val="24"/>
          <w:szCs w:val="24"/>
        </w:rPr>
        <w:t xml:space="preserve">223, datë </w:t>
      </w:r>
      <w:r>
        <w:rPr>
          <w:rFonts w:ascii="Garamond" w:eastAsiaTheme="minorHAnsi" w:hAnsi="Garamond"/>
          <w:bCs/>
          <w:i/>
          <w:color w:val="000000"/>
          <w:sz w:val="24"/>
          <w:szCs w:val="24"/>
        </w:rPr>
        <w:t>23.10.2024)</w:t>
      </w:r>
    </w:p>
    <w:p w14:paraId="08BF3398" w14:textId="77777777" w:rsidR="006738EC" w:rsidRDefault="006738EC" w:rsidP="006738EC">
      <w:pPr>
        <w:autoSpaceDE w:val="0"/>
        <w:autoSpaceDN w:val="0"/>
        <w:adjustRightInd w:val="0"/>
        <w:spacing w:after="0" w:line="240" w:lineRule="auto"/>
        <w:ind w:firstLine="284"/>
        <w:jc w:val="right"/>
        <w:rPr>
          <w:rFonts w:ascii="Garamond" w:eastAsiaTheme="minorHAnsi" w:hAnsi="Garamond"/>
          <w:bCs/>
          <w:i/>
          <w:color w:val="000000"/>
          <w:sz w:val="24"/>
          <w:szCs w:val="24"/>
        </w:rPr>
      </w:pPr>
      <w:r>
        <w:rPr>
          <w:rFonts w:ascii="Garamond" w:eastAsiaTheme="minorHAnsi" w:hAnsi="Garamond"/>
          <w:bCs/>
          <w:i/>
          <w:color w:val="000000"/>
          <w:sz w:val="24"/>
          <w:szCs w:val="24"/>
        </w:rPr>
        <w:t>(I përditësuar)</w:t>
      </w:r>
    </w:p>
    <w:p w14:paraId="2D8E8D05" w14:textId="28848A1F" w:rsidR="00552782" w:rsidRPr="004A0F8B" w:rsidRDefault="00552782" w:rsidP="00552782">
      <w:pPr>
        <w:autoSpaceDE w:val="0"/>
        <w:autoSpaceDN w:val="0"/>
        <w:adjustRightInd w:val="0"/>
        <w:spacing w:after="0" w:line="240" w:lineRule="auto"/>
        <w:ind w:firstLine="284"/>
        <w:jc w:val="both"/>
        <w:rPr>
          <w:rFonts w:ascii="Garamond" w:eastAsiaTheme="minorHAnsi" w:hAnsi="Garamond"/>
          <w:iCs/>
          <w:color w:val="000000"/>
          <w:sz w:val="24"/>
          <w:szCs w:val="24"/>
        </w:rPr>
      </w:pPr>
      <w:r w:rsidRPr="004A0F8B">
        <w:rPr>
          <w:rFonts w:ascii="Garamond" w:eastAsiaTheme="minorHAnsi" w:hAnsi="Garamond"/>
          <w:color w:val="000000"/>
          <w:sz w:val="24"/>
          <w:szCs w:val="24"/>
        </w:rPr>
        <w:t xml:space="preserve">Në mbështetje të neneve 16 dhe 37, pika 2,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të ligjit nr. 43/2015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Pr="004A0F8B">
        <w:rPr>
          <w:rFonts w:ascii="Garamond" w:eastAsiaTheme="minorHAnsi" w:hAnsi="Garamond"/>
          <w:iCs/>
          <w:color w:val="000000"/>
          <w:sz w:val="24"/>
          <w:szCs w:val="24"/>
        </w:rPr>
        <w:t>“Për sektorin e energjisë elektrike”,</w:t>
      </w:r>
      <w:r w:rsidRPr="004A0F8B">
        <w:rPr>
          <w:rFonts w:ascii="Garamond" w:eastAsiaTheme="minorHAnsi" w:hAnsi="Garamond"/>
          <w:color w:val="000000"/>
          <w:sz w:val="24"/>
          <w:szCs w:val="24"/>
        </w:rPr>
        <w:t xml:space="preserve"> </w:t>
      </w:r>
      <w:r w:rsidR="004A0F8B" w:rsidRPr="004A0F8B">
        <w:rPr>
          <w:rFonts w:ascii="Garamond" w:hAnsi="Garamond"/>
          <w:sz w:val="24"/>
        </w:rPr>
        <w:t>të</w:t>
      </w:r>
      <w:r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 xml:space="preserve">ndryshuar; </w:t>
      </w:r>
      <w:r w:rsidR="004A0F8B" w:rsidRPr="004A0F8B">
        <w:rPr>
          <w:rFonts w:ascii="Garamond" w:hAnsi="Garamond"/>
          <w:sz w:val="24"/>
        </w:rPr>
        <w:t>të</w:t>
      </w:r>
      <w:r w:rsidR="004A0F8B"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 xml:space="preserve">neneve 4,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5,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 dhe 13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4A0F8B">
        <w:rPr>
          <w:rFonts w:ascii="Garamond" w:eastAsiaTheme="minorHAnsi" w:hAnsi="Garamond"/>
          <w:iCs/>
          <w:color w:val="000000"/>
          <w:sz w:val="24"/>
          <w:szCs w:val="24"/>
        </w:rPr>
        <w:t>”</w:t>
      </w:r>
      <w:r w:rsidRPr="004A0F8B">
        <w:rPr>
          <w:rFonts w:ascii="Garamond" w:eastAsiaTheme="minorHAnsi" w:hAnsi="Garamond"/>
          <w:color w:val="000000"/>
          <w:sz w:val="24"/>
          <w:szCs w:val="24"/>
        </w:rPr>
        <w:t>, të miratuar me vend</w:t>
      </w:r>
      <w:bookmarkStart w:id="0" w:name="_GoBack"/>
      <w:bookmarkEnd w:id="0"/>
      <w:r w:rsidRPr="004A0F8B">
        <w:rPr>
          <w:rFonts w:ascii="Garamond" w:eastAsiaTheme="minorHAnsi" w:hAnsi="Garamond"/>
          <w:color w:val="000000"/>
          <w:sz w:val="24"/>
          <w:szCs w:val="24"/>
        </w:rPr>
        <w:t xml:space="preserve">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 xml:space="preserve">të Entit Rregullator të Energjisë (ERE) nr. 109, datë 29.6.2016, </w:t>
      </w:r>
      <w:r w:rsidR="004A0F8B" w:rsidRPr="004A0F8B">
        <w:rPr>
          <w:rFonts w:ascii="Garamond" w:hAnsi="Garamond"/>
          <w:sz w:val="24"/>
        </w:rPr>
        <w:t>të</w:t>
      </w:r>
      <w:r w:rsidRPr="004A0F8B">
        <w:rPr>
          <w:rFonts w:ascii="Garamond" w:eastAsiaTheme="minorHAnsi" w:hAnsi="Garamond"/>
          <w:color w:val="000000"/>
          <w:sz w:val="24"/>
          <w:szCs w:val="24"/>
        </w:rPr>
        <w:t xml:space="preserve"> ndryshuar; si dhe </w:t>
      </w:r>
      <w:r w:rsidR="004A0F8B" w:rsidRPr="004A0F8B">
        <w:rPr>
          <w:rFonts w:ascii="Garamond" w:hAnsi="Garamond"/>
          <w:sz w:val="24"/>
        </w:rPr>
        <w:t>të</w:t>
      </w:r>
      <w:r w:rsidR="004A0F8B" w:rsidRPr="004A0F8B">
        <w:rPr>
          <w:rFonts w:ascii="Garamond" w:eastAsiaTheme="minorHAnsi" w:hAnsi="Garamond"/>
          <w:color w:val="000000"/>
          <w:sz w:val="28"/>
          <w:szCs w:val="24"/>
        </w:rPr>
        <w:t xml:space="preserve"> </w:t>
      </w:r>
      <w:r w:rsidRPr="004A0F8B">
        <w:rPr>
          <w:rFonts w:ascii="Garamond" w:eastAsiaTheme="minorHAnsi" w:hAnsi="Garamond"/>
          <w:color w:val="000000"/>
          <w:sz w:val="24"/>
          <w:szCs w:val="24"/>
        </w:rPr>
        <w:t>nenit 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Rregullores për organizimin, funksionimin dhe procedurat e ERE-</w:t>
      </w:r>
      <w:r w:rsidRPr="004A0F8B">
        <w:rPr>
          <w:rFonts w:ascii="Garamond" w:eastAsiaTheme="minorHAnsi" w:hAnsi="Garamond"/>
          <w:color w:val="000000"/>
          <w:sz w:val="24"/>
          <w:szCs w:val="24"/>
        </w:rPr>
        <w:t>s</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miratuar me vendimin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të ERE-s nr. 96, datë 17.6.2016; Bordi i ERE-s, në mbledhjen e tij të datës 2.7.2024, mbasi shqyrtoi relacionin me nr. 979/12 prot., datë 1.7.2024, të Drejtorisë së Licencimit, Autorizimeve dhe Mbikëqyrjes “</w:t>
      </w:r>
      <w:r w:rsidRPr="004A0F8B">
        <w:rPr>
          <w:rFonts w:ascii="Garamond" w:eastAsiaTheme="minorHAnsi" w:hAnsi="Garamond"/>
          <w:iCs/>
          <w:color w:val="000000"/>
          <w:sz w:val="24"/>
          <w:szCs w:val="24"/>
        </w:rPr>
        <w:t xml:space="preserve">Mbi kërkesën e shoqërisë </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GreeNNat Solar Park Ballsh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sh.p.k. për licencim në veprimtarinë e prodhimit të energjisë elektrike”,</w:t>
      </w:r>
    </w:p>
    <w:p w14:paraId="2A87608F" w14:textId="24E865C8" w:rsidR="00552782" w:rsidRPr="004A0F8B" w:rsidRDefault="004A0F8B" w:rsidP="00552782">
      <w:pPr>
        <w:autoSpaceDE w:val="0"/>
        <w:autoSpaceDN w:val="0"/>
        <w:adjustRightInd w:val="0"/>
        <w:spacing w:after="0" w:line="240" w:lineRule="auto"/>
        <w:ind w:firstLine="284"/>
        <w:jc w:val="both"/>
        <w:rPr>
          <w:rFonts w:ascii="Garamond" w:eastAsiaTheme="minorHAnsi" w:hAnsi="Garamond"/>
          <w:bCs/>
          <w:color w:val="000000"/>
          <w:sz w:val="24"/>
          <w:szCs w:val="24"/>
        </w:rPr>
      </w:pPr>
      <w:r w:rsidRPr="004A0F8B">
        <w:rPr>
          <w:rFonts w:ascii="Garamond" w:eastAsiaTheme="minorHAnsi" w:hAnsi="Garamond"/>
          <w:bCs/>
          <w:color w:val="000000"/>
          <w:sz w:val="24"/>
          <w:szCs w:val="24"/>
        </w:rPr>
        <w:t xml:space="preserve">konstatoi se: </w:t>
      </w:r>
    </w:p>
    <w:p w14:paraId="269009E5" w14:textId="793261DF"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w:t>
      </w:r>
      <w:r w:rsid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Shoqëria “GreeNNat Solar Park Ballsh” sh.p.k., me shkresën e protokolluar në ERE me nr. 979 prot., datë 23.4.2024, ka paraqitur kërkesën për licencim në veprimtarinë e prodhimit të energjisë elektrike nga centrali fotovoltaik, me kapacitet të instaluar 100 </w:t>
      </w:r>
      <w:r w:rsidR="004A0F8B" w:rsidRPr="004A0F8B">
        <w:rPr>
          <w:rFonts w:ascii="Garamond" w:eastAsiaTheme="minorHAnsi" w:hAnsi="Garamond"/>
          <w:color w:val="000000"/>
          <w:sz w:val="24"/>
          <w:szCs w:val="24"/>
        </w:rPr>
        <w:t>mw</w:t>
      </w:r>
      <w:r w:rsidRPr="004A0F8B">
        <w:rPr>
          <w:rFonts w:ascii="Garamond" w:eastAsiaTheme="minorHAnsi" w:hAnsi="Garamond"/>
          <w:color w:val="000000"/>
          <w:sz w:val="24"/>
          <w:szCs w:val="24"/>
        </w:rPr>
        <w:t xml:space="preserve">, me vendndodhje në zonën kadastrale 1090, Njësia Administrative Ballsh, Bashkia Mallakastër, </w:t>
      </w:r>
      <w:r w:rsidR="004A0F8B">
        <w:rPr>
          <w:rFonts w:ascii="Garamond" w:eastAsiaTheme="minorHAnsi" w:hAnsi="Garamond"/>
          <w:color w:val="000000"/>
          <w:sz w:val="24"/>
          <w:szCs w:val="24"/>
        </w:rPr>
        <w:t>q</w:t>
      </w:r>
      <w:r w:rsidRPr="004A0F8B">
        <w:rPr>
          <w:rFonts w:ascii="Garamond" w:eastAsiaTheme="minorHAnsi" w:hAnsi="Garamond"/>
          <w:color w:val="000000"/>
          <w:sz w:val="24"/>
          <w:szCs w:val="24"/>
        </w:rPr>
        <w:t>arku Fier.</w:t>
      </w:r>
    </w:p>
    <w:p w14:paraId="7ED855A7" w14:textId="5550020B"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Bordi i ERE-s, me vendimin nr. 80, datë 2.5.2024, vendosi të fillojë procedurën për licencimin e shoqërisë “GreeNNat Solar Park Ballsh” sh.p.k. në veprimtarinë e prodhimit të energjisë elektrike.</w:t>
      </w:r>
    </w:p>
    <w:p w14:paraId="4C5AE21A" w14:textId="0A10E9DB"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ERE botoi njoftimin në median e shkruar për fillimin e kësaj procedure (në datat 3.5.2024 dhe 4.5.2024) dhe në përfundim të afatit të pritjes së komenteve apo objeksioneve nga të tretët (data 1.6.2024), nuk rezultoi të ketë të tilla. Njoftimi për fillimin e procedurës u botua edhe në faqen e internetit të ERE-s.</w:t>
      </w:r>
    </w:p>
    <w:p w14:paraId="55A0D1CA" w14:textId="3AF3EE72"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ERE</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me shkresën nr. 1481 prot., datë 6.6.2024, ka njoftuar MIE-n mbi fillimin e procedurës së licencimit për shoqërinë</w:t>
      </w:r>
      <w:r w:rsidR="004A0F8B">
        <w:rPr>
          <w:rFonts w:ascii="Garamond" w:eastAsiaTheme="minorHAnsi" w:hAnsi="Garamond"/>
          <w:color w:val="000000"/>
          <w:sz w:val="24"/>
          <w:szCs w:val="24"/>
        </w:rPr>
        <w:t xml:space="preserve"> “</w:t>
      </w:r>
      <w:r w:rsidRPr="004A0F8B">
        <w:rPr>
          <w:rFonts w:ascii="Garamond" w:eastAsiaTheme="minorHAnsi" w:hAnsi="Garamond"/>
          <w:color w:val="000000"/>
          <w:sz w:val="24"/>
          <w:szCs w:val="24"/>
        </w:rPr>
        <w:t>GreeNNat Solar Park Ballsh” sh.p.k. Ndërsa me shkresën nr. 979/3 prot., datë 17.5.2024, ERE i është drejtuar shoqërisë duke i njoftuar vendimin e fillimit të procedurës dhe duke i kërkuar plotësimin e informacionit/dokumentacionit të konstatuar të munguar apo plotësuar pjesërisht.</w:t>
      </w:r>
    </w:p>
    <w:p w14:paraId="159D2420" w14:textId="4E2187B2"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Shoqëria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me shkresat nr. 979/4 prot., datë 29.5.2024, nr. 979/5 prot., datë 31.5.2024, nr. 979/7 prot., datë 19.6.2024, nr. 979/8 prot., datë 26.6.2024 dhe nr. 979/11 prot., datë 28.6.2024, ka përcjellë dokumentacion plotësues të aplikimit.</w:t>
      </w:r>
    </w:p>
    <w:p w14:paraId="487FAF20" w14:textId="5A16E0BE"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Shoqëria ka kryer pagesën e aplikimit sipas përcaktimeve të </w:t>
      </w:r>
      <w:r w:rsidR="004A0F8B">
        <w:rPr>
          <w:rFonts w:ascii="Garamond" w:eastAsiaTheme="minorHAnsi" w:hAnsi="Garamond"/>
          <w:color w:val="000000"/>
          <w:sz w:val="24"/>
          <w:szCs w:val="24"/>
        </w:rPr>
        <w:t>a</w:t>
      </w:r>
      <w:r w:rsidRPr="004A0F8B">
        <w:rPr>
          <w:rFonts w:ascii="Garamond" w:eastAsiaTheme="minorHAnsi" w:hAnsi="Garamond"/>
          <w:color w:val="000000"/>
          <w:sz w:val="24"/>
          <w:szCs w:val="24"/>
        </w:rPr>
        <w:t>neksit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“Rregullores për procedurat dhe afatet për dhënien, modifikimin, transferimin, rinovimin, njohjen dhe heqjen e licencave në sektorin e energjisë elektrike”, miratuar me vendimin e </w:t>
      </w:r>
      <w:r w:rsidR="004A0F8B" w:rsidRPr="004A0F8B">
        <w:rPr>
          <w:rFonts w:ascii="Garamond" w:eastAsiaTheme="minorHAnsi" w:hAnsi="Garamond"/>
          <w:color w:val="000000"/>
          <w:sz w:val="24"/>
          <w:szCs w:val="24"/>
        </w:rPr>
        <w:t xml:space="preserve">Bordit </w:t>
      </w:r>
      <w:r w:rsidRPr="004A0F8B">
        <w:rPr>
          <w:rFonts w:ascii="Garamond" w:eastAsiaTheme="minorHAnsi" w:hAnsi="Garamond"/>
          <w:color w:val="000000"/>
          <w:sz w:val="24"/>
          <w:szCs w:val="24"/>
        </w:rPr>
        <w:t xml:space="preserve">të ERE-s nr. 109, datë 29.6.2016, </w:t>
      </w:r>
      <w:r w:rsidR="004A0F8B" w:rsidRPr="004A0F8B">
        <w:rPr>
          <w:rFonts w:ascii="Garamond" w:hAnsi="Garamond"/>
          <w:sz w:val="24"/>
        </w:rPr>
        <w:t>të</w:t>
      </w:r>
      <w:r w:rsidRPr="004A0F8B">
        <w:rPr>
          <w:rFonts w:ascii="Garamond" w:eastAsiaTheme="minorHAnsi" w:hAnsi="Garamond"/>
          <w:color w:val="000000"/>
          <w:sz w:val="24"/>
          <w:szCs w:val="24"/>
        </w:rPr>
        <w:t xml:space="preserve"> ndryshuar.</w:t>
      </w:r>
    </w:p>
    <w:p w14:paraId="656E2DBF" w14:textId="34ECBD70"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Po ashtu</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nga analizimi i aplikimit, rezulton se shoqëria ka plotësuar tërësisht dokumentacionin</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në zbatim të përcaktimeve të nenit 9 të </w:t>
      </w:r>
      <w:r w:rsidR="004A0F8B">
        <w:rPr>
          <w:rFonts w:ascii="Garamond" w:eastAsiaTheme="minorHAnsi" w:hAnsi="Garamond"/>
          <w:color w:val="000000"/>
          <w:sz w:val="24"/>
          <w:szCs w:val="24"/>
        </w:rPr>
        <w:t>r</w:t>
      </w:r>
      <w:r w:rsidRPr="004A0F8B">
        <w:rPr>
          <w:rFonts w:ascii="Garamond" w:eastAsiaTheme="minorHAnsi" w:hAnsi="Garamond"/>
          <w:color w:val="000000"/>
          <w:sz w:val="24"/>
          <w:szCs w:val="24"/>
        </w:rPr>
        <w:t xml:space="preserve">regullores, për pikën 1.1, </w:t>
      </w:r>
      <w:r w:rsidR="004A0F8B" w:rsidRPr="004A0F8B">
        <w:rPr>
          <w:rFonts w:ascii="Garamond" w:eastAsiaTheme="minorHAnsi" w:hAnsi="Garamond"/>
          <w:color w:val="000000"/>
          <w:sz w:val="24"/>
          <w:szCs w:val="24"/>
        </w:rPr>
        <w:t>germat</w:t>
      </w:r>
      <w:r w:rsidRPr="004A0F8B">
        <w:rPr>
          <w:rFonts w:ascii="Garamond" w:eastAsiaTheme="minorHAnsi" w:hAnsi="Garamond"/>
          <w:color w:val="000000"/>
          <w:sz w:val="24"/>
          <w:szCs w:val="24"/>
        </w:rPr>
        <w:t xml:space="preserve"> “a”, “b” dhe “c”; për pikën 1.2,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“c” dhe “d”; për pikën 1.3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dhe “c”; për pikën 2.1</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“a”, “b”, “c”, “d”, “e” dhe “f”.</w:t>
      </w:r>
    </w:p>
    <w:p w14:paraId="4EDDF165" w14:textId="787A3E50"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Rezulton se shoqëria “GreeNNat Solar Park” sh.p.k.:</w:t>
      </w:r>
    </w:p>
    <w:p w14:paraId="338296F2" w14:textId="158C8ADA"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ka marrë miratimin për</w:t>
      </w:r>
      <w:r w:rsidRPr="004A0F8B">
        <w:rPr>
          <w:rFonts w:ascii="Garamond" w:eastAsiaTheme="minorHAnsi" w:hAnsi="Garamond"/>
          <w:iCs/>
          <w:color w:val="000000"/>
          <w:sz w:val="24"/>
          <w:szCs w:val="24"/>
        </w:rPr>
        <w:t xml:space="preserve"> ndërtimin e centralit gjenerues të energjisë elektrike fotovoltaike dhe veprave ndihmëse, i cili nuk është objekt koncesioni, në zonën kadastrale 1090, Njësia Administrative </w:t>
      </w:r>
      <w:r w:rsidRPr="004A0F8B">
        <w:rPr>
          <w:rFonts w:ascii="Garamond" w:eastAsiaTheme="minorHAnsi" w:hAnsi="Garamond"/>
          <w:iCs/>
          <w:color w:val="000000"/>
          <w:sz w:val="24"/>
          <w:szCs w:val="24"/>
        </w:rPr>
        <w:lastRenderedPageBreak/>
        <w:t>Ballsh, Bashkia</w:t>
      </w:r>
      <w:r w:rsidR="004A0F8B">
        <w:rPr>
          <w:rFonts w:ascii="Garamond" w:eastAsiaTheme="minorHAnsi" w:hAnsi="Garamond"/>
          <w:iCs/>
          <w:color w:val="000000"/>
          <w:sz w:val="24"/>
          <w:szCs w:val="24"/>
        </w:rPr>
        <w:t xml:space="preserve"> </w:t>
      </w:r>
      <w:r w:rsidRPr="004A0F8B">
        <w:rPr>
          <w:rFonts w:ascii="Garamond" w:eastAsiaTheme="minorHAnsi" w:hAnsi="Garamond"/>
          <w:iCs/>
          <w:color w:val="000000"/>
          <w:sz w:val="24"/>
          <w:szCs w:val="24"/>
        </w:rPr>
        <w:t xml:space="preserve">Mallakastër, </w:t>
      </w:r>
      <w:r w:rsidR="004A0F8B">
        <w:rPr>
          <w:rFonts w:ascii="Garamond" w:eastAsiaTheme="minorHAnsi" w:hAnsi="Garamond"/>
          <w:iCs/>
          <w:color w:val="000000"/>
          <w:sz w:val="24"/>
          <w:szCs w:val="24"/>
        </w:rPr>
        <w:t>q</w:t>
      </w:r>
      <w:r w:rsidRPr="004A0F8B">
        <w:rPr>
          <w:rFonts w:ascii="Garamond" w:eastAsiaTheme="minorHAnsi" w:hAnsi="Garamond"/>
          <w:iCs/>
          <w:color w:val="000000"/>
          <w:sz w:val="24"/>
          <w:szCs w:val="24"/>
        </w:rPr>
        <w:t>arku Fier</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nga shoqëria “</w:t>
      </w:r>
      <w:r w:rsidR="004A0F8B" w:rsidRPr="004A0F8B">
        <w:rPr>
          <w:rFonts w:ascii="Garamond" w:eastAsiaTheme="minorHAnsi" w:hAnsi="Garamond"/>
          <w:color w:val="000000"/>
          <w:sz w:val="24"/>
          <w:szCs w:val="24"/>
        </w:rPr>
        <w:t xml:space="preserve">GreeNNat </w:t>
      </w:r>
      <w:r w:rsidR="004A0F8B" w:rsidRPr="004A0F8B">
        <w:rPr>
          <w:rFonts w:ascii="Garamond" w:eastAsiaTheme="minorHAnsi" w:hAnsi="Garamond"/>
          <w:iCs/>
          <w:color w:val="000000"/>
          <w:sz w:val="24"/>
          <w:szCs w:val="24"/>
        </w:rPr>
        <w:t>Solar Park Ballsh</w:t>
      </w:r>
      <w:r w:rsidRPr="004A0F8B">
        <w:rPr>
          <w:rFonts w:ascii="Garamond" w:eastAsiaTheme="minorHAnsi" w:hAnsi="Garamond"/>
          <w:iCs/>
          <w:color w:val="000000"/>
          <w:sz w:val="24"/>
          <w:szCs w:val="24"/>
        </w:rPr>
        <w:t>” 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p</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k</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me</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v</w:t>
      </w:r>
      <w:r w:rsidRPr="004A0F8B">
        <w:rPr>
          <w:rFonts w:ascii="Garamond" w:eastAsiaTheme="minorHAnsi" w:hAnsi="Garamond"/>
          <w:color w:val="000000"/>
          <w:sz w:val="24"/>
          <w:szCs w:val="24"/>
        </w:rPr>
        <w:t>endimin e Këshillit të Ministrave nr. 6, datë 11.1.2023;</w:t>
      </w:r>
    </w:p>
    <w:p w14:paraId="33E580EE" w14:textId="5ACA2CE7"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ka nënshkruar me Ministrinë e Infrastrukturës dhe Energjisë </w:t>
      </w:r>
      <w:r w:rsidR="004A0F8B">
        <w:rPr>
          <w:rFonts w:ascii="Garamond" w:eastAsiaTheme="minorHAnsi" w:hAnsi="Garamond"/>
          <w:color w:val="000000"/>
          <w:sz w:val="24"/>
          <w:szCs w:val="24"/>
        </w:rPr>
        <w:t>k</w:t>
      </w:r>
      <w:r w:rsidRPr="004A0F8B">
        <w:rPr>
          <w:rFonts w:ascii="Garamond" w:eastAsiaTheme="minorHAnsi" w:hAnsi="Garamond"/>
          <w:color w:val="000000"/>
          <w:sz w:val="24"/>
          <w:szCs w:val="24"/>
        </w:rPr>
        <w:t>ontratën nr. 31 rep., nr. 13/5 kol., datë 27.1.2023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Pr="004A0F8B">
        <w:rPr>
          <w:rFonts w:ascii="Garamond" w:eastAsiaTheme="minorHAnsi" w:hAnsi="Garamond"/>
          <w:iCs/>
          <w:color w:val="000000"/>
          <w:sz w:val="24"/>
          <w:szCs w:val="24"/>
        </w:rPr>
        <w:t xml:space="preserve">Për ndërtimin, shfrytëzimin dhe administrimin e centralit gjenerues të energjisë elektrike fotovoltaike, me kapacitet prodhues 100 </w:t>
      </w:r>
      <w:r w:rsidR="004A0F8B" w:rsidRPr="004A0F8B">
        <w:rPr>
          <w:rFonts w:ascii="Garamond" w:eastAsiaTheme="minorHAnsi" w:hAnsi="Garamond"/>
          <w:iCs/>
          <w:color w:val="000000"/>
          <w:sz w:val="24"/>
          <w:szCs w:val="24"/>
        </w:rPr>
        <w:t>mw</w:t>
      </w:r>
      <w:r w:rsidRPr="004A0F8B">
        <w:rPr>
          <w:rFonts w:ascii="Garamond" w:eastAsiaTheme="minorHAnsi" w:hAnsi="Garamond"/>
          <w:iCs/>
          <w:color w:val="000000"/>
          <w:sz w:val="24"/>
          <w:szCs w:val="24"/>
        </w:rPr>
        <w:t xml:space="preserve"> dhe veprave ndihmëse, i cili nuk është objekt koncesioni, në zonën kadastrale 1090, Njësia Administrative Ballsh, Bashkia</w:t>
      </w:r>
      <w:r w:rsidR="004A0F8B">
        <w:rPr>
          <w:rFonts w:ascii="Garamond" w:eastAsiaTheme="minorHAnsi" w:hAnsi="Garamond"/>
          <w:iCs/>
          <w:color w:val="000000"/>
          <w:sz w:val="24"/>
          <w:szCs w:val="24"/>
        </w:rPr>
        <w:t xml:space="preserve"> </w:t>
      </w:r>
      <w:r w:rsidRPr="004A0F8B">
        <w:rPr>
          <w:rFonts w:ascii="Garamond" w:eastAsiaTheme="minorHAnsi" w:hAnsi="Garamond"/>
          <w:iCs/>
          <w:color w:val="000000"/>
          <w:sz w:val="24"/>
          <w:szCs w:val="24"/>
        </w:rPr>
        <w:t xml:space="preserve">Mallakastër, </w:t>
      </w:r>
      <w:r w:rsidR="004A0F8B">
        <w:rPr>
          <w:rFonts w:ascii="Garamond" w:eastAsiaTheme="minorHAnsi" w:hAnsi="Garamond"/>
          <w:iCs/>
          <w:color w:val="000000"/>
          <w:sz w:val="24"/>
          <w:szCs w:val="24"/>
        </w:rPr>
        <w:t>q</w:t>
      </w:r>
      <w:r w:rsidRPr="004A0F8B">
        <w:rPr>
          <w:rFonts w:ascii="Garamond" w:eastAsiaTheme="minorHAnsi" w:hAnsi="Garamond"/>
          <w:iCs/>
          <w:color w:val="000000"/>
          <w:sz w:val="24"/>
          <w:szCs w:val="24"/>
        </w:rPr>
        <w:t>arku Fier nga shoqëria “</w:t>
      </w:r>
      <w:r w:rsidR="004A0F8B" w:rsidRPr="004A0F8B">
        <w:rPr>
          <w:rFonts w:ascii="Garamond" w:eastAsiaTheme="minorHAnsi" w:hAnsi="Garamond"/>
          <w:color w:val="000000"/>
          <w:sz w:val="24"/>
          <w:szCs w:val="24"/>
        </w:rPr>
        <w:t xml:space="preserve">GreeNNat </w:t>
      </w:r>
      <w:r w:rsidR="004A0F8B" w:rsidRPr="004A0F8B">
        <w:rPr>
          <w:rFonts w:ascii="Garamond" w:eastAsiaTheme="minorHAnsi" w:hAnsi="Garamond"/>
          <w:iCs/>
          <w:color w:val="000000"/>
          <w:sz w:val="24"/>
          <w:szCs w:val="24"/>
        </w:rPr>
        <w:t>Solar Park Ballsh</w:t>
      </w:r>
      <w:r w:rsidRPr="004A0F8B">
        <w:rPr>
          <w:rFonts w:ascii="Garamond" w:eastAsiaTheme="minorHAnsi" w:hAnsi="Garamond"/>
          <w:iCs/>
          <w:color w:val="000000"/>
          <w:sz w:val="24"/>
          <w:szCs w:val="24"/>
        </w:rPr>
        <w:t>” sh</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p</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k</w:t>
      </w:r>
      <w:r w:rsidR="004A0F8B">
        <w:rPr>
          <w:rFonts w:ascii="Garamond" w:eastAsiaTheme="minorHAnsi" w:hAnsi="Garamond"/>
          <w:iCs/>
          <w:color w:val="000000"/>
          <w:sz w:val="24"/>
          <w:szCs w:val="24"/>
        </w:rPr>
        <w:t>.</w:t>
      </w:r>
      <w:r w:rsidRPr="004A0F8B">
        <w:rPr>
          <w:rFonts w:ascii="Garamond" w:eastAsiaTheme="minorHAnsi" w:hAnsi="Garamond"/>
          <w:iCs/>
          <w:color w:val="000000"/>
          <w:sz w:val="24"/>
          <w:szCs w:val="24"/>
        </w:rPr>
        <w:t xml:space="preserve">”; </w:t>
      </w:r>
    </w:p>
    <w:p w14:paraId="068FFB16" w14:textId="044B3BE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ka </w:t>
      </w:r>
      <w:r w:rsidR="004A0F8B" w:rsidRPr="004A0F8B">
        <w:rPr>
          <w:rFonts w:ascii="Garamond" w:eastAsiaTheme="minorHAnsi" w:hAnsi="Garamond"/>
          <w:color w:val="000000"/>
          <w:sz w:val="24"/>
          <w:szCs w:val="24"/>
        </w:rPr>
        <w:t>nënshkruar</w:t>
      </w:r>
      <w:r w:rsidRPr="004A0F8B">
        <w:rPr>
          <w:rFonts w:ascii="Garamond" w:eastAsiaTheme="minorHAnsi" w:hAnsi="Garamond"/>
          <w:color w:val="000000"/>
          <w:sz w:val="24"/>
          <w:szCs w:val="24"/>
        </w:rPr>
        <w:t xml:space="preserve"> me shoqërinë “Operatori i Sistemit të </w:t>
      </w:r>
      <w:r w:rsidR="004A0F8B" w:rsidRPr="004A0F8B">
        <w:rPr>
          <w:rFonts w:ascii="Garamond" w:eastAsiaTheme="minorHAnsi" w:hAnsi="Garamond"/>
          <w:color w:val="000000"/>
          <w:sz w:val="24"/>
          <w:szCs w:val="24"/>
        </w:rPr>
        <w:t>Transmetimit</w:t>
      </w:r>
      <w:r w:rsidRPr="004A0F8B">
        <w:rPr>
          <w:rFonts w:ascii="Garamond" w:eastAsiaTheme="minorHAnsi" w:hAnsi="Garamond"/>
          <w:color w:val="000000"/>
          <w:sz w:val="24"/>
          <w:szCs w:val="24"/>
        </w:rPr>
        <w:t>” marrëveshjen nr. 1966/2 prot., datë 17.4.2020, për lidhjen e parkut fotovoltaik me rrjetin e transmetimit të OST sh.a.;</w:t>
      </w:r>
    </w:p>
    <w:p w14:paraId="5CA03F8D" w14:textId="60C3315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është pajisur me </w:t>
      </w:r>
      <w:r w:rsidR="004A0F8B">
        <w:rPr>
          <w:rFonts w:ascii="Garamond" w:eastAsiaTheme="minorHAnsi" w:hAnsi="Garamond"/>
          <w:color w:val="000000"/>
          <w:sz w:val="24"/>
          <w:szCs w:val="24"/>
        </w:rPr>
        <w:t>v</w:t>
      </w:r>
      <w:r w:rsidRPr="004A0F8B">
        <w:rPr>
          <w:rFonts w:ascii="Garamond" w:eastAsiaTheme="minorHAnsi" w:hAnsi="Garamond"/>
          <w:color w:val="000000"/>
          <w:sz w:val="24"/>
          <w:szCs w:val="24"/>
        </w:rPr>
        <w:t>endim për VNM</w:t>
      </w:r>
      <w:r w:rsidR="004A0F8B">
        <w:rPr>
          <w:rFonts w:ascii="Garamond" w:eastAsiaTheme="minorHAnsi" w:hAnsi="Garamond"/>
          <w:color w:val="000000"/>
          <w:sz w:val="24"/>
          <w:szCs w:val="24"/>
        </w:rPr>
        <w:t>-në</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p</w:t>
      </w:r>
      <w:r w:rsidRPr="004A0F8B">
        <w:rPr>
          <w:rFonts w:ascii="Garamond" w:eastAsiaTheme="minorHAnsi" w:hAnsi="Garamond"/>
          <w:color w:val="000000"/>
          <w:sz w:val="24"/>
          <w:szCs w:val="24"/>
        </w:rPr>
        <w:t>araprake, lëshuar më datë 24.6.2024</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nga Agjencia Kombëtare e Mjedisit, për të zhvilluar projektin “Ndërtimi i centralit fotovoltaik </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GreeNNat Solar Park</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100 </w:t>
      </w:r>
      <w:r w:rsidR="004A0F8B">
        <w:rPr>
          <w:rFonts w:ascii="Garamond" w:eastAsiaTheme="minorHAnsi" w:hAnsi="Garamond"/>
          <w:color w:val="000000"/>
          <w:sz w:val="24"/>
          <w:szCs w:val="24"/>
        </w:rPr>
        <w:t>mw</w:t>
      </w:r>
      <w:r w:rsidRPr="004A0F8B">
        <w:rPr>
          <w:rFonts w:ascii="Garamond" w:eastAsiaTheme="minorHAnsi" w:hAnsi="Garamond"/>
          <w:color w:val="000000"/>
          <w:sz w:val="24"/>
          <w:szCs w:val="24"/>
        </w:rPr>
        <w:t>”.</w:t>
      </w:r>
    </w:p>
    <w:p w14:paraId="0AB2E5C8" w14:textId="3B489AF1"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Në rast se pas nënshkrimit të marrëveshjes së kredisë, do të ndryshojë mënyra e financimit të projektit nga sa parashikuar në planin e biznesit, shoqëria mbart detyrimin për të depozituar këtë plan të rishikuar në ERE.</w:t>
      </w:r>
    </w:p>
    <w:p w14:paraId="0C25F02B" w14:textId="3C5B3DFC"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 xml:space="preserve">ERE, në zbatim të nenit 38,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ligjit nr. 43/2015</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“Për sektorin e energjisë elektrike”, </w:t>
      </w:r>
      <w:r w:rsidR="004A0F8B" w:rsidRPr="004A0F8B">
        <w:rPr>
          <w:rFonts w:ascii="Garamond" w:eastAsiaTheme="minorHAnsi" w:hAnsi="Garamond"/>
          <w:color w:val="000000"/>
          <w:sz w:val="24"/>
          <w:szCs w:val="24"/>
        </w:rPr>
        <w:t>të</w:t>
      </w:r>
      <w:r w:rsidRPr="004A0F8B">
        <w:rPr>
          <w:rFonts w:ascii="Garamond" w:eastAsiaTheme="minorHAnsi" w:hAnsi="Garamond"/>
          <w:color w:val="000000"/>
          <w:sz w:val="24"/>
          <w:szCs w:val="24"/>
        </w:rPr>
        <w:t xml:space="preserve"> ndryshuar, dhe </w:t>
      </w:r>
      <w:r w:rsidR="004A0F8B" w:rsidRPr="004A0F8B">
        <w:rPr>
          <w:rFonts w:ascii="Garamond" w:eastAsiaTheme="minorHAnsi" w:hAnsi="Garamond"/>
          <w:color w:val="000000"/>
          <w:sz w:val="24"/>
          <w:szCs w:val="24"/>
        </w:rPr>
        <w:t xml:space="preserve">të </w:t>
      </w:r>
      <w:r w:rsidRPr="004A0F8B">
        <w:rPr>
          <w:rFonts w:ascii="Garamond" w:eastAsiaTheme="minorHAnsi" w:hAnsi="Garamond"/>
          <w:color w:val="000000"/>
          <w:sz w:val="24"/>
          <w:szCs w:val="24"/>
        </w:rPr>
        <w:t xml:space="preserve">nenit 5, pika 1,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“a”</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“Rregullores për procedurat dhe afatet për dhënien, modifikimin, transferimin, rinovimin, njohjen dhe heqjen e licencave në sektorin e energjisë elektrike”, lëshon një licencë për veprimtarinë e prodhimit të energjisë elektrike deri në 30 vjet. Në rastin konkret</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shoqëria ka informuar se jetëgjatësia e paneleve është 25 vjet, ndaj ERE kushtëzohet nga kjo jetëgjatësi në përcaktimin e afatit të vlefshmërisë së licencës</w:t>
      </w:r>
      <w:r w:rsidR="004A0F8B">
        <w:rPr>
          <w:rFonts w:ascii="Garamond" w:eastAsiaTheme="minorHAnsi" w:hAnsi="Garamond"/>
          <w:color w:val="000000"/>
          <w:sz w:val="24"/>
          <w:szCs w:val="24"/>
        </w:rPr>
        <w:t>.</w:t>
      </w:r>
    </w:p>
    <w:p w14:paraId="267B522D" w14:textId="0CBB7E0E"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Në pikën 1</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w:t>
      </w:r>
      <w:r w:rsidR="004A0F8B" w:rsidRPr="004A0F8B">
        <w:rPr>
          <w:rFonts w:ascii="Garamond" w:eastAsiaTheme="minorHAnsi" w:hAnsi="Garamond"/>
          <w:color w:val="000000"/>
          <w:sz w:val="24"/>
          <w:szCs w:val="24"/>
        </w:rPr>
        <w:t>germa</w:t>
      </w:r>
      <w:r w:rsidRPr="004A0F8B">
        <w:rPr>
          <w:rFonts w:ascii="Garamond" w:eastAsiaTheme="minorHAnsi" w:hAnsi="Garamond"/>
          <w:color w:val="000000"/>
          <w:sz w:val="24"/>
          <w:szCs w:val="24"/>
        </w:rPr>
        <w:t xml:space="preserve"> “d”</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të VKM-së nr. 6, datë 11.1.2023</w:t>
      </w:r>
      <w:r w:rsidR="004A0F8B">
        <w:rPr>
          <w:rFonts w:ascii="Garamond" w:eastAsiaTheme="minorHAnsi" w:hAnsi="Garamond"/>
          <w:color w:val="000000"/>
          <w:sz w:val="24"/>
          <w:szCs w:val="24"/>
        </w:rPr>
        <w:t>,</w:t>
      </w:r>
      <w:r w:rsidRPr="004A0F8B">
        <w:rPr>
          <w:rFonts w:ascii="Garamond" w:eastAsiaTheme="minorHAnsi" w:hAnsi="Garamond"/>
          <w:color w:val="000000"/>
          <w:sz w:val="24"/>
          <w:szCs w:val="24"/>
        </w:rPr>
        <w:t xml:space="preserve"> përcaktohet se: </w:t>
      </w:r>
      <w:r w:rsidR="004A0F8B">
        <w:rPr>
          <w:rFonts w:ascii="Garamond" w:eastAsiaTheme="minorHAnsi" w:hAnsi="Garamond"/>
          <w:color w:val="000000"/>
          <w:sz w:val="24"/>
          <w:szCs w:val="24"/>
        </w:rPr>
        <w:t>“</w:t>
      </w:r>
      <w:r w:rsidRPr="004A0F8B">
        <w:rPr>
          <w:rFonts w:ascii="Garamond" w:eastAsiaTheme="minorHAnsi" w:hAnsi="Garamond"/>
          <w:iCs/>
          <w:color w:val="000000"/>
          <w:sz w:val="24"/>
          <w:szCs w:val="24"/>
        </w:rPr>
        <w:t>Koha për ndërtimin, pajisjen me lejen e ndërtimit dhe vënien në operim të parkut fotovoltaik do të jetë brenda 60 (gjashtëdhjetë) muajve nga hyrja në fuqi e këtij vendimi</w:t>
      </w:r>
      <w:r w:rsidRPr="004A0F8B">
        <w:rPr>
          <w:rFonts w:ascii="Garamond" w:eastAsiaTheme="minorHAnsi" w:hAnsi="Garamond"/>
          <w:color w:val="000000"/>
          <w:sz w:val="24"/>
          <w:szCs w:val="24"/>
        </w:rPr>
        <w:t xml:space="preserve"> (pra brenda datës 11.1.2028) dhe në nenin 9, pika 2 </w:t>
      </w:r>
      <w:r w:rsidR="004A0F8B" w:rsidRPr="004A0F8B">
        <w:rPr>
          <w:rFonts w:ascii="Garamond" w:eastAsiaTheme="minorHAnsi" w:hAnsi="Garamond"/>
          <w:color w:val="000000"/>
          <w:sz w:val="24"/>
          <w:szCs w:val="24"/>
        </w:rPr>
        <w:t>të</w:t>
      </w:r>
      <w:r w:rsidRPr="004A0F8B">
        <w:rPr>
          <w:rFonts w:ascii="Garamond" w:eastAsiaTheme="minorHAnsi" w:hAnsi="Garamond"/>
          <w:color w:val="000000"/>
          <w:sz w:val="24"/>
          <w:szCs w:val="24"/>
        </w:rPr>
        <w:t xml:space="preserve"> </w:t>
      </w:r>
      <w:r w:rsidR="004A0F8B">
        <w:rPr>
          <w:rFonts w:ascii="Garamond" w:eastAsiaTheme="minorHAnsi" w:hAnsi="Garamond"/>
          <w:color w:val="000000"/>
          <w:sz w:val="24"/>
          <w:szCs w:val="24"/>
        </w:rPr>
        <w:t>k</w:t>
      </w:r>
      <w:r w:rsidRPr="004A0F8B">
        <w:rPr>
          <w:rFonts w:ascii="Garamond" w:eastAsiaTheme="minorHAnsi" w:hAnsi="Garamond"/>
          <w:color w:val="000000"/>
          <w:sz w:val="24"/>
          <w:szCs w:val="24"/>
        </w:rPr>
        <w:t>ontratës së nënshkruar me MIE-n parashikohet se ky afat do jetë sipas përcaktimeve të VKM-së.</w:t>
      </w:r>
      <w:r w:rsidR="004A0F8B">
        <w:rPr>
          <w:rFonts w:ascii="Garamond" w:eastAsiaTheme="minorHAnsi" w:hAnsi="Garamond"/>
          <w:color w:val="000000"/>
          <w:sz w:val="24"/>
          <w:szCs w:val="24"/>
        </w:rPr>
        <w:t>”.</w:t>
      </w:r>
    </w:p>
    <w:p w14:paraId="640C56CC" w14:textId="3C73EDA6" w:rsidR="00552782" w:rsidRPr="004A0F8B" w:rsidRDefault="00552782" w:rsidP="0055278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s="Symbol"/>
          <w:color w:val="000000"/>
          <w:sz w:val="24"/>
          <w:szCs w:val="24"/>
        </w:rPr>
        <w:t xml:space="preserve">- </w:t>
      </w:r>
      <w:r w:rsidRPr="004A0F8B">
        <w:rPr>
          <w:rFonts w:ascii="Garamond" w:eastAsiaTheme="minorHAnsi" w:hAnsi="Garamond"/>
          <w:color w:val="000000"/>
          <w:sz w:val="24"/>
          <w:szCs w:val="24"/>
        </w:rPr>
        <w:t>Shoqëria ka parashikuar operimin e centralit të saj në datën 1.6.2028, por vlerësohet që afati 25-vjeçar i licencës për prodhimin e energjisë elektrike të fillojë nga data e parashikuar nga VKM-ja për operimin e centralit, pra 11.1.2028.</w:t>
      </w:r>
    </w:p>
    <w:p w14:paraId="400C352E" w14:textId="616BBF49" w:rsidR="00552782" w:rsidRPr="004A0F8B"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4A0F8B">
        <w:rPr>
          <w:rFonts w:ascii="Garamond" w:eastAsiaTheme="minorHAnsi" w:hAnsi="Garamond"/>
          <w:color w:val="000000"/>
          <w:sz w:val="24"/>
          <w:szCs w:val="24"/>
        </w:rPr>
        <w:t xml:space="preserve">Për gjithë sa më sipër, </w:t>
      </w:r>
      <w:r w:rsidR="004A0F8B" w:rsidRPr="004A0F8B">
        <w:rPr>
          <w:rFonts w:ascii="Garamond" w:eastAsiaTheme="minorHAnsi" w:hAnsi="Garamond"/>
          <w:color w:val="000000"/>
          <w:sz w:val="24"/>
          <w:szCs w:val="24"/>
        </w:rPr>
        <w:t xml:space="preserve">Bordi </w:t>
      </w:r>
      <w:r w:rsidRPr="004A0F8B">
        <w:rPr>
          <w:rFonts w:ascii="Garamond" w:eastAsiaTheme="minorHAnsi" w:hAnsi="Garamond"/>
          <w:color w:val="000000"/>
          <w:sz w:val="24"/>
          <w:szCs w:val="24"/>
        </w:rPr>
        <w:t>i ERE-s</w:t>
      </w:r>
    </w:p>
    <w:p w14:paraId="30820C49" w14:textId="77777777" w:rsidR="00552782" w:rsidRPr="004A0F8B" w:rsidRDefault="00552782" w:rsidP="0055278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F6107B8" w14:textId="0396586E" w:rsidR="00552782" w:rsidRPr="00552782" w:rsidRDefault="00552782" w:rsidP="00552782">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782">
        <w:rPr>
          <w:rFonts w:ascii="Garamond" w:eastAsiaTheme="minorHAnsi" w:hAnsi="Garamond"/>
          <w:bCs/>
          <w:color w:val="000000"/>
          <w:sz w:val="24"/>
          <w:szCs w:val="24"/>
        </w:rPr>
        <w:t>VENDOSI:</w:t>
      </w:r>
    </w:p>
    <w:p w14:paraId="3871E7CC"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7FC00A1" w14:textId="29B101BF" w:rsidR="006738EC" w:rsidRPr="006738EC" w:rsidRDefault="00552782" w:rsidP="006738EC">
      <w:pPr>
        <w:pStyle w:val="ListParagraph"/>
        <w:spacing w:after="0" w:line="240" w:lineRule="auto"/>
        <w:ind w:left="0" w:firstLine="284"/>
        <w:jc w:val="both"/>
        <w:rPr>
          <w:rFonts w:ascii="Garamond" w:hAnsi="Garamond"/>
          <w:i/>
          <w:sz w:val="24"/>
          <w:szCs w:val="24"/>
        </w:rPr>
      </w:pPr>
      <w:r w:rsidRPr="006738EC">
        <w:rPr>
          <w:rFonts w:ascii="Garamond" w:eastAsiaTheme="minorHAnsi" w:hAnsi="Garamond"/>
          <w:i/>
          <w:color w:val="000000"/>
          <w:sz w:val="24"/>
          <w:szCs w:val="24"/>
        </w:rPr>
        <w:t>1.</w:t>
      </w:r>
      <w:r w:rsidR="006738EC" w:rsidRPr="006738EC">
        <w:rPr>
          <w:rFonts w:ascii="Garamond" w:hAnsi="Garamond"/>
          <w:i/>
          <w:sz w:val="24"/>
          <w:szCs w:val="24"/>
        </w:rPr>
        <w:t xml:space="preserve"> </w:t>
      </w:r>
      <w:r w:rsidR="006738EC" w:rsidRPr="006738EC">
        <w:rPr>
          <w:rFonts w:ascii="Garamond" w:hAnsi="Garamond"/>
          <w:i/>
          <w:sz w:val="24"/>
          <w:szCs w:val="24"/>
        </w:rPr>
        <w:t>Të licencojë shoqërinë “GreeNNat Solar Park Ballsh” sh.p.k., në veprimtarinë e prodhimit të energjisë elektrike nga centrali fotovoltaik, me kapacitet prodhues 100 mw, me vendndodhje në zonën kadastrale 1090, Njësia Administrative Ballsh, Bashkia Mallakastër, qarku Fier, për një afat 25-vjeçar.</w:t>
      </w:r>
    </w:p>
    <w:p w14:paraId="17F25F09" w14:textId="069CCD63"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Pr="00552782">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552782">
        <w:rPr>
          <w:rFonts w:ascii="Garamond" w:eastAsiaTheme="minorHAnsi" w:hAnsi="Garamond"/>
          <w:color w:val="000000"/>
          <w:sz w:val="24"/>
          <w:szCs w:val="24"/>
        </w:rPr>
        <w:t xml:space="preserve">Drejtoria e Licencimit, Autorizimeve dhe Mbikëqyrjes të njoftojë shoqërinë “GreeNNat Solar Park Ballsh” sh.p.k. dhe Ministrinë e Infrastrukturës dhe Energjisë për vendimin e </w:t>
      </w:r>
      <w:r w:rsidR="004A0F8B" w:rsidRPr="00552782">
        <w:rPr>
          <w:rFonts w:ascii="Garamond" w:eastAsiaTheme="minorHAnsi" w:hAnsi="Garamond"/>
          <w:color w:val="000000"/>
          <w:sz w:val="24"/>
          <w:szCs w:val="24"/>
        </w:rPr>
        <w:t xml:space="preserve">Bordit </w:t>
      </w:r>
      <w:r w:rsidRPr="00552782">
        <w:rPr>
          <w:rFonts w:ascii="Garamond" w:eastAsiaTheme="minorHAnsi" w:hAnsi="Garamond"/>
          <w:color w:val="000000"/>
          <w:sz w:val="24"/>
          <w:szCs w:val="24"/>
        </w:rPr>
        <w:t>të ERE-s.</w:t>
      </w:r>
    </w:p>
    <w:p w14:paraId="66AD44A8" w14:textId="77777777" w:rsidR="006738EC" w:rsidRPr="006738EC" w:rsidRDefault="006738EC" w:rsidP="006738EC">
      <w:pPr>
        <w:spacing w:after="0" w:line="240" w:lineRule="auto"/>
        <w:ind w:firstLine="284"/>
        <w:jc w:val="both"/>
        <w:rPr>
          <w:rFonts w:ascii="Garamond" w:hAnsi="Garamond"/>
          <w:i/>
          <w:sz w:val="24"/>
          <w:szCs w:val="24"/>
        </w:rPr>
      </w:pPr>
      <w:r w:rsidRPr="006738EC">
        <w:rPr>
          <w:rFonts w:ascii="Garamond" w:hAnsi="Garamond"/>
          <w:i/>
          <w:sz w:val="24"/>
          <w:szCs w:val="24"/>
        </w:rPr>
        <w:t xml:space="preserve">3. Shoqëria të fillojë ushtrimin e veprimtarisë së prodhimit të energjisë elektrike për kapacitetin e instaluar prej 25 mw me hyrjen në fuqi të këtyre ndryshimeve. </w:t>
      </w:r>
    </w:p>
    <w:p w14:paraId="202FC97C" w14:textId="77777777" w:rsidR="006738EC" w:rsidRPr="006738EC" w:rsidRDefault="006738EC" w:rsidP="006738EC">
      <w:pPr>
        <w:spacing w:after="0" w:line="240" w:lineRule="auto"/>
        <w:ind w:firstLine="284"/>
        <w:jc w:val="both"/>
        <w:rPr>
          <w:rFonts w:ascii="Garamond" w:hAnsi="Garamond"/>
          <w:i/>
          <w:sz w:val="24"/>
          <w:szCs w:val="24"/>
        </w:rPr>
      </w:pPr>
      <w:r w:rsidRPr="006738EC">
        <w:rPr>
          <w:rFonts w:ascii="Garamond" w:hAnsi="Garamond"/>
          <w:i/>
          <w:sz w:val="24"/>
          <w:szCs w:val="24"/>
        </w:rPr>
        <w:t xml:space="preserve">4. Shoqëria të fillojë ushtrimin e veprimtarisë së licencuar për kapacitetin e plotë prej 100 mw jo më vonë se data 11.1.2028. </w:t>
      </w:r>
    </w:p>
    <w:p w14:paraId="64515577" w14:textId="77777777" w:rsidR="006738EC" w:rsidRPr="006738EC" w:rsidRDefault="006738EC" w:rsidP="006738EC">
      <w:pPr>
        <w:spacing w:after="0" w:line="240" w:lineRule="auto"/>
        <w:ind w:firstLine="284"/>
        <w:jc w:val="both"/>
        <w:rPr>
          <w:rFonts w:ascii="Garamond" w:hAnsi="Garamond"/>
          <w:i/>
          <w:sz w:val="24"/>
          <w:szCs w:val="24"/>
        </w:rPr>
      </w:pPr>
      <w:r w:rsidRPr="006738EC">
        <w:rPr>
          <w:rFonts w:ascii="Garamond" w:hAnsi="Garamond"/>
          <w:i/>
          <w:sz w:val="24"/>
          <w:szCs w:val="24"/>
        </w:rPr>
        <w:t xml:space="preserve">5. Me fillimin e ushtrimit të veprimtarisë së licencuar, sipas përcaktimeve të pikës 4 të këtij vendimi, pika 3 shfuqizohet. </w:t>
      </w:r>
    </w:p>
    <w:p w14:paraId="5C3D4C10"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 xml:space="preserve">Ky vendim hyn në fuqi menjëherë. </w:t>
      </w:r>
    </w:p>
    <w:p w14:paraId="1593D857" w14:textId="77217296"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4A0F8B" w:rsidRPr="00552782">
        <w:rPr>
          <w:rFonts w:ascii="Garamond" w:eastAsiaTheme="minorHAnsi" w:hAnsi="Garamond"/>
          <w:color w:val="000000"/>
          <w:sz w:val="24"/>
          <w:szCs w:val="24"/>
        </w:rPr>
        <w:t xml:space="preserve">Bordit </w:t>
      </w:r>
      <w:r w:rsidRPr="00552782">
        <w:rPr>
          <w:rFonts w:ascii="Garamond" w:eastAsiaTheme="minorHAnsi" w:hAnsi="Garamond"/>
          <w:color w:val="000000"/>
          <w:sz w:val="24"/>
          <w:szCs w:val="24"/>
        </w:rPr>
        <w:t xml:space="preserve">në rast se ka siguruar prova të reja që mund ta çojnë </w:t>
      </w:r>
      <w:r w:rsidR="004A0F8B" w:rsidRPr="00552782">
        <w:rPr>
          <w:rFonts w:ascii="Garamond" w:eastAsiaTheme="minorHAnsi" w:hAnsi="Garamond"/>
          <w:color w:val="000000"/>
          <w:sz w:val="24"/>
          <w:szCs w:val="24"/>
        </w:rPr>
        <w:t xml:space="preserve">Bordin </w:t>
      </w:r>
      <w:r w:rsidRPr="00552782">
        <w:rPr>
          <w:rFonts w:ascii="Garamond" w:eastAsiaTheme="minorHAnsi" w:hAnsi="Garamond"/>
          <w:color w:val="000000"/>
          <w:sz w:val="24"/>
          <w:szCs w:val="24"/>
        </w:rPr>
        <w:t xml:space="preserve">në marrjen e një vendimi të ndryshëm nga i mëparshmi apo për gabime materiale të </w:t>
      </w:r>
      <w:r w:rsidRPr="00552782">
        <w:rPr>
          <w:rFonts w:ascii="Garamond" w:eastAsiaTheme="minorHAnsi" w:hAnsi="Garamond"/>
          <w:color w:val="000000"/>
          <w:sz w:val="24"/>
          <w:szCs w:val="24"/>
        </w:rPr>
        <w:lastRenderedPageBreak/>
        <w:t>konstatuara. Për këtë vendim mund të bëhet ankim në Gjykatën Administrative Tiranë, brenda 30 ditëve kalendarike nga dita e publikimit në Fletoren Zyrtare.</w:t>
      </w:r>
    </w:p>
    <w:p w14:paraId="63DF494F"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r w:rsidRPr="00552782">
        <w:rPr>
          <w:rFonts w:ascii="Garamond" w:eastAsiaTheme="minorHAnsi" w:hAnsi="Garamond"/>
          <w:color w:val="000000"/>
          <w:sz w:val="24"/>
          <w:szCs w:val="24"/>
        </w:rPr>
        <w:t>Ky vendim botohet në Fletoren Zyrtare.</w:t>
      </w:r>
    </w:p>
    <w:p w14:paraId="080C5563" w14:textId="77777777" w:rsidR="00552782" w:rsidRPr="00552782" w:rsidRDefault="00552782" w:rsidP="00552782">
      <w:pPr>
        <w:autoSpaceDE w:val="0"/>
        <w:autoSpaceDN w:val="0"/>
        <w:adjustRightInd w:val="0"/>
        <w:spacing w:after="0" w:line="240" w:lineRule="auto"/>
        <w:ind w:firstLine="284"/>
        <w:jc w:val="both"/>
        <w:rPr>
          <w:rFonts w:ascii="Garamond" w:eastAsiaTheme="minorHAnsi" w:hAnsi="Garamond"/>
          <w:color w:val="000000"/>
          <w:sz w:val="24"/>
          <w:szCs w:val="24"/>
        </w:rPr>
      </w:pPr>
    </w:p>
    <w:p w14:paraId="5C3469D7" w14:textId="69FC6099" w:rsidR="00552782" w:rsidRPr="00552782" w:rsidRDefault="004A0F8B" w:rsidP="00552782">
      <w:pPr>
        <w:tabs>
          <w:tab w:val="left" w:pos="720"/>
        </w:tabs>
        <w:autoSpaceDE w:val="0"/>
        <w:autoSpaceDN w:val="0"/>
        <w:adjustRightInd w:val="0"/>
        <w:spacing w:after="0" w:line="240" w:lineRule="auto"/>
        <w:ind w:firstLine="284"/>
        <w:jc w:val="right"/>
        <w:rPr>
          <w:rFonts w:ascii="Garamond" w:eastAsiaTheme="minorHAnsi" w:hAnsi="Garamond"/>
          <w:bCs/>
          <w:color w:val="000000"/>
          <w:sz w:val="24"/>
          <w:szCs w:val="24"/>
        </w:rPr>
      </w:pPr>
      <w:r>
        <w:rPr>
          <w:rFonts w:ascii="Garamond" w:eastAsiaTheme="minorHAnsi" w:hAnsi="Garamond"/>
          <w:b/>
          <w:bCs/>
          <w:color w:val="000000"/>
          <w:sz w:val="24"/>
          <w:szCs w:val="24"/>
        </w:rPr>
        <w:t xml:space="preserve"> </w:t>
      </w:r>
      <w:r w:rsidR="00552782" w:rsidRPr="00552782">
        <w:rPr>
          <w:rFonts w:ascii="Garamond" w:eastAsiaTheme="minorHAnsi" w:hAnsi="Garamond"/>
          <w:bCs/>
          <w:color w:val="000000"/>
          <w:sz w:val="24"/>
          <w:szCs w:val="24"/>
        </w:rPr>
        <w:t xml:space="preserve">KRYETAR </w:t>
      </w:r>
    </w:p>
    <w:p w14:paraId="61CD43C1" w14:textId="21FC7294" w:rsidR="00552782" w:rsidRPr="00552782" w:rsidRDefault="00552782" w:rsidP="00552782">
      <w:pPr>
        <w:tabs>
          <w:tab w:val="left" w:pos="72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552782">
        <w:rPr>
          <w:rFonts w:ascii="Garamond" w:eastAsiaTheme="minorHAnsi" w:hAnsi="Garamond"/>
          <w:b/>
          <w:bCs/>
          <w:color w:val="000000"/>
          <w:sz w:val="24"/>
          <w:szCs w:val="24"/>
        </w:rPr>
        <w:t>Petrit Ahmeti</w:t>
      </w:r>
    </w:p>
    <w:p w14:paraId="342A591A" w14:textId="5935DCE7" w:rsidR="003B1D5C" w:rsidRPr="004A0F8B" w:rsidRDefault="00552782" w:rsidP="004A0F8B">
      <w:pPr>
        <w:autoSpaceDE w:val="0"/>
        <w:autoSpaceDN w:val="0"/>
        <w:adjustRightInd w:val="0"/>
        <w:spacing w:after="0" w:line="240" w:lineRule="auto"/>
        <w:ind w:firstLine="284"/>
        <w:jc w:val="center"/>
        <w:rPr>
          <w:rFonts w:ascii="Garamond" w:eastAsiaTheme="minorHAnsi" w:hAnsi="Garamond"/>
          <w:i/>
          <w:iCs/>
          <w:color w:val="000000"/>
          <w:sz w:val="20"/>
          <w:szCs w:val="20"/>
        </w:rPr>
      </w:pPr>
      <w:r w:rsidRPr="00552782">
        <w:rPr>
          <w:rFonts w:ascii="Garamond" w:eastAsiaTheme="minorHAnsi" w:hAnsi="Garamond"/>
          <w:color w:val="000000"/>
        </w:rPr>
        <w:t xml:space="preserve"> </w:t>
      </w:r>
    </w:p>
    <w:sectPr w:rsidR="003B1D5C" w:rsidRPr="004A0F8B" w:rsidSect="004A0F8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F6E6C" w14:textId="77777777" w:rsidR="00F1172D" w:rsidRDefault="00F1172D" w:rsidP="00A12E72">
      <w:pPr>
        <w:spacing w:after="0" w:line="240" w:lineRule="auto"/>
      </w:pPr>
      <w:r>
        <w:separator/>
      </w:r>
    </w:p>
  </w:endnote>
  <w:endnote w:type="continuationSeparator" w:id="0">
    <w:p w14:paraId="0A46FA87" w14:textId="77777777" w:rsidR="00F1172D" w:rsidRDefault="00F1172D" w:rsidP="00A12E72">
      <w:pPr>
        <w:spacing w:after="0" w:line="240" w:lineRule="auto"/>
      </w:pPr>
      <w:r>
        <w:continuationSeparator/>
      </w:r>
    </w:p>
  </w:endnote>
  <w:endnote w:type="continuationNotice" w:id="1">
    <w:p w14:paraId="572AA653" w14:textId="77777777" w:rsidR="00F1172D" w:rsidRDefault="00F11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1F0E0" w14:textId="77777777" w:rsidR="00F1172D" w:rsidRDefault="00F1172D" w:rsidP="00A12E72">
      <w:pPr>
        <w:spacing w:after="0" w:line="240" w:lineRule="auto"/>
      </w:pPr>
      <w:r>
        <w:separator/>
      </w:r>
    </w:p>
  </w:footnote>
  <w:footnote w:type="continuationSeparator" w:id="0">
    <w:p w14:paraId="6D3C0275" w14:textId="77777777" w:rsidR="00F1172D" w:rsidRDefault="00F1172D" w:rsidP="00A12E72">
      <w:pPr>
        <w:spacing w:after="0" w:line="240" w:lineRule="auto"/>
      </w:pPr>
      <w:r>
        <w:continuationSeparator/>
      </w:r>
    </w:p>
  </w:footnote>
  <w:footnote w:type="continuationNotice" w:id="1">
    <w:p w14:paraId="0A8E87F5" w14:textId="77777777" w:rsidR="00F1172D" w:rsidRDefault="00F117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95C6B"/>
    <w:multiLevelType w:val="hybridMultilevel"/>
    <w:tmpl w:val="1A00D0D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0F14C5D"/>
    <w:multiLevelType w:val="hybridMultilevel"/>
    <w:tmpl w:val="AC46867A"/>
    <w:lvl w:ilvl="0" w:tplc="CC2EBB9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83929C7"/>
    <w:multiLevelType w:val="hybridMultilevel"/>
    <w:tmpl w:val="E0A0D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E7303"/>
    <w:multiLevelType w:val="hybridMultilevel"/>
    <w:tmpl w:val="D56ACE70"/>
    <w:lvl w:ilvl="0" w:tplc="04090001">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9"/>
  </w:num>
  <w:num w:numId="3">
    <w:abstractNumId w:val="15"/>
  </w:num>
  <w:num w:numId="4">
    <w:abstractNumId w:val="14"/>
  </w:num>
  <w:num w:numId="5">
    <w:abstractNumId w:val="12"/>
  </w:num>
  <w:num w:numId="6">
    <w:abstractNumId w:val="8"/>
  </w:num>
  <w:num w:numId="7">
    <w:abstractNumId w:val="6"/>
  </w:num>
  <w:num w:numId="8">
    <w:abstractNumId w:val="23"/>
  </w:num>
  <w:num w:numId="9">
    <w:abstractNumId w:val="17"/>
  </w:num>
  <w:num w:numId="10">
    <w:abstractNumId w:val="1"/>
  </w:num>
  <w:num w:numId="11">
    <w:abstractNumId w:val="13"/>
  </w:num>
  <w:num w:numId="12">
    <w:abstractNumId w:val="28"/>
  </w:num>
  <w:num w:numId="13">
    <w:abstractNumId w:val="25"/>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num>
  <w:num w:numId="18">
    <w:abstractNumId w:val="22"/>
  </w:num>
  <w:num w:numId="19">
    <w:abstractNumId w:val="2"/>
  </w:num>
  <w:num w:numId="20">
    <w:abstractNumId w:val="10"/>
  </w:num>
  <w:num w:numId="21">
    <w:abstractNumId w:val="27"/>
  </w:num>
  <w:num w:numId="22">
    <w:abstractNumId w:val="7"/>
  </w:num>
  <w:num w:numId="23">
    <w:abstractNumId w:val="20"/>
  </w:num>
  <w:num w:numId="24">
    <w:abstractNumId w:val="21"/>
  </w:num>
  <w:num w:numId="25">
    <w:abstractNumId w:val="0"/>
  </w:num>
  <w:num w:numId="26">
    <w:abstractNumId w:val="19"/>
  </w:num>
  <w:num w:numId="27">
    <w:abstractNumId w:val="3"/>
  </w:num>
  <w:num w:numId="28">
    <w:abstractNumId w:val="16"/>
  </w:num>
  <w:num w:numId="29">
    <w:abstractNumId w:val="18"/>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7D65"/>
    <w:rsid w:val="0002478B"/>
    <w:rsid w:val="00024D3C"/>
    <w:rsid w:val="00026E7E"/>
    <w:rsid w:val="000277EC"/>
    <w:rsid w:val="00033AAA"/>
    <w:rsid w:val="00041D74"/>
    <w:rsid w:val="000471CC"/>
    <w:rsid w:val="0005053B"/>
    <w:rsid w:val="0005070F"/>
    <w:rsid w:val="00050B31"/>
    <w:rsid w:val="00051755"/>
    <w:rsid w:val="0005318A"/>
    <w:rsid w:val="0005781D"/>
    <w:rsid w:val="00060285"/>
    <w:rsid w:val="00063446"/>
    <w:rsid w:val="000640BE"/>
    <w:rsid w:val="0006701E"/>
    <w:rsid w:val="00072265"/>
    <w:rsid w:val="00072FD9"/>
    <w:rsid w:val="0008020F"/>
    <w:rsid w:val="00081604"/>
    <w:rsid w:val="0008593E"/>
    <w:rsid w:val="00093081"/>
    <w:rsid w:val="00093A88"/>
    <w:rsid w:val="000A055D"/>
    <w:rsid w:val="000A1081"/>
    <w:rsid w:val="000A1D51"/>
    <w:rsid w:val="000A4B8E"/>
    <w:rsid w:val="000A76F6"/>
    <w:rsid w:val="000B1197"/>
    <w:rsid w:val="000B2134"/>
    <w:rsid w:val="000B6946"/>
    <w:rsid w:val="000B71DF"/>
    <w:rsid w:val="000C0185"/>
    <w:rsid w:val="000C3723"/>
    <w:rsid w:val="000C38F8"/>
    <w:rsid w:val="000C3953"/>
    <w:rsid w:val="000C4C8B"/>
    <w:rsid w:val="000C7F3C"/>
    <w:rsid w:val="000D070B"/>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51B28"/>
    <w:rsid w:val="00153230"/>
    <w:rsid w:val="00155698"/>
    <w:rsid w:val="00161477"/>
    <w:rsid w:val="00171C33"/>
    <w:rsid w:val="001835C7"/>
    <w:rsid w:val="00191E87"/>
    <w:rsid w:val="001951B1"/>
    <w:rsid w:val="0019627A"/>
    <w:rsid w:val="0019766C"/>
    <w:rsid w:val="001A2412"/>
    <w:rsid w:val="001A367E"/>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70054"/>
    <w:rsid w:val="00270438"/>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6B0"/>
    <w:rsid w:val="00315C27"/>
    <w:rsid w:val="0031679E"/>
    <w:rsid w:val="003173E6"/>
    <w:rsid w:val="003178A8"/>
    <w:rsid w:val="00327232"/>
    <w:rsid w:val="00333C8D"/>
    <w:rsid w:val="003362AD"/>
    <w:rsid w:val="00343564"/>
    <w:rsid w:val="00347F8E"/>
    <w:rsid w:val="00362790"/>
    <w:rsid w:val="00365C7A"/>
    <w:rsid w:val="003753E5"/>
    <w:rsid w:val="00376715"/>
    <w:rsid w:val="00376EDB"/>
    <w:rsid w:val="003832F0"/>
    <w:rsid w:val="00394D51"/>
    <w:rsid w:val="003969BC"/>
    <w:rsid w:val="003A1BCE"/>
    <w:rsid w:val="003A3A83"/>
    <w:rsid w:val="003A639D"/>
    <w:rsid w:val="003A799B"/>
    <w:rsid w:val="003B0A3F"/>
    <w:rsid w:val="003B1D5C"/>
    <w:rsid w:val="003B423D"/>
    <w:rsid w:val="003B452D"/>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750E"/>
    <w:rsid w:val="004374E8"/>
    <w:rsid w:val="004376BF"/>
    <w:rsid w:val="004434C6"/>
    <w:rsid w:val="004451E1"/>
    <w:rsid w:val="004467B4"/>
    <w:rsid w:val="00453B52"/>
    <w:rsid w:val="00453BBC"/>
    <w:rsid w:val="00457513"/>
    <w:rsid w:val="0046142F"/>
    <w:rsid w:val="004625BD"/>
    <w:rsid w:val="0046560F"/>
    <w:rsid w:val="00475DD3"/>
    <w:rsid w:val="004760F1"/>
    <w:rsid w:val="004834A5"/>
    <w:rsid w:val="004914DC"/>
    <w:rsid w:val="00493DCC"/>
    <w:rsid w:val="00494685"/>
    <w:rsid w:val="00495502"/>
    <w:rsid w:val="00496558"/>
    <w:rsid w:val="004A0F8B"/>
    <w:rsid w:val="004A1028"/>
    <w:rsid w:val="004A21C1"/>
    <w:rsid w:val="004A3EF5"/>
    <w:rsid w:val="004A7D08"/>
    <w:rsid w:val="004B2803"/>
    <w:rsid w:val="004B3B8A"/>
    <w:rsid w:val="004C064A"/>
    <w:rsid w:val="004C15A7"/>
    <w:rsid w:val="004C19EA"/>
    <w:rsid w:val="004C4797"/>
    <w:rsid w:val="004D2CFB"/>
    <w:rsid w:val="004D3BAC"/>
    <w:rsid w:val="004D3F1C"/>
    <w:rsid w:val="004D4A89"/>
    <w:rsid w:val="004D5B5B"/>
    <w:rsid w:val="004D5DC3"/>
    <w:rsid w:val="004E55B1"/>
    <w:rsid w:val="004E563A"/>
    <w:rsid w:val="004E6F3B"/>
    <w:rsid w:val="004F19AB"/>
    <w:rsid w:val="004F783B"/>
    <w:rsid w:val="004F7C85"/>
    <w:rsid w:val="005020BB"/>
    <w:rsid w:val="005027D9"/>
    <w:rsid w:val="00506E0A"/>
    <w:rsid w:val="005116E5"/>
    <w:rsid w:val="00514574"/>
    <w:rsid w:val="00516E4D"/>
    <w:rsid w:val="00520355"/>
    <w:rsid w:val="00524832"/>
    <w:rsid w:val="005251F0"/>
    <w:rsid w:val="00525395"/>
    <w:rsid w:val="00525773"/>
    <w:rsid w:val="00526F60"/>
    <w:rsid w:val="0053117E"/>
    <w:rsid w:val="00531202"/>
    <w:rsid w:val="00531E6A"/>
    <w:rsid w:val="005325BA"/>
    <w:rsid w:val="005355F5"/>
    <w:rsid w:val="0053589D"/>
    <w:rsid w:val="00540760"/>
    <w:rsid w:val="005444F1"/>
    <w:rsid w:val="00545A84"/>
    <w:rsid w:val="00552782"/>
    <w:rsid w:val="005566C5"/>
    <w:rsid w:val="00556998"/>
    <w:rsid w:val="00557A7B"/>
    <w:rsid w:val="00562C1A"/>
    <w:rsid w:val="005702BF"/>
    <w:rsid w:val="00571960"/>
    <w:rsid w:val="00581C7B"/>
    <w:rsid w:val="00586297"/>
    <w:rsid w:val="00586EF1"/>
    <w:rsid w:val="0059100A"/>
    <w:rsid w:val="00593F35"/>
    <w:rsid w:val="005A0C25"/>
    <w:rsid w:val="005A1A17"/>
    <w:rsid w:val="005A2B2E"/>
    <w:rsid w:val="005A5124"/>
    <w:rsid w:val="005A65E7"/>
    <w:rsid w:val="005B13D9"/>
    <w:rsid w:val="005B5D4B"/>
    <w:rsid w:val="005C438A"/>
    <w:rsid w:val="005D17D7"/>
    <w:rsid w:val="005D1876"/>
    <w:rsid w:val="005D1BDE"/>
    <w:rsid w:val="005D3906"/>
    <w:rsid w:val="005D40F9"/>
    <w:rsid w:val="005D69CD"/>
    <w:rsid w:val="005E3820"/>
    <w:rsid w:val="005F03BE"/>
    <w:rsid w:val="005F15A4"/>
    <w:rsid w:val="005F3240"/>
    <w:rsid w:val="005F5637"/>
    <w:rsid w:val="005F6367"/>
    <w:rsid w:val="006049CA"/>
    <w:rsid w:val="00612C3F"/>
    <w:rsid w:val="00613C04"/>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69B4"/>
    <w:rsid w:val="006738EC"/>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32753"/>
    <w:rsid w:val="007362C7"/>
    <w:rsid w:val="00742E74"/>
    <w:rsid w:val="007445B8"/>
    <w:rsid w:val="00745E14"/>
    <w:rsid w:val="007466B0"/>
    <w:rsid w:val="00751C0E"/>
    <w:rsid w:val="007525AD"/>
    <w:rsid w:val="00752B37"/>
    <w:rsid w:val="00752DA6"/>
    <w:rsid w:val="007552AE"/>
    <w:rsid w:val="00767084"/>
    <w:rsid w:val="00771388"/>
    <w:rsid w:val="0077532C"/>
    <w:rsid w:val="00783AEF"/>
    <w:rsid w:val="007851F0"/>
    <w:rsid w:val="007959AF"/>
    <w:rsid w:val="007A09FA"/>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F2504"/>
    <w:rsid w:val="007F2805"/>
    <w:rsid w:val="007F334C"/>
    <w:rsid w:val="007F4972"/>
    <w:rsid w:val="00813267"/>
    <w:rsid w:val="008155FA"/>
    <w:rsid w:val="008175B1"/>
    <w:rsid w:val="00826129"/>
    <w:rsid w:val="00826BAD"/>
    <w:rsid w:val="00831EB3"/>
    <w:rsid w:val="00842EA8"/>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1304"/>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04E0"/>
    <w:rsid w:val="0092413A"/>
    <w:rsid w:val="00925A69"/>
    <w:rsid w:val="00936188"/>
    <w:rsid w:val="009404B6"/>
    <w:rsid w:val="0094194C"/>
    <w:rsid w:val="00945231"/>
    <w:rsid w:val="00945A98"/>
    <w:rsid w:val="00952D9A"/>
    <w:rsid w:val="00954E9D"/>
    <w:rsid w:val="0095602F"/>
    <w:rsid w:val="009563A0"/>
    <w:rsid w:val="00963244"/>
    <w:rsid w:val="009652D4"/>
    <w:rsid w:val="00970C51"/>
    <w:rsid w:val="00973C50"/>
    <w:rsid w:val="009812CA"/>
    <w:rsid w:val="00981E93"/>
    <w:rsid w:val="00985F8A"/>
    <w:rsid w:val="00991AE1"/>
    <w:rsid w:val="0099271F"/>
    <w:rsid w:val="00994662"/>
    <w:rsid w:val="00994E9F"/>
    <w:rsid w:val="009963D4"/>
    <w:rsid w:val="009A12FA"/>
    <w:rsid w:val="009A56E1"/>
    <w:rsid w:val="009A5BD9"/>
    <w:rsid w:val="009B027F"/>
    <w:rsid w:val="009B1A87"/>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19F4"/>
    <w:rsid w:val="00A04D50"/>
    <w:rsid w:val="00A05051"/>
    <w:rsid w:val="00A06729"/>
    <w:rsid w:val="00A12E72"/>
    <w:rsid w:val="00A14D48"/>
    <w:rsid w:val="00A15325"/>
    <w:rsid w:val="00A20760"/>
    <w:rsid w:val="00A21019"/>
    <w:rsid w:val="00A22A4D"/>
    <w:rsid w:val="00A22DC7"/>
    <w:rsid w:val="00A244FB"/>
    <w:rsid w:val="00A26029"/>
    <w:rsid w:val="00A342CD"/>
    <w:rsid w:val="00A40188"/>
    <w:rsid w:val="00A436CA"/>
    <w:rsid w:val="00A4574B"/>
    <w:rsid w:val="00A46DE7"/>
    <w:rsid w:val="00A57576"/>
    <w:rsid w:val="00A6332A"/>
    <w:rsid w:val="00A6758C"/>
    <w:rsid w:val="00A710B8"/>
    <w:rsid w:val="00A77893"/>
    <w:rsid w:val="00A93CFD"/>
    <w:rsid w:val="00A94C12"/>
    <w:rsid w:val="00AA03BD"/>
    <w:rsid w:val="00AA0AA7"/>
    <w:rsid w:val="00AA468B"/>
    <w:rsid w:val="00AA7463"/>
    <w:rsid w:val="00AB1AE5"/>
    <w:rsid w:val="00AB2159"/>
    <w:rsid w:val="00AB414C"/>
    <w:rsid w:val="00AB654D"/>
    <w:rsid w:val="00AD2F17"/>
    <w:rsid w:val="00AD4FDA"/>
    <w:rsid w:val="00AE1F1C"/>
    <w:rsid w:val="00AE4B2C"/>
    <w:rsid w:val="00AE7A30"/>
    <w:rsid w:val="00AE7A3F"/>
    <w:rsid w:val="00AF2BE5"/>
    <w:rsid w:val="00AF30E9"/>
    <w:rsid w:val="00AF6205"/>
    <w:rsid w:val="00AF687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4179A"/>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A3A4F"/>
    <w:rsid w:val="00BB0409"/>
    <w:rsid w:val="00BB16B3"/>
    <w:rsid w:val="00BB1FC0"/>
    <w:rsid w:val="00BC1CAB"/>
    <w:rsid w:val="00BC2156"/>
    <w:rsid w:val="00BC3896"/>
    <w:rsid w:val="00BC7731"/>
    <w:rsid w:val="00BD1683"/>
    <w:rsid w:val="00BD6321"/>
    <w:rsid w:val="00BE5452"/>
    <w:rsid w:val="00BE5CD2"/>
    <w:rsid w:val="00BE7277"/>
    <w:rsid w:val="00BE7D86"/>
    <w:rsid w:val="00BF44E5"/>
    <w:rsid w:val="00C0077A"/>
    <w:rsid w:val="00C04883"/>
    <w:rsid w:val="00C04FA6"/>
    <w:rsid w:val="00C07045"/>
    <w:rsid w:val="00C12859"/>
    <w:rsid w:val="00C2090E"/>
    <w:rsid w:val="00C23B32"/>
    <w:rsid w:val="00C3217E"/>
    <w:rsid w:val="00C35C02"/>
    <w:rsid w:val="00C405AD"/>
    <w:rsid w:val="00C56B93"/>
    <w:rsid w:val="00C57EAE"/>
    <w:rsid w:val="00C80020"/>
    <w:rsid w:val="00C819A4"/>
    <w:rsid w:val="00C83EE3"/>
    <w:rsid w:val="00C84723"/>
    <w:rsid w:val="00C8592D"/>
    <w:rsid w:val="00C918A2"/>
    <w:rsid w:val="00C9431D"/>
    <w:rsid w:val="00C94D19"/>
    <w:rsid w:val="00C95BB2"/>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D00AB1"/>
    <w:rsid w:val="00D03083"/>
    <w:rsid w:val="00D04B8C"/>
    <w:rsid w:val="00D10B83"/>
    <w:rsid w:val="00D10FE8"/>
    <w:rsid w:val="00D220B9"/>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FE"/>
    <w:rsid w:val="00DB0239"/>
    <w:rsid w:val="00DB1814"/>
    <w:rsid w:val="00DB3C33"/>
    <w:rsid w:val="00DC68BB"/>
    <w:rsid w:val="00DC6CA8"/>
    <w:rsid w:val="00DC7C1D"/>
    <w:rsid w:val="00DD00ED"/>
    <w:rsid w:val="00DD3572"/>
    <w:rsid w:val="00DD4688"/>
    <w:rsid w:val="00DD70F3"/>
    <w:rsid w:val="00DD7DB6"/>
    <w:rsid w:val="00DE1927"/>
    <w:rsid w:val="00DF2AFD"/>
    <w:rsid w:val="00E0009D"/>
    <w:rsid w:val="00E0177C"/>
    <w:rsid w:val="00E01CB5"/>
    <w:rsid w:val="00E1218C"/>
    <w:rsid w:val="00E164D1"/>
    <w:rsid w:val="00E173E2"/>
    <w:rsid w:val="00E2016B"/>
    <w:rsid w:val="00E226EA"/>
    <w:rsid w:val="00E27AB3"/>
    <w:rsid w:val="00E317AA"/>
    <w:rsid w:val="00E32089"/>
    <w:rsid w:val="00E33188"/>
    <w:rsid w:val="00E341A2"/>
    <w:rsid w:val="00E3454F"/>
    <w:rsid w:val="00E36FC8"/>
    <w:rsid w:val="00E469DF"/>
    <w:rsid w:val="00E515D8"/>
    <w:rsid w:val="00E662C3"/>
    <w:rsid w:val="00E70811"/>
    <w:rsid w:val="00E72CC1"/>
    <w:rsid w:val="00E736B1"/>
    <w:rsid w:val="00E768C8"/>
    <w:rsid w:val="00E77A18"/>
    <w:rsid w:val="00E83989"/>
    <w:rsid w:val="00E85D64"/>
    <w:rsid w:val="00E92544"/>
    <w:rsid w:val="00E938CF"/>
    <w:rsid w:val="00E97BE8"/>
    <w:rsid w:val="00EB2078"/>
    <w:rsid w:val="00EB6A2B"/>
    <w:rsid w:val="00EB6C7E"/>
    <w:rsid w:val="00EB788E"/>
    <w:rsid w:val="00EC11A6"/>
    <w:rsid w:val="00EC4904"/>
    <w:rsid w:val="00EC4CA1"/>
    <w:rsid w:val="00EC799D"/>
    <w:rsid w:val="00ED4768"/>
    <w:rsid w:val="00EE17EA"/>
    <w:rsid w:val="00EE2158"/>
    <w:rsid w:val="00EE2E9D"/>
    <w:rsid w:val="00EE54B4"/>
    <w:rsid w:val="00EF1110"/>
    <w:rsid w:val="00EF396E"/>
    <w:rsid w:val="00EF5EC2"/>
    <w:rsid w:val="00F0382D"/>
    <w:rsid w:val="00F07239"/>
    <w:rsid w:val="00F07BEB"/>
    <w:rsid w:val="00F1172D"/>
    <w:rsid w:val="00F12C91"/>
    <w:rsid w:val="00F2461E"/>
    <w:rsid w:val="00F33BE0"/>
    <w:rsid w:val="00F35447"/>
    <w:rsid w:val="00F407DE"/>
    <w:rsid w:val="00F40C8C"/>
    <w:rsid w:val="00F44B01"/>
    <w:rsid w:val="00F47EC1"/>
    <w:rsid w:val="00F528F1"/>
    <w:rsid w:val="00F565BD"/>
    <w:rsid w:val="00F5789A"/>
    <w:rsid w:val="00F60D27"/>
    <w:rsid w:val="00F71A65"/>
    <w:rsid w:val="00F732B0"/>
    <w:rsid w:val="00F73FED"/>
    <w:rsid w:val="00F76343"/>
    <w:rsid w:val="00F83B11"/>
    <w:rsid w:val="00F93241"/>
    <w:rsid w:val="00F93C07"/>
    <w:rsid w:val="00F94DDC"/>
    <w:rsid w:val="00F96C25"/>
    <w:rsid w:val="00F971A7"/>
    <w:rsid w:val="00FA051B"/>
    <w:rsid w:val="00FA25C2"/>
    <w:rsid w:val="00FA7F74"/>
    <w:rsid w:val="00FB4281"/>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A58E8"/>
  <w15:docId w15:val="{70DDB0E1-02F7-4863-A4D7-628802A93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394D51"/>
    <w:pPr>
      <w:spacing w:after="200"/>
    </w:pPr>
    <w:rPr>
      <w:b/>
      <w:bCs/>
    </w:rPr>
  </w:style>
  <w:style w:type="character" w:customStyle="1" w:styleId="CommentSubjectChar">
    <w:name w:val="Comment Subject Char"/>
    <w:basedOn w:val="CommentTextChar"/>
    <w:link w:val="CommentSubject"/>
    <w:uiPriority w:val="99"/>
    <w:semiHidden/>
    <w:rsid w:val="00394D51"/>
    <w:rPr>
      <w:rFonts w:ascii="Calibri" w:eastAsia="Calibri" w:hAnsi="Calibri" w:cs="Times New Roman"/>
      <w:b/>
      <w:bCs/>
      <w:sz w:val="20"/>
      <w:szCs w:val="20"/>
    </w:rPr>
  </w:style>
  <w:style w:type="paragraph" w:styleId="PlainText">
    <w:name w:val="Plain Text"/>
    <w:basedOn w:val="Normal"/>
    <w:link w:val="PlainTextChar"/>
    <w:uiPriority w:val="99"/>
    <w:unhideWhenUsed/>
    <w:rsid w:val="00A14D48"/>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A14D4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Nr_x002e__x0020_akti>
    <Data_x0020_e_x0020_Krijimit xmlns="0e656187-b300-4fb0-8bf4-3a50f872073c">2024-07-16T09:54:46Z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2024-07-17T00:00:00Z</Date_x0020_protokolli>
    <Titulli xmlns="0e656187-b300-4fb0-8bf4-3a50f872073c">Mbi licencimin e shoqërisë "Greennat Solar Park Ballsh" sh.p.k. në veprimtarinë e prodhimit të energjisë elektrike</Titulli>
    <Modifikuesi xmlns="0e656187-b300-4fb0-8bf4-3a50f872073c">Suada.Daci</Modifikuesi>
    <Nr_x002e__x0020_prot_x0020_QBZ xmlns="0e656187-b300-4fb0-8bf4-3a50f872073c">1267/2</Nr_x002e__x0020_prot_x0020_QBZ>
    <Data_x0020_e_x0020_Modifikimit xmlns="0e656187-b300-4fb0-8bf4-3a50f872073c">2024-07-18T11:22:07Z</Data_x0020_e_x0020_Modifikimit>
    <Dekretuar xmlns="0e656187-b300-4fb0-8bf4-3a50f872073c">false</Dekretuar>
    <Data xmlns="0e656187-b300-4fb0-8bf4-3a50f872073c">2024-07-02T00:00:00Z</Data>
    <Nr_x002e__x0020_protokolli_x0020_i_x0020_aktit xmlns="0e656187-b300-4fb0-8bf4-3a50f872073c">1639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28800ECCE2A841259E3BC8C608159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800ECCE2A841259E3BC8C6081593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C5DF3-7532-4F9A-9C07-F7A35C0E6071}">
  <ds:schemaRefs>
    <ds:schemaRef ds:uri="http://schemas.microsoft.com/sharepoint/v3/contenttype/forms"/>
  </ds:schemaRefs>
</ds:datastoreItem>
</file>

<file path=customXml/itemProps2.xml><?xml version="1.0" encoding="utf-8"?>
<ds:datastoreItem xmlns:ds="http://schemas.openxmlformats.org/officeDocument/2006/customXml" ds:itemID="{F5515182-16A6-4B20-87B1-7AED73E7DC2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38D185D-1DCE-4B57-9299-907AB3E2F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827121-2C85-4879-A9F5-BE8E1BE39F16}">
  <ds:schemaRefs>
    <ds:schemaRef ds:uri="http://schemas.microsoft.com/sharepoint/v3/contenttype/forms"/>
  </ds:schemaRefs>
</ds:datastoreItem>
</file>

<file path=customXml/itemProps5.xml><?xml version="1.0" encoding="utf-8"?>
<ds:datastoreItem xmlns:ds="http://schemas.openxmlformats.org/officeDocument/2006/customXml" ds:itemID="{8CCC16B4-2CC5-436D-9512-DF7DB6B94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942074-DFA4-4C37-8CEE-405B4AAB8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Mbi licencimin e shoqërisë "Greennat Solar Park Ballsh" sh.p.k. në veprimtarinë e prodhimit të energjisë elektrike</vt:lpstr>
    </vt:vector>
  </TitlesOfParts>
  <Company>Dpa</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"Greennat Solar Park Ballsh" sh.p.k. në veprimtarinë e prodhimit të energjisë elektrike</dc:title>
  <dc:creator>DJZM</dc:creator>
  <cp:lastModifiedBy>Rovena Lipe</cp:lastModifiedBy>
  <cp:revision>3</cp:revision>
  <cp:lastPrinted>2024-07-10T13:43:00Z</cp:lastPrinted>
  <dcterms:created xsi:type="dcterms:W3CDTF">2024-11-13T13:51:00Z</dcterms:created>
  <dcterms:modified xsi:type="dcterms:W3CDTF">2024-11-13T13:52:00Z</dcterms:modified>
</cp:coreProperties>
</file>