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6AB09A" w14:textId="77777777" w:rsidR="00917872" w:rsidRPr="006F6521" w:rsidRDefault="00917872" w:rsidP="0091787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F6521">
        <w:rPr>
          <w:rFonts w:ascii="Garamond" w:eastAsiaTheme="minorHAnsi" w:hAnsi="Garamond"/>
          <w:b/>
          <w:bCs/>
          <w:color w:val="000000"/>
          <w:sz w:val="24"/>
          <w:szCs w:val="24"/>
        </w:rPr>
        <w:t>VENDIM</w:t>
      </w:r>
    </w:p>
    <w:p w14:paraId="2A05DF70" w14:textId="585C1EF6" w:rsidR="00917872" w:rsidRPr="006F6521" w:rsidRDefault="00917872" w:rsidP="00917872">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6F6521">
        <w:rPr>
          <w:rFonts w:ascii="Garamond" w:eastAsiaTheme="minorHAnsi" w:hAnsi="Garamond"/>
          <w:b/>
          <w:bCs/>
          <w:color w:val="000000"/>
          <w:sz w:val="24"/>
          <w:szCs w:val="24"/>
        </w:rPr>
        <w:t xml:space="preserve">Nr. 165, </w:t>
      </w:r>
      <w:r w:rsidR="00E9003B" w:rsidRPr="006F6521">
        <w:rPr>
          <w:rFonts w:ascii="Garamond" w:eastAsiaTheme="minorHAnsi" w:hAnsi="Garamond"/>
          <w:b/>
          <w:bCs/>
          <w:color w:val="000000"/>
          <w:sz w:val="24"/>
          <w:szCs w:val="24"/>
        </w:rPr>
        <w:t>d</w:t>
      </w:r>
      <w:r w:rsidRPr="006F6521">
        <w:rPr>
          <w:rFonts w:ascii="Garamond" w:eastAsiaTheme="minorHAnsi" w:hAnsi="Garamond"/>
          <w:b/>
          <w:bCs/>
          <w:color w:val="000000"/>
          <w:sz w:val="24"/>
          <w:szCs w:val="24"/>
        </w:rPr>
        <w:t>atë 15.8.2024</w:t>
      </w:r>
    </w:p>
    <w:p w14:paraId="32AB2D2F" w14:textId="77777777" w:rsidR="00917872" w:rsidRPr="006F6521" w:rsidRDefault="00917872" w:rsidP="0091787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0B3C56C0" w14:textId="7ED54F9C" w:rsidR="00917872" w:rsidRPr="006F6521" w:rsidRDefault="00917872" w:rsidP="006F6521">
      <w:pPr>
        <w:autoSpaceDE w:val="0"/>
        <w:autoSpaceDN w:val="0"/>
        <w:adjustRightInd w:val="0"/>
        <w:spacing w:after="0" w:line="240" w:lineRule="auto"/>
        <w:jc w:val="center"/>
        <w:rPr>
          <w:rFonts w:ascii="Garamond" w:eastAsiaTheme="minorHAnsi" w:hAnsi="Garamond"/>
          <w:b/>
          <w:bCs/>
          <w:color w:val="000000"/>
          <w:sz w:val="24"/>
          <w:szCs w:val="24"/>
        </w:rPr>
      </w:pPr>
      <w:r w:rsidRPr="006F6521">
        <w:rPr>
          <w:rFonts w:ascii="Garamond" w:eastAsiaTheme="minorHAnsi" w:hAnsi="Garamond"/>
          <w:b/>
          <w:bCs/>
          <w:color w:val="000000"/>
          <w:sz w:val="24"/>
          <w:szCs w:val="24"/>
        </w:rPr>
        <w:t>MBI ZGJATJEN E VENDIMMARRJES SË BORDIT TË ERE-</w:t>
      </w:r>
      <w:r w:rsidR="006F6521" w:rsidRPr="006F6521">
        <w:rPr>
          <w:rFonts w:ascii="Garamond" w:eastAsiaTheme="minorHAnsi" w:hAnsi="Garamond"/>
          <w:b/>
          <w:bCs/>
          <w:color w:val="000000"/>
          <w:sz w:val="24"/>
          <w:szCs w:val="24"/>
        </w:rPr>
        <w:t>s</w:t>
      </w:r>
      <w:r w:rsidRPr="006F6521">
        <w:rPr>
          <w:rFonts w:ascii="Garamond" w:eastAsiaTheme="minorHAnsi" w:hAnsi="Garamond"/>
          <w:b/>
          <w:bCs/>
          <w:color w:val="000000"/>
          <w:sz w:val="24"/>
          <w:szCs w:val="24"/>
        </w:rPr>
        <w:t xml:space="preserve"> LIDHUR ME SHQYRTIMIN E KËRKESËS SË SHOQËRISË “BMG ENERGY SAL” SHPK PËR LICENCIM NË VEPRIMTARINË E PRODHIMIT TË ENERGJISË ELEKTRIKE</w:t>
      </w:r>
    </w:p>
    <w:p w14:paraId="4887C71B" w14:textId="77777777" w:rsidR="00917872" w:rsidRPr="006F6521" w:rsidRDefault="00917872" w:rsidP="0091787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4D8C517" w14:textId="2FF0AFBF"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Në mbështetje të nenit 16 të ligjit nr. 43/2015 “</w:t>
      </w:r>
      <w:r w:rsidRPr="006F6521">
        <w:rPr>
          <w:rFonts w:ascii="Garamond" w:eastAsiaTheme="minorHAnsi" w:hAnsi="Garamond"/>
          <w:iCs/>
          <w:color w:val="000000"/>
          <w:sz w:val="24"/>
          <w:szCs w:val="24"/>
        </w:rPr>
        <w:t>Për sektorin e energjisë elektrike</w:t>
      </w:r>
      <w:r w:rsidRPr="006F6521">
        <w:rPr>
          <w:rFonts w:ascii="Garamond" w:eastAsiaTheme="minorHAnsi" w:hAnsi="Garamond"/>
          <w:color w:val="000000"/>
          <w:sz w:val="24"/>
          <w:szCs w:val="24"/>
        </w:rPr>
        <w:t xml:space="preserve">”, i ndryshuar; nenit 14, pika 3 të </w:t>
      </w:r>
      <w:r w:rsidR="006F6521" w:rsidRPr="006F6521">
        <w:rPr>
          <w:rFonts w:ascii="Garamond" w:eastAsiaTheme="minorHAnsi" w:hAnsi="Garamond"/>
          <w:color w:val="000000"/>
          <w:sz w:val="24"/>
          <w:szCs w:val="24"/>
        </w:rPr>
        <w:t>“</w:t>
      </w:r>
      <w:r w:rsidRPr="006F6521">
        <w:rPr>
          <w:rFonts w:ascii="Garamond" w:eastAsiaTheme="minorHAnsi" w:hAnsi="Garamond"/>
          <w:iCs/>
          <w:color w:val="000000"/>
          <w:sz w:val="24"/>
          <w:szCs w:val="24"/>
        </w:rPr>
        <w:t>Rregullores për procedurat dhe afatet për dhënien, modifikimin, transferimin, rinovimin, njohjen dhe heqjen e licencave në sektorin e energjisë elektrike</w:t>
      </w:r>
      <w:r w:rsidR="006F6521" w:rsidRPr="006F6521">
        <w:rPr>
          <w:rFonts w:ascii="Garamond" w:eastAsiaTheme="minorHAnsi" w:hAnsi="Garamond"/>
          <w:iCs/>
          <w:color w:val="000000"/>
          <w:sz w:val="24"/>
          <w:szCs w:val="24"/>
        </w:rPr>
        <w:t>”</w:t>
      </w:r>
      <w:r w:rsidRPr="006F6521">
        <w:rPr>
          <w:rFonts w:ascii="Garamond" w:eastAsiaTheme="minorHAnsi" w:hAnsi="Garamond"/>
          <w:color w:val="000000"/>
          <w:sz w:val="24"/>
          <w:szCs w:val="24"/>
        </w:rPr>
        <w:t xml:space="preserve">, të miratuar me vendimin e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 xml:space="preserve">të Entit Rregullator të Energjisë (ERE) nr. 109, datë 29.6.2016, e ndryshuar, si dhe nenit 15 të </w:t>
      </w:r>
      <w:r w:rsidR="006F6521" w:rsidRPr="006F6521">
        <w:rPr>
          <w:rFonts w:ascii="Garamond" w:eastAsiaTheme="minorHAnsi" w:hAnsi="Garamond"/>
          <w:color w:val="000000"/>
          <w:sz w:val="24"/>
          <w:szCs w:val="24"/>
        </w:rPr>
        <w:t>“</w:t>
      </w:r>
      <w:r w:rsidRPr="006F6521">
        <w:rPr>
          <w:rFonts w:ascii="Garamond" w:eastAsiaTheme="minorHAnsi" w:hAnsi="Garamond"/>
          <w:iCs/>
          <w:color w:val="000000"/>
          <w:sz w:val="24"/>
          <w:szCs w:val="24"/>
        </w:rPr>
        <w:t>Rregullores për organizimin, funksionimin dhe procedurat e ERE-s</w:t>
      </w:r>
      <w:r w:rsidR="006F6521" w:rsidRPr="006F6521">
        <w:rPr>
          <w:rFonts w:ascii="Garamond" w:eastAsiaTheme="minorHAnsi" w:hAnsi="Garamond"/>
          <w:iCs/>
          <w:color w:val="000000"/>
          <w:sz w:val="24"/>
          <w:szCs w:val="24"/>
        </w:rPr>
        <w:t>”</w:t>
      </w:r>
      <w:r w:rsidRPr="006F6521">
        <w:rPr>
          <w:rFonts w:ascii="Garamond" w:eastAsiaTheme="minorHAnsi" w:hAnsi="Garamond"/>
          <w:color w:val="000000"/>
          <w:sz w:val="24"/>
          <w:szCs w:val="24"/>
        </w:rPr>
        <w:t xml:space="preserve">, miratuar me vendimin e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të ERE-s nr. 96 datë 17.6.2016; Bordi i ERE-s, në mbledhjen e tij të datës 15.8.2024, mbasi shqyrtoi relacionin me nr. 1569/7 prot., datë 13.8.2024, të Drejtorisë së Licencimit, Autorizimeve dhe Mbikëqyrjes “</w:t>
      </w:r>
      <w:r w:rsidRPr="006F6521">
        <w:rPr>
          <w:rFonts w:ascii="Garamond" w:eastAsiaTheme="minorHAnsi" w:hAnsi="Garamond"/>
          <w:iCs/>
          <w:color w:val="000000"/>
          <w:sz w:val="24"/>
          <w:szCs w:val="24"/>
        </w:rPr>
        <w:t xml:space="preserve">Mbi kërkesën e shoqërisë </w:t>
      </w:r>
      <w:r w:rsidR="006F6521" w:rsidRPr="006F6521">
        <w:rPr>
          <w:rFonts w:ascii="Garamond" w:eastAsiaTheme="minorHAnsi" w:hAnsi="Garamond"/>
          <w:iCs/>
          <w:color w:val="000000"/>
          <w:sz w:val="24"/>
          <w:szCs w:val="24"/>
        </w:rPr>
        <w:t>‘</w:t>
      </w:r>
      <w:r w:rsidRPr="006F6521">
        <w:rPr>
          <w:rFonts w:ascii="Garamond" w:eastAsiaTheme="minorHAnsi" w:hAnsi="Garamond"/>
          <w:iCs/>
          <w:color w:val="000000"/>
          <w:sz w:val="24"/>
          <w:szCs w:val="24"/>
        </w:rPr>
        <w:t xml:space="preserve">BMG </w:t>
      </w:r>
      <w:r w:rsidR="006F6521" w:rsidRPr="006F6521">
        <w:rPr>
          <w:rFonts w:ascii="Garamond" w:eastAsiaTheme="minorHAnsi" w:hAnsi="Garamond"/>
          <w:iCs/>
          <w:color w:val="000000"/>
          <w:sz w:val="24"/>
          <w:szCs w:val="24"/>
        </w:rPr>
        <w:t xml:space="preserve">Energy Sal’ </w:t>
      </w:r>
      <w:r w:rsidRPr="006F6521">
        <w:rPr>
          <w:rFonts w:ascii="Garamond" w:eastAsiaTheme="minorHAnsi" w:hAnsi="Garamond"/>
          <w:iCs/>
          <w:color w:val="000000"/>
          <w:sz w:val="24"/>
          <w:szCs w:val="24"/>
        </w:rPr>
        <w:t>sh.p.k. për licencim në veprimtarinë e prodhimit të energjisë elektrike”</w:t>
      </w:r>
      <w:r w:rsidRPr="006F6521">
        <w:rPr>
          <w:rFonts w:ascii="Garamond" w:eastAsiaTheme="minorHAnsi" w:hAnsi="Garamond"/>
          <w:color w:val="000000"/>
          <w:sz w:val="24"/>
          <w:szCs w:val="24"/>
        </w:rPr>
        <w:t>,</w:t>
      </w:r>
    </w:p>
    <w:p w14:paraId="4A6AC12F" w14:textId="4D7D8190" w:rsidR="00917872" w:rsidRPr="006F6521" w:rsidRDefault="006F6521" w:rsidP="00917872">
      <w:pPr>
        <w:autoSpaceDE w:val="0"/>
        <w:autoSpaceDN w:val="0"/>
        <w:adjustRightInd w:val="0"/>
        <w:spacing w:after="0" w:line="240" w:lineRule="auto"/>
        <w:ind w:firstLine="284"/>
        <w:jc w:val="both"/>
        <w:rPr>
          <w:rFonts w:ascii="Garamond" w:eastAsiaTheme="minorHAnsi" w:hAnsi="Garamond"/>
          <w:bCs/>
          <w:color w:val="000000"/>
          <w:sz w:val="24"/>
          <w:szCs w:val="24"/>
        </w:rPr>
      </w:pPr>
      <w:r>
        <w:rPr>
          <w:rFonts w:ascii="Garamond" w:eastAsiaTheme="minorHAnsi" w:hAnsi="Garamond"/>
          <w:bCs/>
          <w:color w:val="000000"/>
          <w:sz w:val="24"/>
          <w:szCs w:val="24"/>
        </w:rPr>
        <w:t>k</w:t>
      </w:r>
      <w:r w:rsidR="00917872" w:rsidRPr="006F6521">
        <w:rPr>
          <w:rFonts w:ascii="Garamond" w:eastAsiaTheme="minorHAnsi" w:hAnsi="Garamond"/>
          <w:bCs/>
          <w:color w:val="000000"/>
          <w:sz w:val="24"/>
          <w:szCs w:val="24"/>
        </w:rPr>
        <w:t xml:space="preserve">onstatoi se: </w:t>
      </w:r>
    </w:p>
    <w:p w14:paraId="7C82153E" w14:textId="64DB5EE1"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Shoqëria “BMG </w:t>
      </w:r>
      <w:r w:rsidR="006F6521" w:rsidRPr="006F6521">
        <w:rPr>
          <w:rFonts w:ascii="Garamond" w:eastAsiaTheme="minorHAnsi" w:hAnsi="Garamond"/>
          <w:color w:val="000000"/>
          <w:sz w:val="24"/>
          <w:szCs w:val="24"/>
        </w:rPr>
        <w:t>Energy Sal</w:t>
      </w:r>
      <w:r w:rsidRPr="006F6521">
        <w:rPr>
          <w:rFonts w:ascii="Garamond" w:eastAsiaTheme="minorHAnsi" w:hAnsi="Garamond"/>
          <w:color w:val="000000"/>
          <w:sz w:val="24"/>
          <w:szCs w:val="24"/>
        </w:rPr>
        <w:t xml:space="preserve">” sh.p.k.,, me shkresën e protokolluar në ERE me nr. 1569 prot., datë 1.7.2024, ka paraqitur kërkesën për licencim në veprimtarinë e prodhimit të energjisë elektrike nga centrali fotovoltaik, me kapacitet prodhues 2 </w:t>
      </w:r>
      <w:r w:rsidR="006F6521" w:rsidRPr="006F6521">
        <w:rPr>
          <w:rFonts w:ascii="Garamond" w:eastAsiaTheme="minorHAnsi" w:hAnsi="Garamond"/>
          <w:color w:val="000000"/>
          <w:sz w:val="24"/>
          <w:szCs w:val="24"/>
        </w:rPr>
        <w:t>mw</w:t>
      </w:r>
      <w:r w:rsidRPr="006F6521">
        <w:rPr>
          <w:rFonts w:ascii="Garamond" w:eastAsiaTheme="minorHAnsi" w:hAnsi="Garamond"/>
          <w:color w:val="000000"/>
          <w:sz w:val="24"/>
          <w:szCs w:val="24"/>
        </w:rPr>
        <w:t xml:space="preserve">, me vendndodhje në zonën Sheq Marinas, Njësia Administrative Topojë, Bashkia Fier, </w:t>
      </w:r>
      <w:r w:rsidR="006F6521" w:rsidRPr="006F6521">
        <w:rPr>
          <w:rFonts w:ascii="Garamond" w:eastAsiaTheme="minorHAnsi" w:hAnsi="Garamond"/>
          <w:color w:val="000000"/>
          <w:sz w:val="24"/>
          <w:szCs w:val="24"/>
        </w:rPr>
        <w:t xml:space="preserve">qarku </w:t>
      </w:r>
      <w:r w:rsidRPr="006F6521">
        <w:rPr>
          <w:rFonts w:ascii="Garamond" w:eastAsiaTheme="minorHAnsi" w:hAnsi="Garamond"/>
          <w:color w:val="000000"/>
          <w:sz w:val="24"/>
          <w:szCs w:val="24"/>
        </w:rPr>
        <w:t>Fier.</w:t>
      </w:r>
    </w:p>
    <w:p w14:paraId="35DE8764" w14:textId="756D288C" w:rsidR="00917872" w:rsidRPr="006F6521" w:rsidRDefault="00917872" w:rsidP="00917872">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Bordi i ERE-s, me vendimin nr. 141, datë 16.7.2024, vendosi të fillojë procedurën për licencimin e shoqërisë në këtë veprimtari. </w:t>
      </w:r>
    </w:p>
    <w:p w14:paraId="659611F0" w14:textId="270605CF" w:rsidR="00917872" w:rsidRPr="006F6521" w:rsidRDefault="00917872" w:rsidP="00917872">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ERE botoi njoftimin në median e shkruar për fillimin e kësaj procedure (në datat 17.7.2024 dhe 18.7.2024) dhe në përfundim të afatit të pritjes së komenteve apo objeksioneve nga të tretët (data 26.7.2024), nuk rezultoi të ketë të tilla. Njoftimi për fillimin e procedurës u botua edhe në faqen zyrtare të internetit të ERE-s.</w:t>
      </w:r>
    </w:p>
    <w:p w14:paraId="778EFFF2" w14:textId="1EEE350C" w:rsidR="00917872" w:rsidRPr="006F6521" w:rsidRDefault="00917872" w:rsidP="00917872">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Gjithashtu</w:t>
      </w:r>
      <w:r w:rsidR="00E34EB2">
        <w:rPr>
          <w:rFonts w:ascii="Garamond" w:eastAsiaTheme="minorHAnsi" w:hAnsi="Garamond"/>
          <w:color w:val="000000"/>
          <w:sz w:val="24"/>
          <w:szCs w:val="24"/>
        </w:rPr>
        <w:t>,</w:t>
      </w:r>
      <w:bookmarkStart w:id="0" w:name="_GoBack"/>
      <w:bookmarkEnd w:id="0"/>
      <w:r w:rsidRPr="006F6521">
        <w:rPr>
          <w:rFonts w:ascii="Garamond" w:eastAsiaTheme="minorHAnsi" w:hAnsi="Garamond"/>
          <w:color w:val="000000"/>
          <w:sz w:val="24"/>
          <w:szCs w:val="24"/>
        </w:rPr>
        <w:t xml:space="preserve"> me shkresën nr. 1659 prot., datë 19.7.2024, ERE ka njoftuar Ministrinë e Infrastrukturës dhe Energjisë (MIE) mbi fillimin e procedurës së licencimit të kësaj shoqërie.</w:t>
      </w:r>
    </w:p>
    <w:p w14:paraId="7B650093" w14:textId="3F930841" w:rsidR="00917872" w:rsidRPr="006F6521" w:rsidRDefault="00917872" w:rsidP="00917872">
      <w:pPr>
        <w:tabs>
          <w:tab w:val="left" w:pos="0"/>
        </w:tabs>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Me shkresën me nr. 1569/3 prot., datë 19.7.2024, ERE i është drejtuar shoqërisë duke i njoftuar vendimin e fillimit të procedurës dhe duke i kërkuar plotësimin e dokumentacionit të konstatuar të pa plotësuar apo të plotësuar pjesërisht. </w:t>
      </w:r>
    </w:p>
    <w:p w14:paraId="1D03B955" w14:textId="3D020C35"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Pas shqyrtimit të këtij dokumentacioni, në referencë të përcaktimeve të “Rregullores për procedurat dhe afatet për dhënien, modifikimin, transferimin, rinovimin, njohjen dhe heqjen e licencave në sektorin e energjisë elektrike”, miratuar me vendimin e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të ERE-s nr. 109, datë 29.6.2016, e ndryshuar, ka rezultuar se ka ende informacion/dokumentacion të paplotësuar, ndaj ERE</w:t>
      </w:r>
      <w:r w:rsidR="006F6521">
        <w:rPr>
          <w:rFonts w:ascii="Garamond" w:eastAsiaTheme="minorHAnsi" w:hAnsi="Garamond"/>
          <w:color w:val="000000"/>
          <w:sz w:val="24"/>
          <w:szCs w:val="24"/>
        </w:rPr>
        <w:t>-s</w:t>
      </w:r>
      <w:r w:rsidRPr="006F6521">
        <w:rPr>
          <w:rFonts w:ascii="Garamond" w:eastAsiaTheme="minorHAnsi" w:hAnsi="Garamond"/>
          <w:color w:val="000000"/>
          <w:sz w:val="24"/>
          <w:szCs w:val="24"/>
        </w:rPr>
        <w:t xml:space="preserve"> i është drejtuar shoqërisë me shkresën nr. 1569/5 prot., datë 7.8.2024. Në përgjigje, me shkresën e protokolluar në ERE me nr. 1569/6 prot., datë 13.8.2024, shoqëria ka depozituar informacion/</w:t>
      </w:r>
      <w:r w:rsid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dokumentacion plotësues të aplikimit. </w:t>
      </w:r>
    </w:p>
    <w:p w14:paraId="4981D9D5" w14:textId="43727DB6"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Në nenin 14, pika 3</w:t>
      </w:r>
      <w:r w:rsidR="00E915AE">
        <w:rPr>
          <w:rFonts w:ascii="Garamond" w:eastAsiaTheme="minorHAnsi" w:hAnsi="Garamond"/>
          <w:color w:val="000000"/>
          <w:sz w:val="24"/>
          <w:szCs w:val="24"/>
        </w:rPr>
        <w:t>,</w:t>
      </w:r>
      <w:r w:rsidRPr="006F6521">
        <w:rPr>
          <w:rFonts w:ascii="Garamond" w:eastAsiaTheme="minorHAnsi" w:hAnsi="Garamond"/>
          <w:color w:val="000000"/>
          <w:sz w:val="24"/>
          <w:szCs w:val="24"/>
        </w:rPr>
        <w:t xml:space="preserve"> të </w:t>
      </w:r>
      <w:r w:rsidR="00E915AE">
        <w:rPr>
          <w:rFonts w:ascii="Garamond" w:eastAsiaTheme="minorHAnsi" w:hAnsi="Garamond"/>
          <w:color w:val="000000"/>
          <w:sz w:val="24"/>
          <w:szCs w:val="24"/>
        </w:rPr>
        <w:t>r</w:t>
      </w:r>
      <w:r w:rsidRPr="006F6521">
        <w:rPr>
          <w:rFonts w:ascii="Garamond" w:eastAsiaTheme="minorHAnsi" w:hAnsi="Garamond"/>
          <w:color w:val="000000"/>
          <w:sz w:val="24"/>
          <w:szCs w:val="24"/>
        </w:rPr>
        <w:t xml:space="preserve">regullores </w:t>
      </w:r>
      <w:r w:rsidR="00E915AE">
        <w:rPr>
          <w:rFonts w:ascii="Garamond" w:eastAsiaTheme="minorHAnsi" w:hAnsi="Garamond"/>
          <w:color w:val="000000"/>
          <w:sz w:val="24"/>
          <w:szCs w:val="24"/>
        </w:rPr>
        <w:t xml:space="preserve">së </w:t>
      </w:r>
      <w:r w:rsidRPr="006F6521">
        <w:rPr>
          <w:rFonts w:ascii="Garamond" w:eastAsiaTheme="minorHAnsi" w:hAnsi="Garamond"/>
          <w:color w:val="000000"/>
          <w:sz w:val="24"/>
          <w:szCs w:val="24"/>
        </w:rPr>
        <w:t xml:space="preserve">sipërcituar, parashikohet se </w:t>
      </w:r>
      <w:r w:rsidR="006F6521" w:rsidRPr="006F6521">
        <w:rPr>
          <w:rFonts w:ascii="Garamond" w:eastAsiaTheme="minorHAnsi" w:hAnsi="Garamond"/>
          <w:color w:val="000000"/>
          <w:sz w:val="24"/>
          <w:szCs w:val="24"/>
        </w:rPr>
        <w:t xml:space="preserve">Bordi </w:t>
      </w:r>
      <w:r w:rsidRPr="006F6521">
        <w:rPr>
          <w:rFonts w:ascii="Garamond" w:eastAsiaTheme="minorHAnsi" w:hAnsi="Garamond"/>
          <w:color w:val="000000"/>
          <w:sz w:val="24"/>
          <w:szCs w:val="24"/>
        </w:rPr>
        <w:t>mund të vendosë rast pas rasti për zgjatjen e afatit për marrjen e vendimit përfundimtar për pranimin ose refuzimin e aplikimit për licencë kur dokumentacioni nuk është i plotë, por jo më shumë se 30 ditë.</w:t>
      </w:r>
    </w:p>
    <w:p w14:paraId="1B5A6109" w14:textId="086716BF"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Me qëllim shqyrtimin dhe analizimin e dokumentacionit të depozituar së fundi nga shoqëria dhe zhvillimin e ndonjë korrespondence të mundshme me të, vlerësohet të zgjatet deri në 30 (tridhjetë) ditë afati i vendimmarrjes së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 xml:space="preserve">të ERE-s për aplikimin e shoqërisë “BMG </w:t>
      </w:r>
      <w:r w:rsidR="006F6521" w:rsidRPr="006F6521">
        <w:rPr>
          <w:rFonts w:ascii="Garamond" w:eastAsiaTheme="minorHAnsi" w:hAnsi="Garamond"/>
          <w:color w:val="000000"/>
          <w:sz w:val="24"/>
          <w:szCs w:val="24"/>
        </w:rPr>
        <w:t>Energy Sal</w:t>
      </w:r>
      <w:r w:rsidRPr="006F6521">
        <w:rPr>
          <w:rFonts w:ascii="Garamond" w:eastAsiaTheme="minorHAnsi" w:hAnsi="Garamond"/>
          <w:color w:val="000000"/>
          <w:sz w:val="24"/>
          <w:szCs w:val="24"/>
        </w:rPr>
        <w:t xml:space="preserve">” sh.p.k. për licencim në veprimtarinë e prodhimit të energjisë elektrike. </w:t>
      </w:r>
    </w:p>
    <w:p w14:paraId="22BA2C7F" w14:textId="1A4D92B3"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 xml:space="preserve">Për gjithë sa më sipër, </w:t>
      </w:r>
      <w:r w:rsidR="006F6521" w:rsidRPr="006F6521">
        <w:rPr>
          <w:rFonts w:ascii="Garamond" w:eastAsiaTheme="minorHAnsi" w:hAnsi="Garamond"/>
          <w:color w:val="000000"/>
          <w:sz w:val="24"/>
          <w:szCs w:val="24"/>
        </w:rPr>
        <w:t xml:space="preserve">Bordi </w:t>
      </w:r>
      <w:r w:rsidRPr="006F6521">
        <w:rPr>
          <w:rFonts w:ascii="Garamond" w:eastAsiaTheme="minorHAnsi" w:hAnsi="Garamond"/>
          <w:color w:val="000000"/>
          <w:sz w:val="24"/>
          <w:szCs w:val="24"/>
        </w:rPr>
        <w:t xml:space="preserve">i ERE-s </w:t>
      </w:r>
    </w:p>
    <w:p w14:paraId="5A714A4B" w14:textId="77777777" w:rsidR="00E9003B" w:rsidRPr="006F6521" w:rsidRDefault="00E9003B" w:rsidP="00917872">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B49B789" w14:textId="7AD76171" w:rsidR="00917872" w:rsidRPr="006F6521" w:rsidRDefault="00E9003B" w:rsidP="00917872">
      <w:pPr>
        <w:autoSpaceDE w:val="0"/>
        <w:autoSpaceDN w:val="0"/>
        <w:adjustRightInd w:val="0"/>
        <w:spacing w:after="0" w:line="240" w:lineRule="auto"/>
        <w:ind w:firstLine="284"/>
        <w:jc w:val="center"/>
        <w:rPr>
          <w:rFonts w:ascii="Garamond" w:eastAsiaTheme="minorHAnsi" w:hAnsi="Garamond"/>
          <w:bCs/>
          <w:color w:val="000000"/>
          <w:sz w:val="24"/>
          <w:szCs w:val="24"/>
        </w:rPr>
      </w:pPr>
      <w:r w:rsidRPr="006F6521">
        <w:rPr>
          <w:rFonts w:ascii="Garamond" w:eastAsiaTheme="minorHAnsi" w:hAnsi="Garamond"/>
          <w:bCs/>
          <w:color w:val="000000"/>
          <w:sz w:val="24"/>
          <w:szCs w:val="24"/>
        </w:rPr>
        <w:t>VENDOSI:</w:t>
      </w:r>
    </w:p>
    <w:p w14:paraId="3612F3D6" w14:textId="77777777" w:rsidR="00917872" w:rsidRPr="006F6521" w:rsidRDefault="00917872" w:rsidP="00917872">
      <w:pPr>
        <w:autoSpaceDE w:val="0"/>
        <w:autoSpaceDN w:val="0"/>
        <w:adjustRightInd w:val="0"/>
        <w:spacing w:after="0" w:line="240" w:lineRule="auto"/>
        <w:ind w:firstLine="284"/>
        <w:jc w:val="center"/>
        <w:rPr>
          <w:rFonts w:ascii="Garamond" w:eastAsiaTheme="minorHAnsi" w:hAnsi="Garamond"/>
          <w:color w:val="000000"/>
          <w:sz w:val="24"/>
          <w:szCs w:val="24"/>
        </w:rPr>
      </w:pPr>
    </w:p>
    <w:p w14:paraId="10213642" w14:textId="17C9B350"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1.</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Të zgjasë deri në 30 (tridhjetë) ditë afatin e vendimmarrjes së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 xml:space="preserve">të ERE-s për kërkesën e shoqërisë “BMG </w:t>
      </w:r>
      <w:r w:rsidR="006F6521" w:rsidRPr="006F6521">
        <w:rPr>
          <w:rFonts w:ascii="Garamond" w:eastAsiaTheme="minorHAnsi" w:hAnsi="Garamond"/>
          <w:color w:val="000000"/>
          <w:sz w:val="24"/>
          <w:szCs w:val="24"/>
        </w:rPr>
        <w:t>Energy Sal</w:t>
      </w:r>
      <w:r w:rsidRPr="006F6521">
        <w:rPr>
          <w:rFonts w:ascii="Garamond" w:eastAsiaTheme="minorHAnsi" w:hAnsi="Garamond"/>
          <w:color w:val="000000"/>
          <w:sz w:val="24"/>
          <w:szCs w:val="24"/>
        </w:rPr>
        <w:t>” sh.p.k. për licencim në veprimtarinë e prodhimit të energjisë elektrike.</w:t>
      </w:r>
    </w:p>
    <w:p w14:paraId="43E28981" w14:textId="0383AF0E"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lastRenderedPageBreak/>
        <w:t>2.</w:t>
      </w:r>
      <w:r w:rsidR="00E9003B" w:rsidRPr="006F6521">
        <w:rPr>
          <w:rFonts w:ascii="Garamond" w:eastAsiaTheme="minorHAnsi" w:hAnsi="Garamond"/>
          <w:color w:val="000000"/>
          <w:sz w:val="24"/>
          <w:szCs w:val="24"/>
        </w:rPr>
        <w:t xml:space="preserve"> </w:t>
      </w:r>
      <w:r w:rsidRPr="006F6521">
        <w:rPr>
          <w:rFonts w:ascii="Garamond" w:eastAsiaTheme="minorHAnsi" w:hAnsi="Garamond"/>
          <w:color w:val="000000"/>
          <w:sz w:val="24"/>
          <w:szCs w:val="24"/>
        </w:rPr>
        <w:t xml:space="preserve">Drejtoria e Licencimit, Autorizimeve dhe Mbikëqyrjes të njoftojë shoqërinë “BMG </w:t>
      </w:r>
      <w:r w:rsidR="00E915AE" w:rsidRPr="006F6521">
        <w:rPr>
          <w:rFonts w:ascii="Garamond" w:eastAsiaTheme="minorHAnsi" w:hAnsi="Garamond"/>
          <w:color w:val="000000"/>
          <w:sz w:val="24"/>
          <w:szCs w:val="24"/>
        </w:rPr>
        <w:t>Energy Sal</w:t>
      </w:r>
      <w:r w:rsidRPr="006F6521">
        <w:rPr>
          <w:rFonts w:ascii="Garamond" w:eastAsiaTheme="minorHAnsi" w:hAnsi="Garamond"/>
          <w:color w:val="000000"/>
          <w:sz w:val="24"/>
          <w:szCs w:val="24"/>
        </w:rPr>
        <w:t>” sh.p.k</w:t>
      </w:r>
      <w:r w:rsidR="00596244">
        <w:rPr>
          <w:rFonts w:ascii="Garamond" w:eastAsiaTheme="minorHAnsi" w:hAnsi="Garamond"/>
          <w:color w:val="000000"/>
          <w:sz w:val="24"/>
          <w:szCs w:val="24"/>
        </w:rPr>
        <w:t>.</w:t>
      </w:r>
      <w:r w:rsidRPr="006F6521">
        <w:rPr>
          <w:rFonts w:ascii="Garamond" w:eastAsiaTheme="minorHAnsi" w:hAnsi="Garamond"/>
          <w:color w:val="000000"/>
          <w:sz w:val="24"/>
          <w:szCs w:val="24"/>
        </w:rPr>
        <w:t xml:space="preserve"> për vendimin e </w:t>
      </w:r>
      <w:r w:rsidR="006F6521" w:rsidRPr="006F6521">
        <w:rPr>
          <w:rFonts w:ascii="Garamond" w:eastAsiaTheme="minorHAnsi" w:hAnsi="Garamond"/>
          <w:color w:val="000000"/>
          <w:sz w:val="24"/>
          <w:szCs w:val="24"/>
        </w:rPr>
        <w:t xml:space="preserve">Bordit </w:t>
      </w:r>
      <w:r w:rsidRPr="006F6521">
        <w:rPr>
          <w:rFonts w:ascii="Garamond" w:eastAsiaTheme="minorHAnsi" w:hAnsi="Garamond"/>
          <w:color w:val="000000"/>
          <w:sz w:val="24"/>
          <w:szCs w:val="24"/>
        </w:rPr>
        <w:t>të ERE-s.</w:t>
      </w:r>
    </w:p>
    <w:p w14:paraId="3F16035D" w14:textId="77777777" w:rsidR="00917872" w:rsidRPr="006F6521" w:rsidRDefault="00917872" w:rsidP="00917872">
      <w:pPr>
        <w:autoSpaceDE w:val="0"/>
        <w:autoSpaceDN w:val="0"/>
        <w:adjustRightInd w:val="0"/>
        <w:spacing w:after="0" w:line="240" w:lineRule="auto"/>
        <w:ind w:firstLine="284"/>
        <w:jc w:val="both"/>
        <w:rPr>
          <w:rFonts w:ascii="Garamond" w:eastAsiaTheme="minorHAnsi" w:hAnsi="Garamond" w:cs="Calibri"/>
          <w:color w:val="000000"/>
          <w:sz w:val="18"/>
          <w:szCs w:val="18"/>
        </w:rPr>
      </w:pPr>
      <w:r w:rsidRPr="006F6521">
        <w:rPr>
          <w:rFonts w:ascii="Garamond" w:eastAsiaTheme="minorHAnsi" w:hAnsi="Garamond"/>
          <w:color w:val="000000"/>
          <w:sz w:val="24"/>
          <w:szCs w:val="24"/>
        </w:rPr>
        <w:t xml:space="preserve">Ky vendim hyn në fuqi menjëherë. </w:t>
      </w:r>
    </w:p>
    <w:p w14:paraId="4A8BD05E" w14:textId="77777777"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r w:rsidRPr="006F6521">
        <w:rPr>
          <w:rFonts w:ascii="Garamond" w:eastAsiaTheme="minorHAnsi" w:hAnsi="Garamond"/>
          <w:color w:val="000000"/>
          <w:sz w:val="24"/>
          <w:szCs w:val="24"/>
        </w:rPr>
        <w:t>Ky vendim botohet në Fletoren Zyrtare.</w:t>
      </w:r>
    </w:p>
    <w:p w14:paraId="70C57352" w14:textId="77777777" w:rsidR="00917872" w:rsidRPr="006F6521" w:rsidRDefault="00917872" w:rsidP="00917872">
      <w:pPr>
        <w:autoSpaceDE w:val="0"/>
        <w:autoSpaceDN w:val="0"/>
        <w:adjustRightInd w:val="0"/>
        <w:spacing w:after="0" w:line="240" w:lineRule="auto"/>
        <w:ind w:firstLine="284"/>
        <w:jc w:val="both"/>
        <w:rPr>
          <w:rFonts w:ascii="Garamond" w:eastAsiaTheme="minorHAnsi" w:hAnsi="Garamond"/>
          <w:color w:val="000000"/>
          <w:sz w:val="24"/>
          <w:szCs w:val="24"/>
        </w:rPr>
      </w:pPr>
    </w:p>
    <w:p w14:paraId="61E61470" w14:textId="0D9543F6" w:rsidR="00917872" w:rsidRPr="006F6521" w:rsidRDefault="00917872" w:rsidP="00E32F2B">
      <w:pPr>
        <w:autoSpaceDE w:val="0"/>
        <w:autoSpaceDN w:val="0"/>
        <w:adjustRightInd w:val="0"/>
        <w:spacing w:after="0" w:line="240" w:lineRule="auto"/>
        <w:ind w:firstLine="284"/>
        <w:jc w:val="right"/>
        <w:rPr>
          <w:rFonts w:ascii="Garamond" w:eastAsiaTheme="minorHAnsi" w:hAnsi="Garamond"/>
          <w:bCs/>
          <w:color w:val="000000"/>
          <w:sz w:val="24"/>
          <w:szCs w:val="24"/>
        </w:rPr>
      </w:pPr>
      <w:r w:rsidRPr="006F6521">
        <w:rPr>
          <w:rFonts w:ascii="Garamond" w:eastAsiaTheme="minorHAnsi" w:hAnsi="Garamond"/>
          <w:bCs/>
          <w:color w:val="000000"/>
          <w:sz w:val="24"/>
          <w:szCs w:val="24"/>
        </w:rPr>
        <w:t>KRYETAR</w:t>
      </w:r>
    </w:p>
    <w:p w14:paraId="52AAEC12" w14:textId="325CF495" w:rsidR="00917872" w:rsidRPr="006F6521" w:rsidRDefault="00E32F2B" w:rsidP="00E32F2B">
      <w:pPr>
        <w:autoSpaceDE w:val="0"/>
        <w:autoSpaceDN w:val="0"/>
        <w:adjustRightInd w:val="0"/>
        <w:spacing w:after="0" w:line="240" w:lineRule="auto"/>
        <w:ind w:firstLine="284"/>
        <w:jc w:val="right"/>
        <w:rPr>
          <w:rFonts w:ascii="Garamond" w:eastAsiaTheme="minorHAnsi" w:hAnsi="Garamond"/>
          <w:b/>
          <w:bCs/>
          <w:color w:val="000000"/>
          <w:sz w:val="24"/>
          <w:szCs w:val="24"/>
        </w:rPr>
      </w:pPr>
      <w:r w:rsidRPr="006F6521">
        <w:rPr>
          <w:rFonts w:ascii="Garamond" w:eastAsiaTheme="minorHAnsi" w:hAnsi="Garamond"/>
          <w:b/>
          <w:bCs/>
          <w:color w:val="000000"/>
          <w:sz w:val="24"/>
          <w:szCs w:val="24"/>
        </w:rPr>
        <w:t>Petrit Ahmeti</w:t>
      </w:r>
    </w:p>
    <w:p w14:paraId="53F0360D" w14:textId="079F29AB" w:rsidR="00ED4768" w:rsidRPr="006F6521" w:rsidRDefault="00ED4768" w:rsidP="00E32F2B">
      <w:pPr>
        <w:spacing w:after="0" w:line="240" w:lineRule="auto"/>
        <w:ind w:firstLine="284"/>
        <w:jc w:val="right"/>
        <w:rPr>
          <w:rFonts w:ascii="Garamond" w:hAnsi="Garamond"/>
        </w:rPr>
      </w:pPr>
    </w:p>
    <w:sectPr w:rsidR="00ED4768" w:rsidRPr="006F6521" w:rsidSect="00F16960">
      <w:footerReference w:type="default" r:id="rId13"/>
      <w:pgSz w:w="12240" w:h="15840"/>
      <w:pgMar w:top="270" w:right="1440" w:bottom="1080" w:left="1440" w:header="27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F8A03" w14:textId="77777777" w:rsidR="00E34EB2" w:rsidRDefault="00E34EB2" w:rsidP="00A12E72">
      <w:pPr>
        <w:spacing w:after="0" w:line="240" w:lineRule="auto"/>
      </w:pPr>
      <w:r>
        <w:separator/>
      </w:r>
    </w:p>
  </w:endnote>
  <w:endnote w:type="continuationSeparator" w:id="0">
    <w:p w14:paraId="49BE10D3" w14:textId="77777777" w:rsidR="00E34EB2" w:rsidRDefault="00E34EB2" w:rsidP="00A12E72">
      <w:pPr>
        <w:spacing w:after="0" w:line="240" w:lineRule="auto"/>
      </w:pPr>
      <w:r>
        <w:continuationSeparator/>
      </w:r>
    </w:p>
  </w:endnote>
  <w:endnote w:type="continuationNotice" w:id="1">
    <w:p w14:paraId="3AA38CA5" w14:textId="77777777" w:rsidR="00E34EB2" w:rsidRDefault="00E34EB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402E" w14:textId="5649AD17" w:rsidR="00E34EB2" w:rsidRDefault="00E34E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391613" w14:textId="77777777" w:rsidR="00E34EB2" w:rsidRDefault="00E34EB2" w:rsidP="00A12E72">
      <w:pPr>
        <w:spacing w:after="0" w:line="240" w:lineRule="auto"/>
      </w:pPr>
      <w:r>
        <w:separator/>
      </w:r>
    </w:p>
  </w:footnote>
  <w:footnote w:type="continuationSeparator" w:id="0">
    <w:p w14:paraId="411822BB" w14:textId="77777777" w:rsidR="00E34EB2" w:rsidRDefault="00E34EB2" w:rsidP="00A12E72">
      <w:pPr>
        <w:spacing w:after="0" w:line="240" w:lineRule="auto"/>
      </w:pPr>
      <w:r>
        <w:continuationSeparator/>
      </w:r>
    </w:p>
  </w:footnote>
  <w:footnote w:type="continuationNotice" w:id="1">
    <w:p w14:paraId="54249E5F" w14:textId="77777777" w:rsidR="00E34EB2" w:rsidRDefault="00E34EB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A0A53"/>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 w15:restartNumberingAfterBreak="0">
    <w:nsid w:val="0A337189"/>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932365"/>
    <w:multiLevelType w:val="hybridMultilevel"/>
    <w:tmpl w:val="F5A8CA84"/>
    <w:lvl w:ilvl="0" w:tplc="C56097B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77EB5"/>
    <w:multiLevelType w:val="hybridMultilevel"/>
    <w:tmpl w:val="59F817A4"/>
    <w:lvl w:ilvl="0" w:tplc="4530948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A7774C"/>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1CF35AD5"/>
    <w:multiLevelType w:val="hybridMultilevel"/>
    <w:tmpl w:val="92B6FE20"/>
    <w:lvl w:ilvl="0" w:tplc="999C743E">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51A1D"/>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15:restartNumberingAfterBreak="0">
    <w:nsid w:val="290C7448"/>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2C835BFF"/>
    <w:multiLevelType w:val="hybridMultilevel"/>
    <w:tmpl w:val="0B98403E"/>
    <w:lvl w:ilvl="0" w:tplc="143A5562">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D0B3A78"/>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713CA3"/>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812C22"/>
    <w:multiLevelType w:val="hybridMultilevel"/>
    <w:tmpl w:val="9B5A5B36"/>
    <w:lvl w:ilvl="0" w:tplc="04090009">
      <w:start w:val="1"/>
      <w:numFmt w:val="bullet"/>
      <w:lvlText w:val=""/>
      <w:lvlJc w:val="left"/>
      <w:pPr>
        <w:ind w:left="36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865FD5"/>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870E43"/>
    <w:multiLevelType w:val="hybridMultilevel"/>
    <w:tmpl w:val="8DD6DC9A"/>
    <w:lvl w:ilvl="0" w:tplc="9F0AEE6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64A5D"/>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93A14BE"/>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545816"/>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86F67E2"/>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71F6222"/>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9" w15:restartNumberingAfterBreak="0">
    <w:nsid w:val="680A1326"/>
    <w:multiLevelType w:val="hybridMultilevel"/>
    <w:tmpl w:val="B842558E"/>
    <w:lvl w:ilvl="0" w:tplc="04090009">
      <w:start w:val="1"/>
      <w:numFmt w:val="bullet"/>
      <w:lvlText w:val=""/>
      <w:lvlJc w:val="left"/>
      <w:pPr>
        <w:ind w:left="720" w:hanging="360"/>
      </w:pPr>
      <w:rPr>
        <w:rFonts w:ascii="Wingdings" w:hAnsi="Wingdings" w:hint="default"/>
        <w:sz w:val="20"/>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83929C7"/>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87113B1"/>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3E7303"/>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BD3CF1"/>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15:restartNumberingAfterBreak="0">
    <w:nsid w:val="7A211D2E"/>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A2832AF"/>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E1639C"/>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7FD86585"/>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7FFE790B"/>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4"/>
  </w:num>
  <w:num w:numId="2">
    <w:abstractNumId w:val="9"/>
  </w:num>
  <w:num w:numId="3">
    <w:abstractNumId w:val="16"/>
  </w:num>
  <w:num w:numId="4">
    <w:abstractNumId w:val="15"/>
  </w:num>
  <w:num w:numId="5">
    <w:abstractNumId w:val="12"/>
  </w:num>
  <w:num w:numId="6">
    <w:abstractNumId w:val="8"/>
  </w:num>
  <w:num w:numId="7">
    <w:abstractNumId w:val="6"/>
  </w:num>
  <w:num w:numId="8">
    <w:abstractNumId w:val="23"/>
  </w:num>
  <w:num w:numId="9">
    <w:abstractNumId w:val="17"/>
  </w:num>
  <w:num w:numId="10">
    <w:abstractNumId w:val="1"/>
  </w:num>
  <w:num w:numId="11">
    <w:abstractNumId w:val="14"/>
  </w:num>
  <w:num w:numId="12">
    <w:abstractNumId w:val="28"/>
  </w:num>
  <w:num w:numId="13">
    <w:abstractNumId w:val="25"/>
  </w:num>
  <w:num w:numId="14">
    <w:abstractNumId w:val="4"/>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num>
  <w:num w:numId="17">
    <w:abstractNumId w:val="5"/>
  </w:num>
  <w:num w:numId="18">
    <w:abstractNumId w:val="22"/>
  </w:num>
  <w:num w:numId="19">
    <w:abstractNumId w:val="2"/>
  </w:num>
  <w:num w:numId="20">
    <w:abstractNumId w:val="10"/>
  </w:num>
  <w:num w:numId="21">
    <w:abstractNumId w:val="27"/>
  </w:num>
  <w:num w:numId="22">
    <w:abstractNumId w:val="7"/>
  </w:num>
  <w:num w:numId="23">
    <w:abstractNumId w:val="20"/>
  </w:num>
  <w:num w:numId="24">
    <w:abstractNumId w:val="21"/>
  </w:num>
  <w:num w:numId="25">
    <w:abstractNumId w:val="0"/>
  </w:num>
  <w:num w:numId="26">
    <w:abstractNumId w:val="18"/>
  </w:num>
  <w:num w:numId="27">
    <w:abstractNumId w:val="3"/>
  </w:num>
  <w:num w:numId="28">
    <w:abstractNumId w:val="19"/>
  </w:num>
  <w:num w:numId="29">
    <w:abstractNumId w:val="11"/>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DC3"/>
    <w:rsid w:val="00000ED4"/>
    <w:rsid w:val="00006058"/>
    <w:rsid w:val="00007606"/>
    <w:rsid w:val="00007D95"/>
    <w:rsid w:val="00017D65"/>
    <w:rsid w:val="0002478B"/>
    <w:rsid w:val="00024D3C"/>
    <w:rsid w:val="00026E7E"/>
    <w:rsid w:val="000272D0"/>
    <w:rsid w:val="000277EC"/>
    <w:rsid w:val="00030CEA"/>
    <w:rsid w:val="00033AAA"/>
    <w:rsid w:val="00041D74"/>
    <w:rsid w:val="0004367E"/>
    <w:rsid w:val="000471CC"/>
    <w:rsid w:val="0005070F"/>
    <w:rsid w:val="00050B31"/>
    <w:rsid w:val="00051755"/>
    <w:rsid w:val="0005318A"/>
    <w:rsid w:val="0005781D"/>
    <w:rsid w:val="00060285"/>
    <w:rsid w:val="00063446"/>
    <w:rsid w:val="000640BE"/>
    <w:rsid w:val="0006701E"/>
    <w:rsid w:val="00072265"/>
    <w:rsid w:val="00072FD9"/>
    <w:rsid w:val="000767FD"/>
    <w:rsid w:val="0008020F"/>
    <w:rsid w:val="00081604"/>
    <w:rsid w:val="0008593E"/>
    <w:rsid w:val="00093081"/>
    <w:rsid w:val="00093A88"/>
    <w:rsid w:val="000A055D"/>
    <w:rsid w:val="000A1D51"/>
    <w:rsid w:val="000A496D"/>
    <w:rsid w:val="000A76F6"/>
    <w:rsid w:val="000B1197"/>
    <w:rsid w:val="000B2134"/>
    <w:rsid w:val="000B4591"/>
    <w:rsid w:val="000B6946"/>
    <w:rsid w:val="000B71DF"/>
    <w:rsid w:val="000C0185"/>
    <w:rsid w:val="000C38F8"/>
    <w:rsid w:val="000C4C8B"/>
    <w:rsid w:val="000C7F3C"/>
    <w:rsid w:val="000E04D9"/>
    <w:rsid w:val="000E142D"/>
    <w:rsid w:val="000E55F3"/>
    <w:rsid w:val="000E5CD8"/>
    <w:rsid w:val="000E6938"/>
    <w:rsid w:val="000E7651"/>
    <w:rsid w:val="000E7F0C"/>
    <w:rsid w:val="000F61A7"/>
    <w:rsid w:val="00106574"/>
    <w:rsid w:val="001073EB"/>
    <w:rsid w:val="001107A7"/>
    <w:rsid w:val="00110B32"/>
    <w:rsid w:val="00110BE1"/>
    <w:rsid w:val="001110E3"/>
    <w:rsid w:val="00113A69"/>
    <w:rsid w:val="0011517C"/>
    <w:rsid w:val="00115D69"/>
    <w:rsid w:val="00120A7E"/>
    <w:rsid w:val="001260F8"/>
    <w:rsid w:val="00126B70"/>
    <w:rsid w:val="00131F5D"/>
    <w:rsid w:val="0013714F"/>
    <w:rsid w:val="00140ACF"/>
    <w:rsid w:val="0014559F"/>
    <w:rsid w:val="0014592D"/>
    <w:rsid w:val="00151B28"/>
    <w:rsid w:val="00153230"/>
    <w:rsid w:val="00155698"/>
    <w:rsid w:val="00161477"/>
    <w:rsid w:val="00171C33"/>
    <w:rsid w:val="00171FDE"/>
    <w:rsid w:val="001835C7"/>
    <w:rsid w:val="00191E87"/>
    <w:rsid w:val="0019627A"/>
    <w:rsid w:val="001A2412"/>
    <w:rsid w:val="001A367E"/>
    <w:rsid w:val="001A6309"/>
    <w:rsid w:val="001A6517"/>
    <w:rsid w:val="001B13A1"/>
    <w:rsid w:val="001B20E6"/>
    <w:rsid w:val="001B4209"/>
    <w:rsid w:val="001B740E"/>
    <w:rsid w:val="001C2250"/>
    <w:rsid w:val="001C626B"/>
    <w:rsid w:val="001C79E0"/>
    <w:rsid w:val="001D4A69"/>
    <w:rsid w:val="001E012F"/>
    <w:rsid w:val="001E4A39"/>
    <w:rsid w:val="001E4D7F"/>
    <w:rsid w:val="001F1E26"/>
    <w:rsid w:val="001F390C"/>
    <w:rsid w:val="001F62FA"/>
    <w:rsid w:val="001F7146"/>
    <w:rsid w:val="001F728C"/>
    <w:rsid w:val="002030B9"/>
    <w:rsid w:val="0020344C"/>
    <w:rsid w:val="00203504"/>
    <w:rsid w:val="0020498F"/>
    <w:rsid w:val="002062A2"/>
    <w:rsid w:val="00206994"/>
    <w:rsid w:val="00207C25"/>
    <w:rsid w:val="002103D5"/>
    <w:rsid w:val="00213D88"/>
    <w:rsid w:val="002144F0"/>
    <w:rsid w:val="00215CE0"/>
    <w:rsid w:val="00226E6B"/>
    <w:rsid w:val="00235954"/>
    <w:rsid w:val="002518DD"/>
    <w:rsid w:val="002521C8"/>
    <w:rsid w:val="00255522"/>
    <w:rsid w:val="0025727B"/>
    <w:rsid w:val="00257B9F"/>
    <w:rsid w:val="00261521"/>
    <w:rsid w:val="00261C28"/>
    <w:rsid w:val="002673D2"/>
    <w:rsid w:val="00270054"/>
    <w:rsid w:val="00275A5B"/>
    <w:rsid w:val="0027610F"/>
    <w:rsid w:val="00281A90"/>
    <w:rsid w:val="00283641"/>
    <w:rsid w:val="002838F2"/>
    <w:rsid w:val="002849BB"/>
    <w:rsid w:val="00284F25"/>
    <w:rsid w:val="00290E70"/>
    <w:rsid w:val="002937A2"/>
    <w:rsid w:val="002A1768"/>
    <w:rsid w:val="002C2BDF"/>
    <w:rsid w:val="002C3358"/>
    <w:rsid w:val="002C50F1"/>
    <w:rsid w:val="002D12AF"/>
    <w:rsid w:val="002D4E42"/>
    <w:rsid w:val="002D699E"/>
    <w:rsid w:val="002E3397"/>
    <w:rsid w:val="002E453E"/>
    <w:rsid w:val="002E68F2"/>
    <w:rsid w:val="002F07B0"/>
    <w:rsid w:val="002F21D4"/>
    <w:rsid w:val="002F3170"/>
    <w:rsid w:val="002F31D6"/>
    <w:rsid w:val="002F3F05"/>
    <w:rsid w:val="002F6A34"/>
    <w:rsid w:val="00300D2F"/>
    <w:rsid w:val="00302C90"/>
    <w:rsid w:val="003036F4"/>
    <w:rsid w:val="00304E10"/>
    <w:rsid w:val="00306615"/>
    <w:rsid w:val="00313FC7"/>
    <w:rsid w:val="00314577"/>
    <w:rsid w:val="00315C27"/>
    <w:rsid w:val="003173E6"/>
    <w:rsid w:val="00327232"/>
    <w:rsid w:val="00333C8D"/>
    <w:rsid w:val="00334457"/>
    <w:rsid w:val="00335FFE"/>
    <w:rsid w:val="003362AD"/>
    <w:rsid w:val="00343564"/>
    <w:rsid w:val="00347F8E"/>
    <w:rsid w:val="00362790"/>
    <w:rsid w:val="00365C7A"/>
    <w:rsid w:val="003753E5"/>
    <w:rsid w:val="00376715"/>
    <w:rsid w:val="00376EDB"/>
    <w:rsid w:val="003969BC"/>
    <w:rsid w:val="003A1BCE"/>
    <w:rsid w:val="003A3A83"/>
    <w:rsid w:val="003A639D"/>
    <w:rsid w:val="003A799B"/>
    <w:rsid w:val="003B0A3F"/>
    <w:rsid w:val="003B423D"/>
    <w:rsid w:val="003B452D"/>
    <w:rsid w:val="003B77E6"/>
    <w:rsid w:val="003C2599"/>
    <w:rsid w:val="003C735B"/>
    <w:rsid w:val="003D761A"/>
    <w:rsid w:val="003E2371"/>
    <w:rsid w:val="003E2CE9"/>
    <w:rsid w:val="003E45AF"/>
    <w:rsid w:val="003E4B5C"/>
    <w:rsid w:val="003E7996"/>
    <w:rsid w:val="003F4DFC"/>
    <w:rsid w:val="004004E0"/>
    <w:rsid w:val="00400BE9"/>
    <w:rsid w:val="00406579"/>
    <w:rsid w:val="004113D0"/>
    <w:rsid w:val="0041245B"/>
    <w:rsid w:val="0041665A"/>
    <w:rsid w:val="0042043B"/>
    <w:rsid w:val="00425FD5"/>
    <w:rsid w:val="0042750E"/>
    <w:rsid w:val="004374E8"/>
    <w:rsid w:val="004376BF"/>
    <w:rsid w:val="004434C6"/>
    <w:rsid w:val="004451E1"/>
    <w:rsid w:val="004467B4"/>
    <w:rsid w:val="00453B52"/>
    <w:rsid w:val="00453BBC"/>
    <w:rsid w:val="00457513"/>
    <w:rsid w:val="0046142F"/>
    <w:rsid w:val="004625BD"/>
    <w:rsid w:val="00475DD3"/>
    <w:rsid w:val="004760F1"/>
    <w:rsid w:val="004834A5"/>
    <w:rsid w:val="004914DC"/>
    <w:rsid w:val="00493DCC"/>
    <w:rsid w:val="00494685"/>
    <w:rsid w:val="00495502"/>
    <w:rsid w:val="00496558"/>
    <w:rsid w:val="004A1028"/>
    <w:rsid w:val="004A21C1"/>
    <w:rsid w:val="004A3EF5"/>
    <w:rsid w:val="004A7D08"/>
    <w:rsid w:val="004B2803"/>
    <w:rsid w:val="004B3B8A"/>
    <w:rsid w:val="004C064A"/>
    <w:rsid w:val="004C15A7"/>
    <w:rsid w:val="004C19EA"/>
    <w:rsid w:val="004D2CFB"/>
    <w:rsid w:val="004D3BAC"/>
    <w:rsid w:val="004D3F1C"/>
    <w:rsid w:val="004D4A89"/>
    <w:rsid w:val="004D5B5B"/>
    <w:rsid w:val="004D5DC3"/>
    <w:rsid w:val="004E563A"/>
    <w:rsid w:val="004F19AB"/>
    <w:rsid w:val="004F783B"/>
    <w:rsid w:val="004F7C85"/>
    <w:rsid w:val="005020BB"/>
    <w:rsid w:val="005027D9"/>
    <w:rsid w:val="00506E0A"/>
    <w:rsid w:val="005116E5"/>
    <w:rsid w:val="00514574"/>
    <w:rsid w:val="00516E4D"/>
    <w:rsid w:val="00524832"/>
    <w:rsid w:val="005251F0"/>
    <w:rsid w:val="00525395"/>
    <w:rsid w:val="00525773"/>
    <w:rsid w:val="00526F60"/>
    <w:rsid w:val="0053117E"/>
    <w:rsid w:val="00531202"/>
    <w:rsid w:val="00531E6A"/>
    <w:rsid w:val="005355F5"/>
    <w:rsid w:val="0053589D"/>
    <w:rsid w:val="00540760"/>
    <w:rsid w:val="005444F1"/>
    <w:rsid w:val="00545A84"/>
    <w:rsid w:val="005566C5"/>
    <w:rsid w:val="00556998"/>
    <w:rsid w:val="00557A7B"/>
    <w:rsid w:val="00562C1A"/>
    <w:rsid w:val="005702BF"/>
    <w:rsid w:val="00571686"/>
    <w:rsid w:val="005816ED"/>
    <w:rsid w:val="00581C7B"/>
    <w:rsid w:val="00586297"/>
    <w:rsid w:val="00586EF1"/>
    <w:rsid w:val="0059100A"/>
    <w:rsid w:val="00593F35"/>
    <w:rsid w:val="00596244"/>
    <w:rsid w:val="005A0C25"/>
    <w:rsid w:val="005A1A17"/>
    <w:rsid w:val="005A2B2E"/>
    <w:rsid w:val="005A5124"/>
    <w:rsid w:val="005A65E7"/>
    <w:rsid w:val="005B13D9"/>
    <w:rsid w:val="005B5D4B"/>
    <w:rsid w:val="005D1876"/>
    <w:rsid w:val="005D1BDE"/>
    <w:rsid w:val="005D3906"/>
    <w:rsid w:val="005D40F9"/>
    <w:rsid w:val="005D69CD"/>
    <w:rsid w:val="005E3820"/>
    <w:rsid w:val="005F03BE"/>
    <w:rsid w:val="005F15A4"/>
    <w:rsid w:val="005F3240"/>
    <w:rsid w:val="005F5637"/>
    <w:rsid w:val="005F6367"/>
    <w:rsid w:val="006049CA"/>
    <w:rsid w:val="0061313C"/>
    <w:rsid w:val="006165CC"/>
    <w:rsid w:val="00622829"/>
    <w:rsid w:val="006237C2"/>
    <w:rsid w:val="00630163"/>
    <w:rsid w:val="006336DB"/>
    <w:rsid w:val="006341D1"/>
    <w:rsid w:val="0064143C"/>
    <w:rsid w:val="006418E6"/>
    <w:rsid w:val="00641999"/>
    <w:rsid w:val="006444E0"/>
    <w:rsid w:val="006447CD"/>
    <w:rsid w:val="006471D0"/>
    <w:rsid w:val="0064737E"/>
    <w:rsid w:val="00647C7F"/>
    <w:rsid w:val="006529E8"/>
    <w:rsid w:val="006573A9"/>
    <w:rsid w:val="006669B4"/>
    <w:rsid w:val="006772A3"/>
    <w:rsid w:val="00680DA7"/>
    <w:rsid w:val="00687DDC"/>
    <w:rsid w:val="006907E8"/>
    <w:rsid w:val="006938BB"/>
    <w:rsid w:val="00696930"/>
    <w:rsid w:val="006B31DD"/>
    <w:rsid w:val="006B3DBD"/>
    <w:rsid w:val="006C6E2E"/>
    <w:rsid w:val="006C7E05"/>
    <w:rsid w:val="006D0419"/>
    <w:rsid w:val="006D0806"/>
    <w:rsid w:val="006D252F"/>
    <w:rsid w:val="006D72BE"/>
    <w:rsid w:val="006E03A7"/>
    <w:rsid w:val="006E041B"/>
    <w:rsid w:val="006E2507"/>
    <w:rsid w:val="006E3301"/>
    <w:rsid w:val="006E5811"/>
    <w:rsid w:val="006F6521"/>
    <w:rsid w:val="00703D24"/>
    <w:rsid w:val="007059A3"/>
    <w:rsid w:val="00710135"/>
    <w:rsid w:val="00723469"/>
    <w:rsid w:val="0072388F"/>
    <w:rsid w:val="007309F2"/>
    <w:rsid w:val="00731CDB"/>
    <w:rsid w:val="00742E74"/>
    <w:rsid w:val="007445B8"/>
    <w:rsid w:val="00745E14"/>
    <w:rsid w:val="007466B0"/>
    <w:rsid w:val="00752B37"/>
    <w:rsid w:val="00752DA6"/>
    <w:rsid w:val="007552AE"/>
    <w:rsid w:val="007577C3"/>
    <w:rsid w:val="00767084"/>
    <w:rsid w:val="0077532C"/>
    <w:rsid w:val="00783AEF"/>
    <w:rsid w:val="00784080"/>
    <w:rsid w:val="007851F0"/>
    <w:rsid w:val="007959AF"/>
    <w:rsid w:val="007A09FA"/>
    <w:rsid w:val="007A4880"/>
    <w:rsid w:val="007A717C"/>
    <w:rsid w:val="007A7DE6"/>
    <w:rsid w:val="007B01EA"/>
    <w:rsid w:val="007B404B"/>
    <w:rsid w:val="007B4968"/>
    <w:rsid w:val="007B68CC"/>
    <w:rsid w:val="007B7BED"/>
    <w:rsid w:val="007C30A9"/>
    <w:rsid w:val="007C77B8"/>
    <w:rsid w:val="007C7FFB"/>
    <w:rsid w:val="007D07E7"/>
    <w:rsid w:val="007D2710"/>
    <w:rsid w:val="007D2AF0"/>
    <w:rsid w:val="007D4DF7"/>
    <w:rsid w:val="007E0A2D"/>
    <w:rsid w:val="007E2C31"/>
    <w:rsid w:val="007E4AC3"/>
    <w:rsid w:val="007F2504"/>
    <w:rsid w:val="007F2805"/>
    <w:rsid w:val="007F4972"/>
    <w:rsid w:val="0080110F"/>
    <w:rsid w:val="00813267"/>
    <w:rsid w:val="008155FA"/>
    <w:rsid w:val="008175B1"/>
    <w:rsid w:val="00826129"/>
    <w:rsid w:val="00826BAD"/>
    <w:rsid w:val="00831EB3"/>
    <w:rsid w:val="00844E4B"/>
    <w:rsid w:val="00845EEA"/>
    <w:rsid w:val="00854180"/>
    <w:rsid w:val="008545A8"/>
    <w:rsid w:val="00860B63"/>
    <w:rsid w:val="0086461B"/>
    <w:rsid w:val="00864B58"/>
    <w:rsid w:val="0087131D"/>
    <w:rsid w:val="0087153E"/>
    <w:rsid w:val="008732BC"/>
    <w:rsid w:val="0087423E"/>
    <w:rsid w:val="008746E2"/>
    <w:rsid w:val="008752B7"/>
    <w:rsid w:val="00875BE0"/>
    <w:rsid w:val="00876816"/>
    <w:rsid w:val="00880252"/>
    <w:rsid w:val="0088349A"/>
    <w:rsid w:val="008867BC"/>
    <w:rsid w:val="00886A8A"/>
    <w:rsid w:val="00886FF6"/>
    <w:rsid w:val="008873E7"/>
    <w:rsid w:val="00887EF5"/>
    <w:rsid w:val="00895047"/>
    <w:rsid w:val="00895BDB"/>
    <w:rsid w:val="00895F11"/>
    <w:rsid w:val="00896E89"/>
    <w:rsid w:val="00896EB6"/>
    <w:rsid w:val="008A045D"/>
    <w:rsid w:val="008A2B8F"/>
    <w:rsid w:val="008B307D"/>
    <w:rsid w:val="008B5B53"/>
    <w:rsid w:val="008C5238"/>
    <w:rsid w:val="008C5CC8"/>
    <w:rsid w:val="008D2986"/>
    <w:rsid w:val="008D3BBD"/>
    <w:rsid w:val="008D4B2D"/>
    <w:rsid w:val="008D56B4"/>
    <w:rsid w:val="008D6CBF"/>
    <w:rsid w:val="008D7F9B"/>
    <w:rsid w:val="008E0D00"/>
    <w:rsid w:val="008E761C"/>
    <w:rsid w:val="008E778B"/>
    <w:rsid w:val="008F1AEE"/>
    <w:rsid w:val="008F4FEE"/>
    <w:rsid w:val="00900FA1"/>
    <w:rsid w:val="0090113E"/>
    <w:rsid w:val="00901D42"/>
    <w:rsid w:val="0091032A"/>
    <w:rsid w:val="00915834"/>
    <w:rsid w:val="00917872"/>
    <w:rsid w:val="0092413A"/>
    <w:rsid w:val="0094194C"/>
    <w:rsid w:val="00945231"/>
    <w:rsid w:val="00945A98"/>
    <w:rsid w:val="00952D9A"/>
    <w:rsid w:val="00954E9D"/>
    <w:rsid w:val="0095602F"/>
    <w:rsid w:val="009563A0"/>
    <w:rsid w:val="00960EEC"/>
    <w:rsid w:val="009652D4"/>
    <w:rsid w:val="00970C51"/>
    <w:rsid w:val="00973C50"/>
    <w:rsid w:val="009812CA"/>
    <w:rsid w:val="00981E93"/>
    <w:rsid w:val="00985F8A"/>
    <w:rsid w:val="00991AE1"/>
    <w:rsid w:val="0099271F"/>
    <w:rsid w:val="00994662"/>
    <w:rsid w:val="00994E9F"/>
    <w:rsid w:val="009963D4"/>
    <w:rsid w:val="00996651"/>
    <w:rsid w:val="009A12FA"/>
    <w:rsid w:val="009A56E1"/>
    <w:rsid w:val="009A5BD9"/>
    <w:rsid w:val="009B027F"/>
    <w:rsid w:val="009B5014"/>
    <w:rsid w:val="009B7150"/>
    <w:rsid w:val="009B7267"/>
    <w:rsid w:val="009B7758"/>
    <w:rsid w:val="009B79A3"/>
    <w:rsid w:val="009C136B"/>
    <w:rsid w:val="009C237C"/>
    <w:rsid w:val="009C29FD"/>
    <w:rsid w:val="009C356D"/>
    <w:rsid w:val="009C609E"/>
    <w:rsid w:val="009C6DFC"/>
    <w:rsid w:val="009D0BEF"/>
    <w:rsid w:val="009E3932"/>
    <w:rsid w:val="009E66C2"/>
    <w:rsid w:val="009E74C7"/>
    <w:rsid w:val="009E762B"/>
    <w:rsid w:val="009E77CB"/>
    <w:rsid w:val="009F395D"/>
    <w:rsid w:val="00A04D50"/>
    <w:rsid w:val="00A05051"/>
    <w:rsid w:val="00A06729"/>
    <w:rsid w:val="00A12E72"/>
    <w:rsid w:val="00A15325"/>
    <w:rsid w:val="00A15D29"/>
    <w:rsid w:val="00A20760"/>
    <w:rsid w:val="00A21019"/>
    <w:rsid w:val="00A22A4D"/>
    <w:rsid w:val="00A22DC7"/>
    <w:rsid w:val="00A244FB"/>
    <w:rsid w:val="00A26029"/>
    <w:rsid w:val="00A342CD"/>
    <w:rsid w:val="00A40188"/>
    <w:rsid w:val="00A4574B"/>
    <w:rsid w:val="00A46DE7"/>
    <w:rsid w:val="00A531B9"/>
    <w:rsid w:val="00A57576"/>
    <w:rsid w:val="00A6332A"/>
    <w:rsid w:val="00A6758C"/>
    <w:rsid w:val="00A675B1"/>
    <w:rsid w:val="00A710B8"/>
    <w:rsid w:val="00A77893"/>
    <w:rsid w:val="00A93CFD"/>
    <w:rsid w:val="00A94C12"/>
    <w:rsid w:val="00AA03BD"/>
    <w:rsid w:val="00AA0AA7"/>
    <w:rsid w:val="00AA468B"/>
    <w:rsid w:val="00AA7463"/>
    <w:rsid w:val="00AB0ABE"/>
    <w:rsid w:val="00AB1AE5"/>
    <w:rsid w:val="00AB2159"/>
    <w:rsid w:val="00AB414C"/>
    <w:rsid w:val="00AB654D"/>
    <w:rsid w:val="00AD2F17"/>
    <w:rsid w:val="00AD4FDA"/>
    <w:rsid w:val="00AE1F1C"/>
    <w:rsid w:val="00AE39AB"/>
    <w:rsid w:val="00AE4B2C"/>
    <w:rsid w:val="00AE7A30"/>
    <w:rsid w:val="00AE7A3F"/>
    <w:rsid w:val="00AF2BE5"/>
    <w:rsid w:val="00AF30E9"/>
    <w:rsid w:val="00B00A39"/>
    <w:rsid w:val="00B0577D"/>
    <w:rsid w:val="00B11902"/>
    <w:rsid w:val="00B127A8"/>
    <w:rsid w:val="00B129BE"/>
    <w:rsid w:val="00B14DC4"/>
    <w:rsid w:val="00B154AE"/>
    <w:rsid w:val="00B1671F"/>
    <w:rsid w:val="00B20BD6"/>
    <w:rsid w:val="00B22272"/>
    <w:rsid w:val="00B3195B"/>
    <w:rsid w:val="00B31A13"/>
    <w:rsid w:val="00B32C29"/>
    <w:rsid w:val="00B34697"/>
    <w:rsid w:val="00B3488D"/>
    <w:rsid w:val="00B4179A"/>
    <w:rsid w:val="00B420DC"/>
    <w:rsid w:val="00B421A1"/>
    <w:rsid w:val="00B422DB"/>
    <w:rsid w:val="00B42FBF"/>
    <w:rsid w:val="00B45AFE"/>
    <w:rsid w:val="00B46466"/>
    <w:rsid w:val="00B50BF0"/>
    <w:rsid w:val="00B52A1B"/>
    <w:rsid w:val="00B52E48"/>
    <w:rsid w:val="00B53870"/>
    <w:rsid w:val="00B55AFE"/>
    <w:rsid w:val="00B606DA"/>
    <w:rsid w:val="00B614A4"/>
    <w:rsid w:val="00B6152C"/>
    <w:rsid w:val="00B65805"/>
    <w:rsid w:val="00B67A0B"/>
    <w:rsid w:val="00B724C3"/>
    <w:rsid w:val="00B803A3"/>
    <w:rsid w:val="00B80558"/>
    <w:rsid w:val="00B83C7B"/>
    <w:rsid w:val="00B845E3"/>
    <w:rsid w:val="00B879FC"/>
    <w:rsid w:val="00B91EA8"/>
    <w:rsid w:val="00B95B6B"/>
    <w:rsid w:val="00B96878"/>
    <w:rsid w:val="00B97946"/>
    <w:rsid w:val="00BA3A4F"/>
    <w:rsid w:val="00BB0409"/>
    <w:rsid w:val="00BB16B3"/>
    <w:rsid w:val="00BB1FC0"/>
    <w:rsid w:val="00BC2156"/>
    <w:rsid w:val="00BC3896"/>
    <w:rsid w:val="00BC7731"/>
    <w:rsid w:val="00BD6321"/>
    <w:rsid w:val="00BE5452"/>
    <w:rsid w:val="00BE5CD2"/>
    <w:rsid w:val="00BE7277"/>
    <w:rsid w:val="00BE7D86"/>
    <w:rsid w:val="00BF1034"/>
    <w:rsid w:val="00BF44E5"/>
    <w:rsid w:val="00C0077A"/>
    <w:rsid w:val="00C04883"/>
    <w:rsid w:val="00C04FA6"/>
    <w:rsid w:val="00C12859"/>
    <w:rsid w:val="00C12DB3"/>
    <w:rsid w:val="00C15337"/>
    <w:rsid w:val="00C2090E"/>
    <w:rsid w:val="00C23B32"/>
    <w:rsid w:val="00C3217E"/>
    <w:rsid w:val="00C35C02"/>
    <w:rsid w:val="00C405AD"/>
    <w:rsid w:val="00C56B93"/>
    <w:rsid w:val="00C57EAE"/>
    <w:rsid w:val="00C80020"/>
    <w:rsid w:val="00C819A4"/>
    <w:rsid w:val="00C828FC"/>
    <w:rsid w:val="00C83EE3"/>
    <w:rsid w:val="00C84723"/>
    <w:rsid w:val="00C8592D"/>
    <w:rsid w:val="00C918A2"/>
    <w:rsid w:val="00C94D19"/>
    <w:rsid w:val="00C97430"/>
    <w:rsid w:val="00C978A8"/>
    <w:rsid w:val="00CA6474"/>
    <w:rsid w:val="00CA6521"/>
    <w:rsid w:val="00CB6F0F"/>
    <w:rsid w:val="00CB6FB3"/>
    <w:rsid w:val="00CC28B2"/>
    <w:rsid w:val="00CC3156"/>
    <w:rsid w:val="00CC4C07"/>
    <w:rsid w:val="00CC5F4A"/>
    <w:rsid w:val="00CC6460"/>
    <w:rsid w:val="00CC6B9F"/>
    <w:rsid w:val="00CD02FC"/>
    <w:rsid w:val="00CD03A6"/>
    <w:rsid w:val="00CD1730"/>
    <w:rsid w:val="00CD63CB"/>
    <w:rsid w:val="00CE2662"/>
    <w:rsid w:val="00CF0F5E"/>
    <w:rsid w:val="00D00AB1"/>
    <w:rsid w:val="00D03083"/>
    <w:rsid w:val="00D04B8C"/>
    <w:rsid w:val="00D10B83"/>
    <w:rsid w:val="00D10FE8"/>
    <w:rsid w:val="00D220B9"/>
    <w:rsid w:val="00D42FBC"/>
    <w:rsid w:val="00D43284"/>
    <w:rsid w:val="00D446A3"/>
    <w:rsid w:val="00D44A75"/>
    <w:rsid w:val="00D44FC5"/>
    <w:rsid w:val="00D452BD"/>
    <w:rsid w:val="00D47927"/>
    <w:rsid w:val="00D50ACC"/>
    <w:rsid w:val="00D50C43"/>
    <w:rsid w:val="00D515C1"/>
    <w:rsid w:val="00D558E2"/>
    <w:rsid w:val="00D564A8"/>
    <w:rsid w:val="00D57BED"/>
    <w:rsid w:val="00D600B6"/>
    <w:rsid w:val="00D622F1"/>
    <w:rsid w:val="00D62E74"/>
    <w:rsid w:val="00D65A5F"/>
    <w:rsid w:val="00D7322D"/>
    <w:rsid w:val="00D74379"/>
    <w:rsid w:val="00D7572D"/>
    <w:rsid w:val="00D75960"/>
    <w:rsid w:val="00D774C3"/>
    <w:rsid w:val="00D8045A"/>
    <w:rsid w:val="00D816F8"/>
    <w:rsid w:val="00D817E6"/>
    <w:rsid w:val="00D84069"/>
    <w:rsid w:val="00D842E3"/>
    <w:rsid w:val="00D85C5C"/>
    <w:rsid w:val="00D86496"/>
    <w:rsid w:val="00D87EA6"/>
    <w:rsid w:val="00D9497D"/>
    <w:rsid w:val="00DA246E"/>
    <w:rsid w:val="00DA59AB"/>
    <w:rsid w:val="00DA7BFE"/>
    <w:rsid w:val="00DB0239"/>
    <w:rsid w:val="00DB1814"/>
    <w:rsid w:val="00DB3C33"/>
    <w:rsid w:val="00DB5E0F"/>
    <w:rsid w:val="00DC68BB"/>
    <w:rsid w:val="00DC7C1D"/>
    <w:rsid w:val="00DD00ED"/>
    <w:rsid w:val="00DD3572"/>
    <w:rsid w:val="00DD4688"/>
    <w:rsid w:val="00DD70F3"/>
    <w:rsid w:val="00DD7DB6"/>
    <w:rsid w:val="00DE1927"/>
    <w:rsid w:val="00DF2AFD"/>
    <w:rsid w:val="00E0009D"/>
    <w:rsid w:val="00E0177C"/>
    <w:rsid w:val="00E01CB5"/>
    <w:rsid w:val="00E12228"/>
    <w:rsid w:val="00E164D1"/>
    <w:rsid w:val="00E173E2"/>
    <w:rsid w:val="00E2016B"/>
    <w:rsid w:val="00E226EA"/>
    <w:rsid w:val="00E27AB3"/>
    <w:rsid w:val="00E317AA"/>
    <w:rsid w:val="00E32089"/>
    <w:rsid w:val="00E32F2B"/>
    <w:rsid w:val="00E33188"/>
    <w:rsid w:val="00E341A2"/>
    <w:rsid w:val="00E34EB2"/>
    <w:rsid w:val="00E469DF"/>
    <w:rsid w:val="00E515D8"/>
    <w:rsid w:val="00E70811"/>
    <w:rsid w:val="00E72CC1"/>
    <w:rsid w:val="00E736B1"/>
    <w:rsid w:val="00E768C8"/>
    <w:rsid w:val="00E77A18"/>
    <w:rsid w:val="00E83989"/>
    <w:rsid w:val="00E85D64"/>
    <w:rsid w:val="00E9003B"/>
    <w:rsid w:val="00E915AE"/>
    <w:rsid w:val="00E92544"/>
    <w:rsid w:val="00E938CF"/>
    <w:rsid w:val="00E97BE8"/>
    <w:rsid w:val="00E97D91"/>
    <w:rsid w:val="00EA57C6"/>
    <w:rsid w:val="00EB2078"/>
    <w:rsid w:val="00EB6C7E"/>
    <w:rsid w:val="00EB788E"/>
    <w:rsid w:val="00EC11A6"/>
    <w:rsid w:val="00EC4904"/>
    <w:rsid w:val="00EC4CA1"/>
    <w:rsid w:val="00ED40EC"/>
    <w:rsid w:val="00ED4768"/>
    <w:rsid w:val="00EE17EA"/>
    <w:rsid w:val="00EE2158"/>
    <w:rsid w:val="00EE2E9D"/>
    <w:rsid w:val="00EE54B4"/>
    <w:rsid w:val="00EF1110"/>
    <w:rsid w:val="00EF1FE3"/>
    <w:rsid w:val="00EF5EC2"/>
    <w:rsid w:val="00F0382D"/>
    <w:rsid w:val="00F07239"/>
    <w:rsid w:val="00F07BEB"/>
    <w:rsid w:val="00F16960"/>
    <w:rsid w:val="00F2461E"/>
    <w:rsid w:val="00F33BE0"/>
    <w:rsid w:val="00F35447"/>
    <w:rsid w:val="00F407DE"/>
    <w:rsid w:val="00F40C8C"/>
    <w:rsid w:val="00F44B01"/>
    <w:rsid w:val="00F47EC1"/>
    <w:rsid w:val="00F528F1"/>
    <w:rsid w:val="00F565BD"/>
    <w:rsid w:val="00F5789A"/>
    <w:rsid w:val="00F60D27"/>
    <w:rsid w:val="00F66B1D"/>
    <w:rsid w:val="00F73FED"/>
    <w:rsid w:val="00F76343"/>
    <w:rsid w:val="00F83B11"/>
    <w:rsid w:val="00F93241"/>
    <w:rsid w:val="00F93C07"/>
    <w:rsid w:val="00F949D3"/>
    <w:rsid w:val="00F96C25"/>
    <w:rsid w:val="00F971A7"/>
    <w:rsid w:val="00FA051B"/>
    <w:rsid w:val="00FA25C2"/>
    <w:rsid w:val="00FA7F74"/>
    <w:rsid w:val="00FC0786"/>
    <w:rsid w:val="00FC1AB1"/>
    <w:rsid w:val="00FD4A8E"/>
    <w:rsid w:val="00FD62E2"/>
    <w:rsid w:val="00FD641A"/>
    <w:rsid w:val="00FE21AB"/>
    <w:rsid w:val="00FE4F5C"/>
    <w:rsid w:val="00FE5424"/>
    <w:rsid w:val="00FF7A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2F9A352"/>
  <w15:docId w15:val="{6DA6C095-AED4-41AC-B1F7-E9E3AA7C4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1D51"/>
    <w:rPr>
      <w:rFonts w:ascii="Calibri" w:eastAsia="Calibri" w:hAnsi="Calibri" w:cs="Times New Roman"/>
      <w:lang w:val="sq-AL"/>
    </w:rPr>
  </w:style>
  <w:style w:type="paragraph" w:styleId="Heading2">
    <w:name w:val="heading 2"/>
    <w:basedOn w:val="Normal"/>
    <w:next w:val="Normal"/>
    <w:link w:val="Heading2Char"/>
    <w:qFormat/>
    <w:rsid w:val="004D5DC3"/>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D5DC3"/>
    <w:rPr>
      <w:rFonts w:ascii="Times New Roman" w:eastAsia="Times New Roman" w:hAnsi="Times New Roman" w:cs="Times New Roman"/>
      <w:sz w:val="28"/>
      <w:szCs w:val="24"/>
    </w:rPr>
  </w:style>
  <w:style w:type="paragraph" w:styleId="Title">
    <w:name w:val="Title"/>
    <w:basedOn w:val="Normal"/>
    <w:link w:val="TitleChar"/>
    <w:qFormat/>
    <w:rsid w:val="004D5DC3"/>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sid w:val="004D5DC3"/>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4D5D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5DC3"/>
    <w:rPr>
      <w:rFonts w:ascii="Calibri" w:eastAsia="Calibri" w:hAnsi="Calibri" w:cs="Times New Roman"/>
    </w:rPr>
  </w:style>
  <w:style w:type="paragraph" w:styleId="Footer">
    <w:name w:val="footer"/>
    <w:basedOn w:val="Normal"/>
    <w:link w:val="FooterChar"/>
    <w:uiPriority w:val="99"/>
    <w:unhideWhenUsed/>
    <w:rsid w:val="004D5D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5DC3"/>
    <w:rPr>
      <w:rFonts w:ascii="Calibri" w:eastAsia="Calibri" w:hAnsi="Calibri" w:cs="Times New Roman"/>
    </w:rPr>
  </w:style>
  <w:style w:type="character" w:styleId="Hyperlink">
    <w:name w:val="Hyperlink"/>
    <w:basedOn w:val="DefaultParagraphFont"/>
    <w:uiPriority w:val="99"/>
    <w:unhideWhenUsed/>
    <w:rsid w:val="004D5DC3"/>
    <w:rPr>
      <w:color w:val="0000FF"/>
      <w:u w:val="single"/>
    </w:rPr>
  </w:style>
  <w:style w:type="paragraph" w:styleId="NoSpacing">
    <w:name w:val="No Spacing"/>
    <w:uiPriority w:val="1"/>
    <w:qFormat/>
    <w:rsid w:val="004D5DC3"/>
    <w:pPr>
      <w:spacing w:after="0" w:line="240" w:lineRule="auto"/>
    </w:pPr>
    <w:rPr>
      <w:rFonts w:ascii="Times New Roman" w:eastAsia="Times New Roman" w:hAnsi="Times New Roman" w:cs="Times New Roman"/>
      <w:sz w:val="24"/>
      <w:szCs w:val="24"/>
    </w:rPr>
  </w:style>
  <w:style w:type="paragraph" w:styleId="ListParagraph">
    <w:name w:val="List Paragraph"/>
    <w:aliases w:val="Akapit z listą BS,Bullet1,List Paragraph1,Akapit z lista B"/>
    <w:basedOn w:val="Normal"/>
    <w:link w:val="ListParagraphChar"/>
    <w:uiPriority w:val="99"/>
    <w:qFormat/>
    <w:rsid w:val="00DB1814"/>
    <w:pPr>
      <w:ind w:left="720"/>
      <w:contextualSpacing/>
    </w:pPr>
  </w:style>
  <w:style w:type="character" w:customStyle="1" w:styleId="UnresolvedMention1">
    <w:name w:val="Unresolved Mention1"/>
    <w:basedOn w:val="DefaultParagraphFont"/>
    <w:uiPriority w:val="99"/>
    <w:semiHidden/>
    <w:unhideWhenUsed/>
    <w:rsid w:val="00826BAD"/>
    <w:rPr>
      <w:color w:val="605E5C"/>
      <w:shd w:val="clear" w:color="auto" w:fill="E1DFDD"/>
    </w:rPr>
  </w:style>
  <w:style w:type="paragraph" w:styleId="BalloonText">
    <w:name w:val="Balloon Text"/>
    <w:basedOn w:val="Normal"/>
    <w:link w:val="BalloonTextChar"/>
    <w:uiPriority w:val="99"/>
    <w:semiHidden/>
    <w:unhideWhenUsed/>
    <w:rsid w:val="00D622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22F1"/>
    <w:rPr>
      <w:rFonts w:ascii="Segoe UI" w:eastAsia="Calibri" w:hAnsi="Segoe UI" w:cs="Segoe UI"/>
      <w:sz w:val="18"/>
      <w:szCs w:val="18"/>
    </w:rPr>
  </w:style>
  <w:style w:type="paragraph" w:styleId="HTMLPreformatted">
    <w:name w:val="HTML Preformatted"/>
    <w:basedOn w:val="Normal"/>
    <w:link w:val="HTMLPreformattedChar"/>
    <w:uiPriority w:val="99"/>
    <w:unhideWhenUsed/>
    <w:rsid w:val="007C3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C30A9"/>
    <w:rPr>
      <w:rFonts w:ascii="Courier New" w:eastAsia="Times New Roman" w:hAnsi="Courier New" w:cs="Courier New"/>
      <w:sz w:val="20"/>
      <w:szCs w:val="20"/>
    </w:rPr>
  </w:style>
  <w:style w:type="character" w:customStyle="1" w:styleId="ListParagraphChar">
    <w:name w:val="List Paragraph Char"/>
    <w:aliases w:val="Akapit z listą BS Char,Bullet1 Char,List Paragraph1 Char,Akapit z lista B Char"/>
    <w:link w:val="ListParagraph"/>
    <w:uiPriority w:val="34"/>
    <w:qFormat/>
    <w:locked/>
    <w:rsid w:val="007C30A9"/>
    <w:rPr>
      <w:rFonts w:ascii="Calibri" w:eastAsia="Calibri" w:hAnsi="Calibri" w:cs="Times New Roman"/>
    </w:rPr>
  </w:style>
  <w:style w:type="character" w:styleId="CommentReference">
    <w:name w:val="annotation reference"/>
    <w:uiPriority w:val="99"/>
    <w:semiHidden/>
    <w:unhideWhenUsed/>
    <w:rsid w:val="00093081"/>
    <w:rPr>
      <w:sz w:val="16"/>
      <w:szCs w:val="16"/>
    </w:rPr>
  </w:style>
  <w:style w:type="paragraph" w:styleId="CommentText">
    <w:name w:val="annotation text"/>
    <w:basedOn w:val="Normal"/>
    <w:link w:val="CommentTextChar"/>
    <w:uiPriority w:val="99"/>
    <w:semiHidden/>
    <w:unhideWhenUsed/>
    <w:rsid w:val="0009308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093081"/>
    <w:rPr>
      <w:rFonts w:ascii="Calibri" w:eastAsia="Calibri" w:hAnsi="Calibri" w:cs="Times New Roman"/>
      <w:sz w:val="20"/>
      <w:szCs w:val="20"/>
    </w:rPr>
  </w:style>
  <w:style w:type="character" w:customStyle="1" w:styleId="cf01">
    <w:name w:val="cf01"/>
    <w:rsid w:val="0009308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2762388">
      <w:bodyDiv w:val="1"/>
      <w:marLeft w:val="0"/>
      <w:marRight w:val="0"/>
      <w:marTop w:val="0"/>
      <w:marBottom w:val="0"/>
      <w:divBdr>
        <w:top w:val="none" w:sz="0" w:space="0" w:color="auto"/>
        <w:left w:val="none" w:sz="0" w:space="0" w:color="auto"/>
        <w:bottom w:val="none" w:sz="0" w:space="0" w:color="auto"/>
        <w:right w:val="none" w:sz="0" w:space="0" w:color="auto"/>
      </w:divBdr>
    </w:div>
    <w:div w:id="183475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95BEC170DCC46529404A0BCE34050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165</Nr_x002e__x0020_akti>
    <Data_x0020_e_x0020_Krijimit xmlns="0e656187-b300-4fb0-8bf4-3a50f872073c">2024-10-04T09:12:47Z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2024-10-03T00:00:00Z</Date_x0020_protokolli>
    <Titulli xmlns="0e656187-b300-4fb0-8bf4-3a50f872073c">Mbi zgjatjen e vendimmarrjes së bordit të ERE-s lidhur me shqyrtimin e kërkesës së shoqërisë “BMG ENERGY SAL” sh.p.k. për licencim në veprimtarinë e prodhimit të energjisë elektrike</Titulli>
    <Modifikuesi xmlns="0e656187-b300-4fb0-8bf4-3a50f872073c">jorina.kryeziu</Modifikuesi>
    <Nr_x002e__x0020_prot_x0020_QBZ xmlns="0e656187-b300-4fb0-8bf4-3a50f872073c">1719/6</Nr_x002e__x0020_prot_x0020_QBZ>
    <Data_x0020_e_x0020_Modifikimit xmlns="0e656187-b300-4fb0-8bf4-3a50f872073c">2024-10-04T10:16:33Z</Data_x0020_e_x0020_Modifikimit>
    <Dekretuar xmlns="0e656187-b300-4fb0-8bf4-3a50f872073c">false</Dekretuar>
    <Data xmlns="0e656187-b300-4fb0-8bf4-3a50f872073c">2024-08-15T00:00:00Z</Data>
    <Nr_x002e__x0020_protokolli_x0020_i_x0020_aktit xmlns="0e656187-b300-4fb0-8bf4-3a50f872073c">2019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95BEC170DCC46529404A0BCE340504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3A2BF-9BBF-489F-B9B6-8558BC399B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91A7D44-16E1-4132-82BA-AF4E52E54CCE}">
  <ds:schemaRefs>
    <ds:schemaRef ds:uri="http://purl.org/dc/dcmitype/"/>
    <ds:schemaRef ds:uri="0e656187-b300-4fb0-8bf4-3a50f872073c"/>
    <ds:schemaRef ds:uri="http://purl.org/dc/elements/1.1/"/>
    <ds:schemaRef ds:uri="http://www.w3.org/XML/1998/namespace"/>
    <ds:schemaRef ds:uri="http://schemas.microsoft.com/office/2006/documentManagement/types"/>
    <ds:schemaRef ds:uri="http://schemas.microsoft.com/office/2006/metadata/properties"/>
    <ds:schemaRef ds:uri="http://purl.org/dc/terms/"/>
    <ds:schemaRef ds:uri="http://schemas.openxmlformats.org/package/2006/metadata/core-properties"/>
  </ds:schemaRefs>
</ds:datastoreItem>
</file>

<file path=customXml/itemProps3.xml><?xml version="1.0" encoding="utf-8"?>
<ds:datastoreItem xmlns:ds="http://schemas.openxmlformats.org/officeDocument/2006/customXml" ds:itemID="{1D2AD550-E012-4F76-8721-C0B70E268B77}">
  <ds:schemaRefs>
    <ds:schemaRef ds:uri="http://schemas.microsoft.com/sharepoint/v3/contenttype/forms"/>
  </ds:schemaRefs>
</ds:datastoreItem>
</file>

<file path=customXml/itemProps4.xml><?xml version="1.0" encoding="utf-8"?>
<ds:datastoreItem xmlns:ds="http://schemas.openxmlformats.org/officeDocument/2006/customXml" ds:itemID="{CDE62460-A9D7-42EE-A848-104F4FEAFB63}">
  <ds:schemaRefs>
    <ds:schemaRef ds:uri="http://schemas.microsoft.com/sharepoint/v3/contenttype/forms"/>
  </ds:schemaRefs>
</ds:datastoreItem>
</file>

<file path=customXml/itemProps5.xml><?xml version="1.0" encoding="utf-8"?>
<ds:datastoreItem xmlns:ds="http://schemas.openxmlformats.org/officeDocument/2006/customXml" ds:itemID="{566B74C0-5774-4938-9434-10CC941262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83F94A8-D5F6-4476-AE0C-DA30F0C960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599</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Mbi zgjatjen e vendimmarrjes së bordit të ERE-s lidhur me shqyrtimin e kërkesës së shoqërisë “BMG ENERGY SAL” sh.p.k. për licencim në veprimtarinë e prodhimit të energjisë elektrike</vt:lpstr>
    </vt:vector>
  </TitlesOfParts>
  <Company>Dpa</Company>
  <LinksUpToDate>false</LinksUpToDate>
  <CharactersWithSpaces>4006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zgjatjen e vendimmarrjes së bordit të ERE-s lidhur me shqyrtimin e kërkesës së shoqërisë “BMG ENERGY SAL” sh.p.k. për licencim në veprimtarinë e prodhimit të energjisë elektrike</dc:title>
  <dc:creator>DJZM</dc:creator>
  <cp:lastModifiedBy>Amarilda Muja</cp:lastModifiedBy>
  <cp:revision>19</cp:revision>
  <cp:lastPrinted>2024-06-10T14:29:00Z</cp:lastPrinted>
  <dcterms:created xsi:type="dcterms:W3CDTF">2024-10-04T08:11:00Z</dcterms:created>
  <dcterms:modified xsi:type="dcterms:W3CDTF">2024-10-04T09:23:00Z</dcterms:modified>
</cp:coreProperties>
</file>