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61A79" w14:textId="77777777" w:rsidR="009F2B11" w:rsidRPr="009E6DE2" w:rsidRDefault="009F2B11" w:rsidP="009F2B11">
      <w:pPr>
        <w:autoSpaceDE w:val="0"/>
        <w:autoSpaceDN w:val="0"/>
        <w:adjustRightInd w:val="0"/>
        <w:spacing w:after="0" w:line="240" w:lineRule="auto"/>
        <w:ind w:firstLine="284"/>
        <w:jc w:val="center"/>
        <w:rPr>
          <w:rFonts w:ascii="Garamond" w:hAnsi="Garamond" w:cs="Times New Roman"/>
          <w:b/>
          <w:bCs/>
          <w:color w:val="000000"/>
          <w:sz w:val="24"/>
          <w:szCs w:val="24"/>
        </w:rPr>
      </w:pPr>
      <w:bookmarkStart w:id="0" w:name="_GoBack"/>
      <w:bookmarkEnd w:id="0"/>
      <w:r w:rsidRPr="009E6DE2">
        <w:rPr>
          <w:rFonts w:ascii="Garamond" w:hAnsi="Garamond" w:cs="Times New Roman"/>
          <w:b/>
          <w:bCs/>
          <w:color w:val="000000"/>
          <w:sz w:val="24"/>
          <w:szCs w:val="24"/>
        </w:rPr>
        <w:t>VENDIM</w:t>
      </w:r>
    </w:p>
    <w:p w14:paraId="3A9FDA79" w14:textId="2C91A4F3" w:rsidR="009F2B11" w:rsidRPr="009E6DE2" w:rsidRDefault="009F2B11" w:rsidP="009F2B11">
      <w:pPr>
        <w:autoSpaceDE w:val="0"/>
        <w:autoSpaceDN w:val="0"/>
        <w:adjustRightInd w:val="0"/>
        <w:spacing w:after="0" w:line="240" w:lineRule="auto"/>
        <w:ind w:firstLine="284"/>
        <w:jc w:val="center"/>
        <w:rPr>
          <w:rFonts w:ascii="Garamond" w:hAnsi="Garamond" w:cs="Times New Roman"/>
          <w:b/>
          <w:bCs/>
          <w:color w:val="000000"/>
          <w:sz w:val="24"/>
          <w:szCs w:val="24"/>
        </w:rPr>
      </w:pPr>
      <w:r w:rsidRPr="009E6DE2">
        <w:rPr>
          <w:rFonts w:ascii="Garamond" w:hAnsi="Garamond" w:cs="Times New Roman"/>
          <w:b/>
          <w:bCs/>
          <w:color w:val="000000"/>
          <w:sz w:val="24"/>
          <w:szCs w:val="24"/>
        </w:rPr>
        <w:t>Nr. 192, datë 18.9.2024</w:t>
      </w:r>
    </w:p>
    <w:p w14:paraId="5BF5311B" w14:textId="77777777" w:rsidR="009F2B11" w:rsidRPr="009E6DE2" w:rsidRDefault="009F2B11" w:rsidP="009F2B11">
      <w:pPr>
        <w:autoSpaceDE w:val="0"/>
        <w:autoSpaceDN w:val="0"/>
        <w:adjustRightInd w:val="0"/>
        <w:spacing w:after="0" w:line="240" w:lineRule="auto"/>
        <w:ind w:firstLine="284"/>
        <w:jc w:val="center"/>
        <w:rPr>
          <w:rFonts w:ascii="Garamond" w:hAnsi="Garamond" w:cs="Times New Roman"/>
          <w:b/>
          <w:bCs/>
          <w:color w:val="000000"/>
          <w:sz w:val="24"/>
          <w:szCs w:val="24"/>
        </w:rPr>
      </w:pPr>
    </w:p>
    <w:p w14:paraId="3F25C82A" w14:textId="3FBE7D6E" w:rsidR="009F2B11" w:rsidRPr="009E6DE2" w:rsidRDefault="009F2B11" w:rsidP="009F2B11">
      <w:pPr>
        <w:autoSpaceDE w:val="0"/>
        <w:autoSpaceDN w:val="0"/>
        <w:adjustRightInd w:val="0"/>
        <w:spacing w:after="0" w:line="240" w:lineRule="auto"/>
        <w:ind w:firstLine="284"/>
        <w:jc w:val="center"/>
        <w:rPr>
          <w:rFonts w:ascii="Garamond" w:hAnsi="Garamond" w:cs="Times New Roman"/>
          <w:b/>
          <w:bCs/>
          <w:color w:val="000000"/>
          <w:sz w:val="24"/>
          <w:szCs w:val="24"/>
        </w:rPr>
      </w:pPr>
      <w:r w:rsidRPr="009E6DE2">
        <w:rPr>
          <w:rFonts w:ascii="Garamond" w:hAnsi="Garamond" w:cs="Times New Roman"/>
          <w:b/>
          <w:bCs/>
          <w:color w:val="000000"/>
          <w:sz w:val="24"/>
          <w:szCs w:val="24"/>
        </w:rPr>
        <w:t>MBI FILLIMIN E PROCEDURËS</w:t>
      </w:r>
      <w:r w:rsidR="009E6DE2">
        <w:rPr>
          <w:rFonts w:ascii="Garamond" w:hAnsi="Garamond" w:cs="Times New Roman"/>
          <w:b/>
          <w:bCs/>
          <w:color w:val="000000"/>
          <w:sz w:val="24"/>
          <w:szCs w:val="24"/>
        </w:rPr>
        <w:t>,</w:t>
      </w:r>
      <w:r w:rsidRPr="009E6DE2">
        <w:rPr>
          <w:rFonts w:ascii="Garamond" w:hAnsi="Garamond" w:cs="Times New Roman"/>
          <w:b/>
          <w:bCs/>
          <w:color w:val="000000"/>
          <w:sz w:val="24"/>
          <w:szCs w:val="24"/>
        </w:rPr>
        <w:t xml:space="preserve"> PËR SHQYRTIMIN E APLIKIMIT TË SHOQËRISË </w:t>
      </w:r>
      <w:r w:rsidR="009E6DE2">
        <w:rPr>
          <w:rFonts w:ascii="Garamond" w:hAnsi="Garamond" w:cs="Times New Roman"/>
          <w:b/>
          <w:bCs/>
          <w:color w:val="000000"/>
          <w:sz w:val="24"/>
          <w:szCs w:val="24"/>
        </w:rPr>
        <w:t>“</w:t>
      </w:r>
      <w:r w:rsidRPr="009E6DE2">
        <w:rPr>
          <w:rFonts w:ascii="Garamond" w:hAnsi="Garamond" w:cs="Times New Roman"/>
          <w:b/>
          <w:bCs/>
          <w:color w:val="000000"/>
          <w:sz w:val="24"/>
          <w:szCs w:val="24"/>
        </w:rPr>
        <w:t>OST</w:t>
      </w:r>
      <w:r w:rsidR="009E6DE2">
        <w:rPr>
          <w:rFonts w:ascii="Garamond" w:hAnsi="Garamond" w:cs="Times New Roman"/>
          <w:b/>
          <w:bCs/>
          <w:color w:val="000000"/>
          <w:sz w:val="24"/>
          <w:szCs w:val="24"/>
        </w:rPr>
        <w:t>”</w:t>
      </w:r>
      <w:r w:rsidRPr="009E6DE2">
        <w:rPr>
          <w:rFonts w:ascii="Garamond" w:hAnsi="Garamond" w:cs="Times New Roman"/>
          <w:b/>
          <w:bCs/>
          <w:color w:val="000000"/>
          <w:sz w:val="24"/>
          <w:szCs w:val="24"/>
        </w:rPr>
        <w:t xml:space="preserve"> SHA</w:t>
      </w:r>
      <w:r w:rsidR="009E6DE2">
        <w:rPr>
          <w:rFonts w:ascii="Garamond" w:hAnsi="Garamond" w:cs="Times New Roman"/>
          <w:b/>
          <w:bCs/>
          <w:color w:val="000000"/>
          <w:sz w:val="24"/>
          <w:szCs w:val="24"/>
        </w:rPr>
        <w:t>,</w:t>
      </w:r>
      <w:r w:rsidRPr="009E6DE2">
        <w:rPr>
          <w:rFonts w:ascii="Garamond" w:hAnsi="Garamond" w:cs="Times New Roman"/>
          <w:b/>
          <w:bCs/>
          <w:color w:val="000000"/>
          <w:sz w:val="24"/>
          <w:szCs w:val="24"/>
        </w:rPr>
        <w:t xml:space="preserve"> PËR PËRCAKTIMIN E</w:t>
      </w:r>
      <w:r w:rsidRPr="009E6DE2">
        <w:rPr>
          <w:rFonts w:ascii="Garamond" w:hAnsi="Garamond" w:cs="Times New Roman"/>
          <w:color w:val="000000"/>
          <w:sz w:val="24"/>
          <w:szCs w:val="24"/>
        </w:rPr>
        <w:t xml:space="preserve"> </w:t>
      </w:r>
      <w:r w:rsidRPr="009E6DE2">
        <w:rPr>
          <w:rFonts w:ascii="Garamond" w:hAnsi="Garamond" w:cs="Times New Roman"/>
          <w:b/>
          <w:bCs/>
          <w:color w:val="000000"/>
          <w:sz w:val="24"/>
          <w:szCs w:val="24"/>
        </w:rPr>
        <w:t>TARIFËS SË TRANSMETIMIT TË ENERGJISË ELEKTRIKE PËR PERIUDHËN 2025–2027</w:t>
      </w:r>
    </w:p>
    <w:p w14:paraId="2B2997D5" w14:textId="77777777" w:rsidR="009F2B11" w:rsidRPr="009E6DE2" w:rsidRDefault="009F2B11" w:rsidP="009F2B11">
      <w:pPr>
        <w:autoSpaceDE w:val="0"/>
        <w:autoSpaceDN w:val="0"/>
        <w:adjustRightInd w:val="0"/>
        <w:spacing w:after="0" w:line="240" w:lineRule="auto"/>
        <w:ind w:firstLine="284"/>
        <w:jc w:val="center"/>
        <w:rPr>
          <w:rFonts w:ascii="Garamond" w:hAnsi="Garamond" w:cs="Times New Roman"/>
          <w:b/>
          <w:bCs/>
          <w:color w:val="000000"/>
          <w:sz w:val="24"/>
          <w:szCs w:val="24"/>
        </w:rPr>
      </w:pPr>
    </w:p>
    <w:p w14:paraId="277CB7AB" w14:textId="15D8B214"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Times New Roman"/>
          <w:color w:val="000000"/>
          <w:sz w:val="24"/>
          <w:szCs w:val="24"/>
        </w:rPr>
        <w:t>Në mbështetje të neneve 19, g</w:t>
      </w:r>
      <w:r w:rsidR="009E6DE2">
        <w:rPr>
          <w:rFonts w:ascii="Garamond" w:hAnsi="Garamond" w:cs="Times New Roman"/>
          <w:color w:val="000000"/>
          <w:sz w:val="24"/>
          <w:szCs w:val="24"/>
        </w:rPr>
        <w:t>e</w:t>
      </w:r>
      <w:r w:rsidRPr="009E6DE2">
        <w:rPr>
          <w:rFonts w:ascii="Garamond" w:hAnsi="Garamond" w:cs="Times New Roman"/>
          <w:color w:val="000000"/>
          <w:sz w:val="24"/>
          <w:szCs w:val="24"/>
        </w:rPr>
        <w:t>rma “c”, pika “i”; 21 dhe 55, pika 1</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të ligjit nr. 43/2015</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r w:rsidRPr="009E6DE2">
        <w:rPr>
          <w:rFonts w:ascii="Garamond" w:hAnsi="Garamond" w:cs="Times New Roman"/>
          <w:iCs/>
          <w:color w:val="000000"/>
          <w:sz w:val="24"/>
          <w:szCs w:val="24"/>
        </w:rPr>
        <w:t>Për sektorin e energjisë elektrike</w:t>
      </w:r>
      <w:r w:rsidRPr="009E6DE2">
        <w:rPr>
          <w:rFonts w:ascii="Garamond" w:hAnsi="Garamond" w:cs="Times New Roman"/>
          <w:color w:val="000000"/>
          <w:sz w:val="24"/>
          <w:szCs w:val="24"/>
        </w:rPr>
        <w:t xml:space="preserve">”, </w:t>
      </w:r>
      <w:r w:rsidR="009E6DE2" w:rsidRPr="009E6DE2">
        <w:rPr>
          <w:rFonts w:ascii="Garamond" w:hAnsi="Garamond" w:cs="Times New Roman"/>
          <w:color w:val="000000"/>
          <w:sz w:val="24"/>
          <w:szCs w:val="24"/>
        </w:rPr>
        <w:t>të</w:t>
      </w:r>
      <w:r w:rsidRPr="009E6DE2">
        <w:rPr>
          <w:rFonts w:ascii="Garamond" w:hAnsi="Garamond" w:cs="Times New Roman"/>
          <w:color w:val="000000"/>
          <w:sz w:val="24"/>
          <w:szCs w:val="24"/>
        </w:rPr>
        <w:t xml:space="preserve"> ndryshuar; </w:t>
      </w:r>
      <w:r w:rsidR="009E6DE2" w:rsidRPr="009E6DE2">
        <w:rPr>
          <w:rFonts w:ascii="Garamond" w:hAnsi="Garamond" w:cs="Times New Roman"/>
          <w:color w:val="000000"/>
          <w:sz w:val="24"/>
          <w:szCs w:val="24"/>
        </w:rPr>
        <w:t xml:space="preserve">të </w:t>
      </w:r>
      <w:r w:rsidR="009E6DE2">
        <w:rPr>
          <w:rFonts w:ascii="Garamond" w:hAnsi="Garamond" w:cs="Times New Roman"/>
          <w:color w:val="000000"/>
          <w:sz w:val="24"/>
          <w:szCs w:val="24"/>
        </w:rPr>
        <w:t>v</w:t>
      </w:r>
      <w:r w:rsidRPr="009E6DE2">
        <w:rPr>
          <w:rFonts w:ascii="Garamond" w:hAnsi="Garamond" w:cs="Times New Roman"/>
          <w:color w:val="000000"/>
          <w:sz w:val="24"/>
          <w:szCs w:val="24"/>
        </w:rPr>
        <w:t>endimit të Këshillit të Ministrave (</w:t>
      </w:r>
      <w:proofErr w:type="spellStart"/>
      <w:r w:rsidRPr="009E6DE2">
        <w:rPr>
          <w:rFonts w:ascii="Garamond" w:hAnsi="Garamond" w:cs="Times New Roman"/>
          <w:color w:val="000000"/>
          <w:sz w:val="24"/>
          <w:szCs w:val="24"/>
        </w:rPr>
        <w:t>VKM</w:t>
      </w:r>
      <w:proofErr w:type="spellEnd"/>
      <w:r w:rsidRPr="009E6DE2">
        <w:rPr>
          <w:rFonts w:ascii="Garamond" w:hAnsi="Garamond" w:cs="Times New Roman"/>
          <w:color w:val="000000"/>
          <w:sz w:val="24"/>
          <w:szCs w:val="24"/>
        </w:rPr>
        <w:t>) nr. 456</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datë 29.6.2022</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r w:rsidRPr="009E6DE2">
        <w:rPr>
          <w:rFonts w:ascii="Garamond" w:hAnsi="Garamond" w:cs="Times New Roman"/>
          <w:iCs/>
          <w:color w:val="000000"/>
          <w:sz w:val="24"/>
          <w:szCs w:val="24"/>
        </w:rPr>
        <w:t>Për miratimin e kushteve për vendosjen e detyrimit të shërbimit publik, që do të zbatohen ndaj të licencuarve në sektorin e energjisë elektrike, të cilët ushtrojnë aktivitetin e prodhimit, transmetimit, shpërndarjes dhe furnizimit me energji elektrike</w:t>
      </w:r>
      <w:r w:rsidRPr="009E6DE2">
        <w:rPr>
          <w:rFonts w:ascii="Garamond" w:hAnsi="Garamond" w:cs="Times New Roman"/>
          <w:color w:val="000000"/>
          <w:sz w:val="24"/>
          <w:szCs w:val="24"/>
        </w:rPr>
        <w: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r w:rsidR="009E6DE2" w:rsidRPr="009E6DE2">
        <w:rPr>
          <w:rFonts w:ascii="Garamond" w:hAnsi="Garamond" w:cs="Times New Roman"/>
          <w:iCs/>
          <w:color w:val="000000"/>
          <w:sz w:val="24"/>
          <w:szCs w:val="24"/>
        </w:rPr>
        <w:t>të</w:t>
      </w:r>
      <w:r w:rsidRPr="009E6DE2">
        <w:rPr>
          <w:rFonts w:ascii="Garamond" w:hAnsi="Garamond" w:cs="Times New Roman"/>
          <w:color w:val="000000"/>
          <w:sz w:val="24"/>
          <w:szCs w:val="24"/>
        </w:rPr>
        <w:t xml:space="preserve"> ndryshuar; </w:t>
      </w:r>
      <w:r w:rsidR="009E6DE2" w:rsidRPr="009E6DE2">
        <w:rPr>
          <w:rFonts w:ascii="Garamond" w:hAnsi="Garamond" w:cs="Times New Roman"/>
          <w:iCs/>
          <w:color w:val="000000"/>
          <w:sz w:val="24"/>
          <w:szCs w:val="24"/>
        </w:rPr>
        <w:t>të</w:t>
      </w:r>
      <w:r w:rsidR="009E6DE2" w:rsidRPr="009E6DE2">
        <w:rPr>
          <w:rFonts w:ascii="Garamond" w:hAnsi="Garamond" w:cs="Times New Roman"/>
          <w:color w:val="000000"/>
          <w:sz w:val="24"/>
          <w:szCs w:val="24"/>
        </w:rPr>
        <w:t xml:space="preserve"> </w:t>
      </w:r>
      <w:r w:rsidRPr="009E6DE2">
        <w:rPr>
          <w:rFonts w:ascii="Garamond" w:hAnsi="Garamond" w:cs="Times New Roman"/>
          <w:color w:val="000000"/>
          <w:sz w:val="24"/>
          <w:szCs w:val="24"/>
        </w:rPr>
        <w:t>“</w:t>
      </w:r>
      <w:r w:rsidRPr="009E6DE2">
        <w:rPr>
          <w:rFonts w:ascii="Garamond" w:hAnsi="Garamond" w:cs="Times New Roman"/>
          <w:iCs/>
          <w:color w:val="000000"/>
          <w:sz w:val="24"/>
          <w:szCs w:val="24"/>
        </w:rPr>
        <w:t>Metodologjisë së llogaritjes së tarifave të transmetimit të energjisë elektrike</w:t>
      </w:r>
      <w:r w:rsidRPr="009E6DE2">
        <w:rPr>
          <w:rFonts w:ascii="Garamond" w:hAnsi="Garamond" w:cs="Times New Roman"/>
          <w:color w:val="000000"/>
          <w:sz w:val="24"/>
          <w:szCs w:val="24"/>
        </w:rPr>
        <w: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miratuar me vendimin e Entit Rregullator të Energjisë (ERE), nr.</w:t>
      </w:r>
      <w:r w:rsidR="009E6DE2">
        <w:rPr>
          <w:rFonts w:ascii="Garamond" w:hAnsi="Garamond" w:cs="Times New Roman"/>
          <w:color w:val="000000"/>
          <w:sz w:val="24"/>
          <w:szCs w:val="24"/>
        </w:rPr>
        <w:t xml:space="preserve"> </w:t>
      </w:r>
      <w:r w:rsidRPr="009E6DE2">
        <w:rPr>
          <w:rFonts w:ascii="Garamond" w:hAnsi="Garamond" w:cs="Times New Roman"/>
          <w:color w:val="000000"/>
          <w:sz w:val="24"/>
          <w:szCs w:val="24"/>
        </w:rPr>
        <w:t xml:space="preserve">180, datë 8.11.2017; dhe </w:t>
      </w:r>
      <w:r w:rsidR="009E6DE2" w:rsidRPr="009E6DE2">
        <w:rPr>
          <w:rFonts w:ascii="Garamond" w:hAnsi="Garamond" w:cs="Times New Roman"/>
          <w:iCs/>
          <w:color w:val="000000"/>
          <w:sz w:val="24"/>
          <w:szCs w:val="24"/>
        </w:rPr>
        <w:t>të</w:t>
      </w:r>
      <w:r w:rsidR="009E6DE2" w:rsidRPr="009E6DE2">
        <w:rPr>
          <w:rFonts w:ascii="Garamond" w:hAnsi="Garamond" w:cs="Times New Roman"/>
          <w:color w:val="000000"/>
          <w:sz w:val="24"/>
          <w:szCs w:val="24"/>
        </w:rPr>
        <w:t xml:space="preserve"> </w:t>
      </w:r>
      <w:r w:rsidRPr="009E6DE2">
        <w:rPr>
          <w:rFonts w:ascii="Garamond" w:hAnsi="Garamond" w:cs="Times New Roman"/>
          <w:color w:val="000000"/>
          <w:sz w:val="24"/>
          <w:szCs w:val="24"/>
        </w:rPr>
        <w:t xml:space="preserve">neneve 15, 19, pika 1, </w:t>
      </w:r>
      <w:r w:rsidR="009E6DE2" w:rsidRPr="009E6DE2">
        <w:rPr>
          <w:rFonts w:ascii="Garamond" w:hAnsi="Garamond" w:cs="Times New Roman"/>
          <w:color w:val="000000"/>
          <w:sz w:val="24"/>
          <w:szCs w:val="24"/>
        </w:rPr>
        <w:t>germa</w:t>
      </w:r>
      <w:r w:rsidRPr="009E6DE2">
        <w:rPr>
          <w:rFonts w:ascii="Garamond" w:hAnsi="Garamond" w:cs="Times New Roman"/>
          <w:color w:val="000000"/>
          <w:sz w:val="24"/>
          <w:szCs w:val="24"/>
        </w:rPr>
        <w:t xml:space="preserve"> “c”; nenit 21, pika 3, dhe 22, pika 1</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të </w:t>
      </w:r>
      <w:r w:rsidR="009E6DE2">
        <w:rPr>
          <w:rFonts w:ascii="Garamond" w:hAnsi="Garamond" w:cs="Times New Roman"/>
          <w:color w:val="000000"/>
          <w:sz w:val="24"/>
          <w:szCs w:val="24"/>
        </w:rPr>
        <w:t>“</w:t>
      </w:r>
      <w:r w:rsidRPr="009E6DE2">
        <w:rPr>
          <w:rFonts w:ascii="Garamond" w:hAnsi="Garamond" w:cs="Times New Roman"/>
          <w:iCs/>
          <w:color w:val="000000"/>
          <w:sz w:val="24"/>
          <w:szCs w:val="24"/>
        </w:rPr>
        <w:t>Rregullores për organizimin, funksionimin dhe procedurat e ERE-s</w:t>
      </w:r>
      <w:r w:rsidR="009E6DE2">
        <w:rPr>
          <w:rFonts w:ascii="Garamond" w:hAnsi="Garamond" w:cs="Times New Roman"/>
          <w:iCs/>
          <w:color w:val="000000"/>
          <w:sz w:val="24"/>
          <w:szCs w:val="24"/>
        </w:rPr>
        <w:t>”</w:t>
      </w:r>
      <w:r w:rsidRPr="009E6DE2">
        <w:rPr>
          <w:rFonts w:ascii="Garamond" w:hAnsi="Garamond" w:cs="Times New Roman"/>
          <w:color w:val="000000"/>
          <w:sz w:val="24"/>
          <w:szCs w:val="24"/>
        </w:rPr>
        <w:t xml:space="preserve">, miratuar me vendimin e </w:t>
      </w:r>
      <w:r w:rsidR="009E6DE2" w:rsidRPr="009E6DE2">
        <w:rPr>
          <w:rFonts w:ascii="Garamond" w:hAnsi="Garamond" w:cs="Times New Roman"/>
          <w:color w:val="000000"/>
          <w:sz w:val="24"/>
          <w:szCs w:val="24"/>
        </w:rPr>
        <w:t xml:space="preserve">Bordit </w:t>
      </w:r>
      <w:r w:rsidRPr="009E6DE2">
        <w:rPr>
          <w:rFonts w:ascii="Garamond" w:hAnsi="Garamond" w:cs="Times New Roman"/>
          <w:color w:val="000000"/>
          <w:sz w:val="24"/>
          <w:szCs w:val="24"/>
        </w:rPr>
        <w:t xml:space="preserve">të ERE-s nr. 96, datë 17.6.2016; Bordi i ERE-s, në mbledhjen e tij të datës 18.9.2024, pasi shqyrtoi relacionin me nr. 1859/1 </w:t>
      </w:r>
      <w:proofErr w:type="spellStart"/>
      <w:r w:rsidRPr="009E6DE2">
        <w:rPr>
          <w:rFonts w:ascii="Garamond" w:hAnsi="Garamond" w:cs="Times New Roman"/>
          <w:color w:val="000000"/>
          <w:sz w:val="24"/>
          <w:szCs w:val="24"/>
        </w:rPr>
        <w:t>prot</w:t>
      </w:r>
      <w:proofErr w:type="spellEnd"/>
      <w:r w:rsidRPr="009E6DE2">
        <w:rPr>
          <w:rFonts w:ascii="Garamond" w:hAnsi="Garamond" w:cs="Times New Roman"/>
          <w:color w:val="000000"/>
          <w:sz w:val="24"/>
          <w:szCs w:val="24"/>
        </w:rPr>
        <w:t xml:space="preserve">., datë 13.9.2024, të përgatitur nga Drejtoria e Tarifave dhe Çmimeve </w:t>
      </w:r>
      <w:r w:rsidRPr="009E6DE2">
        <w:rPr>
          <w:rFonts w:ascii="Garamond" w:hAnsi="Garamond" w:cs="Times New Roman"/>
          <w:iCs/>
          <w:color w:val="000000"/>
          <w:sz w:val="24"/>
          <w:szCs w:val="24"/>
        </w:rPr>
        <w:t xml:space="preserve">“Mbi shqyrtimin e aplikimit të shoqërisë </w:t>
      </w:r>
      <w:r w:rsidR="009E6DE2">
        <w:rPr>
          <w:rFonts w:ascii="Garamond" w:hAnsi="Garamond" w:cs="Times New Roman"/>
          <w:iCs/>
          <w:color w:val="000000"/>
          <w:sz w:val="24"/>
          <w:szCs w:val="24"/>
        </w:rPr>
        <w:t>‘</w:t>
      </w:r>
      <w:r w:rsidRPr="009E6DE2">
        <w:rPr>
          <w:rFonts w:ascii="Garamond" w:hAnsi="Garamond" w:cs="Times New Roman"/>
          <w:iCs/>
          <w:color w:val="000000"/>
          <w:sz w:val="24"/>
          <w:szCs w:val="24"/>
        </w:rPr>
        <w:t>OST</w:t>
      </w:r>
      <w:r w:rsidR="009E6DE2">
        <w:rPr>
          <w:rFonts w:ascii="Garamond" w:hAnsi="Garamond" w:cs="Times New Roman"/>
          <w:iCs/>
          <w:color w:val="000000"/>
          <w:sz w:val="24"/>
          <w:szCs w:val="24"/>
        </w:rPr>
        <w:t>’</w:t>
      </w:r>
      <w:r w:rsidRPr="009E6DE2">
        <w:rPr>
          <w:rFonts w:ascii="Garamond" w:hAnsi="Garamond" w:cs="Times New Roman"/>
          <w:iCs/>
          <w:color w:val="000000"/>
          <w:sz w:val="24"/>
          <w:szCs w:val="24"/>
        </w:rPr>
        <w:t xml:space="preserve"> </w:t>
      </w:r>
      <w:proofErr w:type="spellStart"/>
      <w:r w:rsidRPr="009E6DE2">
        <w:rPr>
          <w:rFonts w:ascii="Garamond" w:hAnsi="Garamond" w:cs="Times New Roman"/>
          <w:iCs/>
          <w:color w:val="000000"/>
          <w:sz w:val="24"/>
          <w:szCs w:val="24"/>
        </w:rPr>
        <w:t>sh.a</w:t>
      </w:r>
      <w:proofErr w:type="spellEnd"/>
      <w:r w:rsidRPr="009E6DE2">
        <w:rPr>
          <w:rFonts w:ascii="Garamond" w:hAnsi="Garamond" w:cs="Times New Roman"/>
          <w:iCs/>
          <w:color w:val="000000"/>
          <w:sz w:val="24"/>
          <w:szCs w:val="24"/>
        </w:rPr>
        <w:t>., për tarifën e transmetimit të energjisë elektrike për vitin 2022 dhe periudhën 2025</w:t>
      </w:r>
      <w:r w:rsidR="009E6DE2">
        <w:rPr>
          <w:rFonts w:ascii="Garamond" w:hAnsi="Garamond" w:cs="Times New Roman"/>
          <w:iCs/>
          <w:color w:val="000000"/>
          <w:sz w:val="24"/>
          <w:szCs w:val="24"/>
        </w:rPr>
        <w:t>–</w:t>
      </w:r>
      <w:r w:rsidRPr="009E6DE2">
        <w:rPr>
          <w:rFonts w:ascii="Garamond" w:hAnsi="Garamond" w:cs="Times New Roman"/>
          <w:iCs/>
          <w:color w:val="000000"/>
          <w:sz w:val="24"/>
          <w:szCs w:val="24"/>
        </w:rPr>
        <w:t>2027</w:t>
      </w:r>
      <w:r w:rsidRPr="009E6DE2">
        <w:rPr>
          <w:rFonts w:ascii="Garamond" w:hAnsi="Garamond" w:cs="Times New Roman"/>
          <w:color w:val="000000"/>
          <w:sz w:val="24"/>
          <w:szCs w:val="24"/>
        </w:rPr>
        <w:t>”,</w:t>
      </w:r>
    </w:p>
    <w:p w14:paraId="4A39BDC6" w14:textId="4D4CFBE5" w:rsidR="009F2B11" w:rsidRPr="009E6DE2" w:rsidRDefault="009E6DE2"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Times New Roman"/>
          <w:bCs/>
          <w:color w:val="000000"/>
          <w:sz w:val="24"/>
          <w:szCs w:val="24"/>
        </w:rPr>
        <w:t>k</w:t>
      </w:r>
      <w:r w:rsidR="009F2B11" w:rsidRPr="009E6DE2">
        <w:rPr>
          <w:rFonts w:ascii="Garamond" w:hAnsi="Garamond" w:cs="Times New Roman"/>
          <w:bCs/>
          <w:color w:val="000000"/>
          <w:sz w:val="24"/>
          <w:szCs w:val="24"/>
        </w:rPr>
        <w:t>onstatoi se:</w:t>
      </w:r>
    </w:p>
    <w:p w14:paraId="24322B2D" w14:textId="27743E94" w:rsidR="009F2B11" w:rsidRPr="009E6DE2" w:rsidRDefault="009F2B11" w:rsidP="009F2B11">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 xml:space="preserve">Shoqëria </w:t>
      </w:r>
      <w:r w:rsidR="009E6DE2">
        <w:rPr>
          <w:rFonts w:ascii="Garamond" w:hAnsi="Garamond" w:cs="Times New Roman"/>
          <w:color w:val="000000"/>
          <w:sz w:val="24"/>
          <w:szCs w:val="24"/>
        </w:rPr>
        <w:t>“</w:t>
      </w:r>
      <w:r w:rsidRPr="009E6DE2">
        <w:rPr>
          <w:rFonts w:ascii="Garamond" w:hAnsi="Garamond" w:cs="Times New Roman"/>
          <w:color w:val="000000"/>
          <w:sz w:val="24"/>
          <w:szCs w:val="24"/>
        </w:rPr>
        <w:t>OST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proofErr w:type="spellStart"/>
      <w:r w:rsidRPr="009E6DE2">
        <w:rPr>
          <w:rFonts w:ascii="Garamond" w:hAnsi="Garamond" w:cs="Times New Roman"/>
          <w:color w:val="000000"/>
          <w:sz w:val="24"/>
          <w:szCs w:val="24"/>
        </w:rPr>
        <w:t>sh.a</w:t>
      </w:r>
      <w:proofErr w:type="spellEnd"/>
      <w:r w:rsidRPr="009E6DE2">
        <w:rPr>
          <w:rFonts w:ascii="Garamond" w:hAnsi="Garamond" w:cs="Times New Roman"/>
          <w:color w:val="000000"/>
          <w:sz w:val="24"/>
          <w:szCs w:val="24"/>
        </w:rPr>
        <w:t xml:space="preserve">., me shkresën nr. 6004 </w:t>
      </w:r>
      <w:proofErr w:type="spellStart"/>
      <w:r w:rsidRPr="009E6DE2">
        <w:rPr>
          <w:rFonts w:ascii="Garamond" w:hAnsi="Garamond" w:cs="Times New Roman"/>
          <w:color w:val="000000"/>
          <w:sz w:val="24"/>
          <w:szCs w:val="24"/>
        </w:rPr>
        <w:t>prot</w:t>
      </w:r>
      <w:proofErr w:type="spellEnd"/>
      <w:r w:rsidRPr="009E6DE2">
        <w:rPr>
          <w:rFonts w:ascii="Garamond" w:hAnsi="Garamond" w:cs="Times New Roman"/>
          <w:color w:val="000000"/>
          <w:sz w:val="24"/>
          <w:szCs w:val="24"/>
        </w:rPr>
        <w:t xml:space="preserve">., datë 23.8.2024 (protokolluar me tonën me nr. 1859 </w:t>
      </w:r>
      <w:proofErr w:type="spellStart"/>
      <w:r w:rsidRPr="009E6DE2">
        <w:rPr>
          <w:rFonts w:ascii="Garamond" w:hAnsi="Garamond" w:cs="Times New Roman"/>
          <w:color w:val="000000"/>
          <w:sz w:val="24"/>
          <w:szCs w:val="24"/>
        </w:rPr>
        <w:t>prot</w:t>
      </w:r>
      <w:proofErr w:type="spellEnd"/>
      <w:r w:rsidRPr="009E6DE2">
        <w:rPr>
          <w:rFonts w:ascii="Garamond" w:hAnsi="Garamond" w:cs="Times New Roman"/>
          <w:color w:val="000000"/>
          <w:sz w:val="24"/>
          <w:szCs w:val="24"/>
        </w:rPr>
        <w:t>., datë 3.9.2024), paraqiti kërkesën për aplikim për përcaktimin e tarifës së transmetimit të energjisë elektrike për periudhën 2025</w:t>
      </w:r>
      <w:r w:rsidR="009E6DE2">
        <w:rPr>
          <w:rFonts w:ascii="Garamond" w:hAnsi="Garamond" w:cs="Times New Roman"/>
          <w:iCs/>
          <w:color w:val="000000"/>
          <w:sz w:val="24"/>
          <w:szCs w:val="24"/>
        </w:rPr>
        <w:t>–</w:t>
      </w:r>
      <w:r w:rsidRPr="009E6DE2">
        <w:rPr>
          <w:rFonts w:ascii="Garamond" w:hAnsi="Garamond" w:cs="Times New Roman"/>
          <w:color w:val="000000"/>
          <w:sz w:val="24"/>
          <w:szCs w:val="24"/>
        </w:rPr>
        <w:t xml:space="preserve">2027. Aplikimi i </w:t>
      </w:r>
      <w:r w:rsidR="009E6DE2">
        <w:rPr>
          <w:rFonts w:ascii="Garamond" w:hAnsi="Garamond" w:cs="Times New Roman"/>
          <w:color w:val="000000"/>
          <w:sz w:val="24"/>
          <w:szCs w:val="24"/>
        </w:rPr>
        <w:t>“</w:t>
      </w:r>
      <w:r w:rsidRPr="009E6DE2">
        <w:rPr>
          <w:rFonts w:ascii="Garamond" w:hAnsi="Garamond" w:cs="Times New Roman"/>
          <w:color w:val="000000"/>
          <w:sz w:val="24"/>
          <w:szCs w:val="24"/>
        </w:rPr>
        <w:t>OST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proofErr w:type="spellStart"/>
      <w:r w:rsidRPr="009E6DE2">
        <w:rPr>
          <w:rFonts w:ascii="Garamond" w:hAnsi="Garamond" w:cs="Times New Roman"/>
          <w:color w:val="000000"/>
          <w:sz w:val="24"/>
          <w:szCs w:val="24"/>
        </w:rPr>
        <w:t>sh.a</w:t>
      </w:r>
      <w:proofErr w:type="spellEnd"/>
      <w:r w:rsidRPr="009E6DE2">
        <w:rPr>
          <w:rFonts w:ascii="Garamond" w:hAnsi="Garamond" w:cs="Times New Roman"/>
          <w:color w:val="000000"/>
          <w:sz w:val="24"/>
          <w:szCs w:val="24"/>
        </w:rPr>
        <w:t>., përmban</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gjithashtu</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dokument</w:t>
      </w:r>
      <w:r w:rsidR="009E6DE2">
        <w:rPr>
          <w:rFonts w:ascii="Garamond" w:hAnsi="Garamond" w:cs="Times New Roman"/>
          <w:color w:val="000000"/>
          <w:sz w:val="24"/>
          <w:szCs w:val="24"/>
        </w:rPr>
        <w:t>et:</w:t>
      </w:r>
      <w:r w:rsidRPr="009E6DE2">
        <w:rPr>
          <w:rFonts w:ascii="Garamond" w:hAnsi="Garamond" w:cs="Times New Roman"/>
          <w:color w:val="000000"/>
          <w:sz w:val="24"/>
          <w:szCs w:val="24"/>
        </w:rPr>
        <w:t xml:space="preserve"> </w:t>
      </w:r>
      <w:r w:rsidRPr="009E6DE2">
        <w:rPr>
          <w:rFonts w:ascii="Garamond" w:hAnsi="Garamond" w:cs="Times New Roman"/>
          <w:iCs/>
          <w:color w:val="000000"/>
          <w:sz w:val="24"/>
          <w:szCs w:val="24"/>
        </w:rPr>
        <w:t>i</w:t>
      </w:r>
      <w:r w:rsidR="009E6DE2">
        <w:rPr>
          <w:rFonts w:ascii="Garamond" w:hAnsi="Garamond" w:cs="Times New Roman"/>
          <w:iCs/>
          <w:color w:val="000000"/>
          <w:sz w:val="24"/>
          <w:szCs w:val="24"/>
        </w:rPr>
        <w:t>.</w:t>
      </w:r>
      <w:r w:rsidRPr="009E6DE2">
        <w:rPr>
          <w:rFonts w:ascii="Garamond" w:hAnsi="Garamond" w:cs="Times New Roman"/>
          <w:iCs/>
          <w:color w:val="000000"/>
          <w:sz w:val="24"/>
          <w:szCs w:val="24"/>
        </w:rPr>
        <w:t xml:space="preserve"> “Plani i </w:t>
      </w:r>
      <w:r w:rsidR="009E6DE2">
        <w:rPr>
          <w:rFonts w:ascii="Garamond" w:hAnsi="Garamond" w:cs="Times New Roman"/>
          <w:iCs/>
          <w:color w:val="000000"/>
          <w:sz w:val="24"/>
          <w:szCs w:val="24"/>
        </w:rPr>
        <w:t>i</w:t>
      </w:r>
      <w:r w:rsidRPr="009E6DE2">
        <w:rPr>
          <w:rFonts w:ascii="Garamond" w:hAnsi="Garamond" w:cs="Times New Roman"/>
          <w:iCs/>
          <w:color w:val="000000"/>
          <w:sz w:val="24"/>
          <w:szCs w:val="24"/>
        </w:rPr>
        <w:t xml:space="preserve">nvestimeve i shoqërisë </w:t>
      </w:r>
      <w:r w:rsidR="009E6DE2">
        <w:rPr>
          <w:rFonts w:ascii="Garamond" w:hAnsi="Garamond" w:cs="Times New Roman"/>
          <w:iCs/>
          <w:color w:val="000000"/>
          <w:sz w:val="24"/>
          <w:szCs w:val="24"/>
        </w:rPr>
        <w:t>‘</w:t>
      </w:r>
      <w:r w:rsidRPr="009E6DE2">
        <w:rPr>
          <w:rFonts w:ascii="Garamond" w:hAnsi="Garamond" w:cs="Times New Roman"/>
          <w:iCs/>
          <w:color w:val="000000"/>
          <w:sz w:val="24"/>
          <w:szCs w:val="24"/>
        </w:rPr>
        <w:t>OST</w:t>
      </w:r>
      <w:r w:rsidR="009E6DE2">
        <w:rPr>
          <w:rFonts w:ascii="Garamond" w:hAnsi="Garamond" w:cs="Times New Roman"/>
          <w:iCs/>
          <w:color w:val="000000"/>
          <w:sz w:val="24"/>
          <w:szCs w:val="24"/>
        </w:rPr>
        <w:t>’</w:t>
      </w:r>
      <w:r w:rsidRPr="009E6DE2">
        <w:rPr>
          <w:rFonts w:ascii="Garamond" w:hAnsi="Garamond" w:cs="Times New Roman"/>
          <w:iCs/>
          <w:color w:val="000000"/>
          <w:sz w:val="24"/>
          <w:szCs w:val="24"/>
        </w:rPr>
        <w:t xml:space="preserve"> </w:t>
      </w:r>
      <w:proofErr w:type="spellStart"/>
      <w:r w:rsidRPr="009E6DE2">
        <w:rPr>
          <w:rFonts w:ascii="Garamond" w:hAnsi="Garamond" w:cs="Times New Roman"/>
          <w:iCs/>
          <w:color w:val="000000"/>
          <w:sz w:val="24"/>
          <w:szCs w:val="24"/>
        </w:rPr>
        <w:t>sh.a</w:t>
      </w:r>
      <w:proofErr w:type="spellEnd"/>
      <w:r w:rsidRPr="009E6DE2">
        <w:rPr>
          <w:rFonts w:ascii="Garamond" w:hAnsi="Garamond" w:cs="Times New Roman"/>
          <w:iCs/>
          <w:color w:val="000000"/>
          <w:sz w:val="24"/>
          <w:szCs w:val="24"/>
        </w:rPr>
        <w:t xml:space="preserve">. për periudhën </w:t>
      </w:r>
      <w:proofErr w:type="spellStart"/>
      <w:r w:rsidRPr="009E6DE2">
        <w:rPr>
          <w:rFonts w:ascii="Garamond" w:hAnsi="Garamond" w:cs="Times New Roman"/>
          <w:iCs/>
          <w:color w:val="000000"/>
          <w:sz w:val="24"/>
          <w:szCs w:val="24"/>
        </w:rPr>
        <w:t>rregullatore</w:t>
      </w:r>
      <w:proofErr w:type="spellEnd"/>
      <w:r w:rsidRPr="009E6DE2">
        <w:rPr>
          <w:rFonts w:ascii="Garamond" w:hAnsi="Garamond" w:cs="Times New Roman"/>
          <w:iCs/>
          <w:color w:val="000000"/>
          <w:sz w:val="24"/>
          <w:szCs w:val="24"/>
        </w:rPr>
        <w:t xml:space="preserve"> 2022–2024 dhe 2025–2027”</w:t>
      </w:r>
      <w:r w:rsidR="009E6DE2">
        <w:rPr>
          <w:rFonts w:ascii="Garamond" w:hAnsi="Garamond" w:cs="Times New Roman"/>
          <w:iCs/>
          <w:color w:val="000000"/>
          <w:sz w:val="24"/>
          <w:szCs w:val="24"/>
        </w:rPr>
        <w:t>,</w:t>
      </w:r>
      <w:r w:rsidRPr="009E6DE2">
        <w:rPr>
          <w:rFonts w:ascii="Garamond" w:hAnsi="Garamond" w:cs="Times New Roman"/>
          <w:color w:val="000000"/>
          <w:sz w:val="24"/>
          <w:szCs w:val="24"/>
        </w:rPr>
        <w:t xml:space="preserve"> dhe </w:t>
      </w:r>
      <w:proofErr w:type="spellStart"/>
      <w:r w:rsidRPr="009E6DE2">
        <w:rPr>
          <w:rFonts w:ascii="Garamond" w:hAnsi="Garamond" w:cs="Times New Roman"/>
          <w:iCs/>
          <w:color w:val="000000"/>
          <w:sz w:val="24"/>
          <w:szCs w:val="24"/>
        </w:rPr>
        <w:t>ii</w:t>
      </w:r>
      <w:proofErr w:type="spellEnd"/>
      <w:r w:rsidR="009E6DE2">
        <w:rPr>
          <w:rFonts w:ascii="Garamond" w:hAnsi="Garamond" w:cs="Times New Roman"/>
          <w:iCs/>
          <w:color w:val="000000"/>
          <w:sz w:val="24"/>
          <w:szCs w:val="24"/>
        </w:rPr>
        <w:t>.</w:t>
      </w:r>
      <w:r w:rsidRPr="009E6DE2">
        <w:rPr>
          <w:rFonts w:ascii="Garamond" w:hAnsi="Garamond" w:cs="Times New Roman"/>
          <w:iCs/>
          <w:color w:val="000000"/>
          <w:sz w:val="24"/>
          <w:szCs w:val="24"/>
        </w:rPr>
        <w:t xml:space="preserve"> raportin e aktivitetit të vitit 2024</w:t>
      </w:r>
      <w:r w:rsidRPr="009E6DE2">
        <w:rPr>
          <w:rFonts w:ascii="Garamond" w:hAnsi="Garamond" w:cs="Times New Roman"/>
          <w:color w:val="000000"/>
          <w:sz w:val="24"/>
          <w:szCs w:val="24"/>
        </w:rPr>
        <w:t>, në të cilin pasqyrohet realizimi i të gjithë treguesve ekonomik-financiar për gjashtëmujorin e parë</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si dhe parashikimet në lidhje me gjashtëmujorin e dytë të vitit 2024.</w:t>
      </w:r>
    </w:p>
    <w:p w14:paraId="33AF1372" w14:textId="42AC98A7" w:rsidR="009F2B11" w:rsidRPr="009E6DE2" w:rsidRDefault="009F2B11" w:rsidP="009F2B11">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Aplikimi për tarifën e transmetimit të energjisë elektrike, që përcillet në ERE duhet të mbështetet në kriteret dhe kushtet që përcaktohen në</w:t>
      </w:r>
      <w:r w:rsidRPr="009E6DE2">
        <w:rPr>
          <w:rFonts w:ascii="Garamond" w:hAnsi="Garamond" w:cs="Times New Roman"/>
          <w:iCs/>
          <w:color w:val="000000"/>
          <w:sz w:val="24"/>
          <w:szCs w:val="24"/>
        </w:rPr>
        <w:t xml:space="preserve"> “Rregulloren për organizimin, funksionimin dhe </w:t>
      </w:r>
      <w:r w:rsidR="009E6DE2" w:rsidRPr="009E6DE2">
        <w:rPr>
          <w:rFonts w:ascii="Garamond" w:hAnsi="Garamond" w:cs="Times New Roman"/>
          <w:iCs/>
          <w:color w:val="000000"/>
          <w:sz w:val="24"/>
          <w:szCs w:val="24"/>
        </w:rPr>
        <w:t>procedurat</w:t>
      </w:r>
      <w:r w:rsidRPr="009E6DE2">
        <w:rPr>
          <w:rFonts w:ascii="Garamond" w:hAnsi="Garamond" w:cs="Times New Roman"/>
          <w:iCs/>
          <w:color w:val="000000"/>
          <w:sz w:val="24"/>
          <w:szCs w:val="24"/>
        </w:rPr>
        <w:t xml:space="preserve"> e ERE-s”</w:t>
      </w:r>
      <w:r w:rsidRPr="009E6DE2">
        <w:rPr>
          <w:rFonts w:ascii="Garamond" w:hAnsi="Garamond" w:cs="Times New Roman"/>
          <w:color w:val="000000"/>
          <w:sz w:val="24"/>
          <w:szCs w:val="24"/>
        </w:rPr>
        <w:t xml:space="preserve">, miratuar me vendimin e </w:t>
      </w:r>
      <w:r w:rsidR="009E6DE2" w:rsidRPr="009E6DE2">
        <w:rPr>
          <w:rFonts w:ascii="Garamond" w:hAnsi="Garamond" w:cs="Times New Roman"/>
          <w:color w:val="000000"/>
          <w:sz w:val="24"/>
          <w:szCs w:val="24"/>
        </w:rPr>
        <w:t xml:space="preserve">Bordit </w:t>
      </w:r>
      <w:r w:rsidRPr="009E6DE2">
        <w:rPr>
          <w:rFonts w:ascii="Garamond" w:hAnsi="Garamond" w:cs="Times New Roman"/>
          <w:color w:val="000000"/>
          <w:sz w:val="24"/>
          <w:szCs w:val="24"/>
        </w:rPr>
        <w:t>të ERE-s nr. 96, datë 17.6.2016, në “</w:t>
      </w:r>
      <w:r w:rsidRPr="009E6DE2">
        <w:rPr>
          <w:rFonts w:ascii="Garamond" w:hAnsi="Garamond" w:cs="Times New Roman"/>
          <w:iCs/>
          <w:color w:val="000000"/>
          <w:sz w:val="24"/>
          <w:szCs w:val="24"/>
        </w:rPr>
        <w:t>Sistemin e njehsuar dhe të standar</w:t>
      </w:r>
      <w:r w:rsidR="009E6DE2">
        <w:rPr>
          <w:rFonts w:ascii="Garamond" w:hAnsi="Garamond" w:cs="Times New Roman"/>
          <w:iCs/>
          <w:color w:val="000000"/>
          <w:sz w:val="24"/>
          <w:szCs w:val="24"/>
        </w:rPr>
        <w:t>d</w:t>
      </w:r>
      <w:r w:rsidRPr="009E6DE2">
        <w:rPr>
          <w:rFonts w:ascii="Garamond" w:hAnsi="Garamond" w:cs="Times New Roman"/>
          <w:iCs/>
          <w:color w:val="000000"/>
          <w:sz w:val="24"/>
          <w:szCs w:val="24"/>
        </w:rPr>
        <w:t>izuar të llogarive për të licen</w:t>
      </w:r>
      <w:r w:rsidR="009E6DE2">
        <w:rPr>
          <w:rFonts w:ascii="Garamond" w:hAnsi="Garamond" w:cs="Times New Roman"/>
          <w:iCs/>
          <w:color w:val="000000"/>
          <w:sz w:val="24"/>
          <w:szCs w:val="24"/>
        </w:rPr>
        <w:t>c</w:t>
      </w:r>
      <w:r w:rsidRPr="009E6DE2">
        <w:rPr>
          <w:rFonts w:ascii="Garamond" w:hAnsi="Garamond" w:cs="Times New Roman"/>
          <w:iCs/>
          <w:color w:val="000000"/>
          <w:sz w:val="24"/>
          <w:szCs w:val="24"/>
        </w:rPr>
        <w:t>uarit në sektorin e energjisë elektrike për aktivitetet e transmetimit, shpërndarjes dhe furnizuesit të shërbimit universal të energjisë elektrike”</w:t>
      </w:r>
      <w:r w:rsidRPr="009E6DE2">
        <w:rPr>
          <w:rFonts w:ascii="Garamond" w:hAnsi="Garamond" w:cs="Times New Roman"/>
          <w:color w:val="000000"/>
          <w:sz w:val="24"/>
          <w:szCs w:val="24"/>
        </w:rPr>
        <w:t xml:space="preserve">, miratuar me vendimin e </w:t>
      </w:r>
      <w:r w:rsidR="009E6DE2" w:rsidRPr="009E6DE2">
        <w:rPr>
          <w:rFonts w:ascii="Garamond" w:hAnsi="Garamond" w:cs="Times New Roman"/>
          <w:color w:val="000000"/>
          <w:sz w:val="24"/>
          <w:szCs w:val="24"/>
        </w:rPr>
        <w:t xml:space="preserve">Bordit </w:t>
      </w:r>
      <w:r w:rsidRPr="009E6DE2">
        <w:rPr>
          <w:rFonts w:ascii="Garamond" w:hAnsi="Garamond" w:cs="Times New Roman"/>
          <w:color w:val="000000"/>
          <w:sz w:val="24"/>
          <w:szCs w:val="24"/>
        </w:rPr>
        <w:t>të ERE-s nr. 244, datë 26.11.2018, si dhe në</w:t>
      </w:r>
      <w:r w:rsidRPr="009E6DE2">
        <w:rPr>
          <w:rFonts w:ascii="Garamond" w:hAnsi="Garamond" w:cs="Times New Roman"/>
          <w:iCs/>
          <w:color w:val="000000"/>
          <w:sz w:val="24"/>
          <w:szCs w:val="24"/>
        </w:rPr>
        <w:t xml:space="preserve"> “Metodologjinë e llogaritjes së tarifave të transmetimit të energjisë elektrike”,</w:t>
      </w:r>
      <w:r w:rsidRPr="009E6DE2">
        <w:rPr>
          <w:rFonts w:ascii="Garamond" w:hAnsi="Garamond" w:cs="Times New Roman"/>
          <w:color w:val="000000"/>
          <w:sz w:val="24"/>
          <w:szCs w:val="24"/>
        </w:rPr>
        <w:t xml:space="preserve"> miratuar me vendimin e </w:t>
      </w:r>
      <w:r w:rsidR="009E6DE2" w:rsidRPr="009E6DE2">
        <w:rPr>
          <w:rFonts w:ascii="Garamond" w:hAnsi="Garamond" w:cs="Times New Roman"/>
          <w:color w:val="000000"/>
          <w:sz w:val="24"/>
          <w:szCs w:val="24"/>
        </w:rPr>
        <w:t xml:space="preserve">Bordit </w:t>
      </w:r>
      <w:r w:rsidRPr="009E6DE2">
        <w:rPr>
          <w:rFonts w:ascii="Garamond" w:hAnsi="Garamond" w:cs="Times New Roman"/>
          <w:color w:val="000000"/>
          <w:sz w:val="24"/>
          <w:szCs w:val="24"/>
        </w:rPr>
        <w:t xml:space="preserve">të ERE-s nr. 180, datë 8.11.2017. </w:t>
      </w:r>
    </w:p>
    <w:p w14:paraId="5E89DBCC" w14:textId="2A17B553" w:rsidR="009F2B11" w:rsidRPr="009E6DE2" w:rsidRDefault="009F2B11" w:rsidP="009F2B11">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Në zbatim të pikës 1, të nenit 21</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të “</w:t>
      </w:r>
      <w:r w:rsidRPr="009E6DE2">
        <w:rPr>
          <w:rFonts w:ascii="Garamond" w:hAnsi="Garamond" w:cs="Times New Roman"/>
          <w:iCs/>
          <w:color w:val="000000"/>
          <w:sz w:val="24"/>
          <w:szCs w:val="24"/>
        </w:rPr>
        <w:t>Rregullores për</w:t>
      </w:r>
      <w:r w:rsidRPr="009E6DE2">
        <w:rPr>
          <w:rFonts w:ascii="Garamond" w:hAnsi="Garamond" w:cs="Times New Roman"/>
          <w:color w:val="000000"/>
          <w:sz w:val="24"/>
          <w:szCs w:val="24"/>
        </w:rPr>
        <w:t xml:space="preserve"> </w:t>
      </w:r>
      <w:r w:rsidRPr="009E6DE2">
        <w:rPr>
          <w:rFonts w:ascii="Garamond" w:hAnsi="Garamond" w:cs="Times New Roman"/>
          <w:iCs/>
          <w:color w:val="000000"/>
          <w:sz w:val="24"/>
          <w:szCs w:val="24"/>
        </w:rPr>
        <w:t xml:space="preserve">organizimin, funksionimin dhe </w:t>
      </w:r>
      <w:r w:rsidR="009E6DE2" w:rsidRPr="009E6DE2">
        <w:rPr>
          <w:rFonts w:ascii="Garamond" w:hAnsi="Garamond" w:cs="Times New Roman"/>
          <w:iCs/>
          <w:color w:val="000000"/>
          <w:sz w:val="24"/>
          <w:szCs w:val="24"/>
        </w:rPr>
        <w:t>procedurat</w:t>
      </w:r>
      <w:r w:rsidRPr="009E6DE2">
        <w:rPr>
          <w:rFonts w:ascii="Garamond" w:hAnsi="Garamond" w:cs="Times New Roman"/>
          <w:iCs/>
          <w:color w:val="000000"/>
          <w:sz w:val="24"/>
          <w:szCs w:val="24"/>
        </w:rPr>
        <w:t xml:space="preserve"> e ERE-s”</w:t>
      </w:r>
      <w:r w:rsidRPr="009E6DE2">
        <w:rPr>
          <w:rFonts w:ascii="Garamond" w:hAnsi="Garamond" w:cs="Times New Roman"/>
          <w:color w:val="000000"/>
          <w:sz w:val="24"/>
          <w:szCs w:val="24"/>
        </w:rPr>
        <w:t>, i licencuari që kërkon përcaktimin e tarifave dhe çmimeve të shërbimeve të energjisë elektrike dhe të gazit natyror për vitin pasardhës</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jo më vonë se data 1 </w:t>
      </w:r>
      <w:r w:rsidR="009E6DE2">
        <w:rPr>
          <w:rFonts w:ascii="Garamond" w:hAnsi="Garamond" w:cs="Times New Roman"/>
          <w:color w:val="000000"/>
          <w:sz w:val="24"/>
          <w:szCs w:val="24"/>
        </w:rPr>
        <w:t>s</w:t>
      </w:r>
      <w:r w:rsidRPr="009E6DE2">
        <w:rPr>
          <w:rFonts w:ascii="Garamond" w:hAnsi="Garamond" w:cs="Times New Roman"/>
          <w:color w:val="000000"/>
          <w:sz w:val="24"/>
          <w:szCs w:val="24"/>
        </w:rPr>
        <w:t>htator të vitit aktual</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duhet të paraqesë në ERE një kërkesë me shkrim, të shoqëruar me të gjithë informacionin dhe dokumentacionin e kërkuar sipas kësaj rregullore</w:t>
      </w:r>
      <w:r w:rsidR="009E6DE2">
        <w:rPr>
          <w:rFonts w:ascii="Garamond" w:hAnsi="Garamond" w:cs="Times New Roman"/>
          <w:color w:val="000000"/>
          <w:sz w:val="24"/>
          <w:szCs w:val="24"/>
        </w:rPr>
        <w:t>je</w:t>
      </w:r>
      <w:r w:rsidRPr="009E6DE2">
        <w:rPr>
          <w:rFonts w:ascii="Garamond" w:hAnsi="Garamond" w:cs="Times New Roman"/>
          <w:color w:val="000000"/>
          <w:sz w:val="24"/>
          <w:szCs w:val="24"/>
        </w:rPr>
        <w:t xml:space="preserve"> dhe metodologjive përkatëse. Aplikimi i shoqërisë </w:t>
      </w:r>
      <w:r w:rsidR="009E6DE2">
        <w:rPr>
          <w:rFonts w:ascii="Garamond" w:hAnsi="Garamond" w:cs="Times New Roman"/>
          <w:color w:val="000000"/>
          <w:sz w:val="24"/>
          <w:szCs w:val="24"/>
        </w:rPr>
        <w:t>“</w:t>
      </w:r>
      <w:r w:rsidRPr="009E6DE2">
        <w:rPr>
          <w:rFonts w:ascii="Garamond" w:hAnsi="Garamond" w:cs="Times New Roman"/>
          <w:color w:val="000000"/>
          <w:sz w:val="24"/>
          <w:szCs w:val="24"/>
        </w:rPr>
        <w:t>OST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proofErr w:type="spellStart"/>
      <w:r w:rsidRPr="009E6DE2">
        <w:rPr>
          <w:rFonts w:ascii="Garamond" w:hAnsi="Garamond" w:cs="Times New Roman"/>
          <w:color w:val="000000"/>
          <w:sz w:val="24"/>
          <w:szCs w:val="24"/>
        </w:rPr>
        <w:t>sh.a</w:t>
      </w:r>
      <w:proofErr w:type="spellEnd"/>
      <w:r w:rsidRPr="009E6DE2">
        <w:rPr>
          <w:rFonts w:ascii="Garamond" w:hAnsi="Garamond" w:cs="Times New Roman"/>
          <w:color w:val="000000"/>
          <w:sz w:val="24"/>
          <w:szCs w:val="24"/>
        </w:rPr>
        <w:t xml:space="preserve">. është dorëzuar në afat në zbatim të </w:t>
      </w:r>
      <w:r w:rsidR="009E6DE2">
        <w:rPr>
          <w:rFonts w:ascii="Garamond" w:hAnsi="Garamond" w:cs="Times New Roman"/>
          <w:color w:val="000000"/>
          <w:sz w:val="24"/>
          <w:szCs w:val="24"/>
        </w:rPr>
        <w:t>r</w:t>
      </w:r>
      <w:r w:rsidRPr="009E6DE2">
        <w:rPr>
          <w:rFonts w:ascii="Garamond" w:hAnsi="Garamond" w:cs="Times New Roman"/>
          <w:color w:val="000000"/>
          <w:sz w:val="24"/>
          <w:szCs w:val="24"/>
        </w:rPr>
        <w:t xml:space="preserve">regullores. </w:t>
      </w:r>
    </w:p>
    <w:p w14:paraId="69C203B6" w14:textId="6A93FD5A" w:rsidR="009F2B11" w:rsidRPr="009E6DE2" w:rsidRDefault="009F2B11" w:rsidP="009F2B11">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Në mbështetje të nenit 21, pikës 4</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të “</w:t>
      </w:r>
      <w:r w:rsidRPr="009E6DE2">
        <w:rPr>
          <w:rFonts w:ascii="Garamond" w:hAnsi="Garamond" w:cs="Times New Roman"/>
          <w:iCs/>
          <w:color w:val="000000"/>
          <w:sz w:val="24"/>
          <w:szCs w:val="24"/>
        </w:rPr>
        <w:t>Rregullores për</w:t>
      </w:r>
      <w:r w:rsidRPr="009E6DE2">
        <w:rPr>
          <w:rFonts w:ascii="Garamond" w:hAnsi="Garamond" w:cs="Times New Roman"/>
          <w:color w:val="000000"/>
          <w:sz w:val="24"/>
          <w:szCs w:val="24"/>
        </w:rPr>
        <w:t xml:space="preserve"> </w:t>
      </w:r>
      <w:r w:rsidRPr="009E6DE2">
        <w:rPr>
          <w:rFonts w:ascii="Garamond" w:hAnsi="Garamond" w:cs="Times New Roman"/>
          <w:iCs/>
          <w:color w:val="000000"/>
          <w:sz w:val="24"/>
          <w:szCs w:val="24"/>
        </w:rPr>
        <w:t>organizimin, funksionimin dhe procedurat e ERE-s”</w:t>
      </w:r>
      <w:r w:rsidRPr="009E6DE2">
        <w:rPr>
          <w:rFonts w:ascii="Garamond" w:hAnsi="Garamond" w:cs="Times New Roman"/>
          <w:color w:val="000000"/>
          <w:sz w:val="24"/>
          <w:szCs w:val="24"/>
        </w:rPr>
        <w:t>, ERE ruan të drejtën për të kërkuar çdo informacion që e konsideron të nevojshëm për vendimmarrjen e saj në lidhje me aplikimin e paraqitur.</w:t>
      </w:r>
    </w:p>
    <w:p w14:paraId="53155ED1" w14:textId="7CB0B4B9"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Rezulton se në lidhje me vitin e testimit, shoqëria ka përcjellë raportin e aktivitetit të vitit 2024, në të cilin pasqyrohet realizimi i të gjithë treguesve ekonomik-financiar për gjashtëmujorin e parë</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si dhe parashikimet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në lidhje me gjashtëmujorin e dytë të këtij vitit. Gjithashtu</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në këtë raport është përfshirë dhe informacioni mbi gjendjen e huave dhe vlerësimin e kostove të borxhit, ku janë paraqitur </w:t>
      </w:r>
      <w:r w:rsidRPr="009E6DE2">
        <w:rPr>
          <w:rFonts w:ascii="Garamond" w:hAnsi="Garamond" w:cs="Times New Roman"/>
          <w:color w:val="000000"/>
          <w:sz w:val="24"/>
          <w:szCs w:val="24"/>
        </w:rPr>
        <w:lastRenderedPageBreak/>
        <w:t>të dhënat faktike për gjashtëmujorin e parë të vitit 2024</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si dhe parashikimi për periudhën </w:t>
      </w:r>
      <w:proofErr w:type="spellStart"/>
      <w:r w:rsidRPr="009E6DE2">
        <w:rPr>
          <w:rFonts w:ascii="Garamond" w:hAnsi="Garamond" w:cs="Times New Roman"/>
          <w:color w:val="000000"/>
          <w:sz w:val="24"/>
          <w:szCs w:val="24"/>
        </w:rPr>
        <w:t>rregullatore</w:t>
      </w:r>
      <w:proofErr w:type="spellEnd"/>
      <w:r w:rsidRPr="009E6DE2">
        <w:rPr>
          <w:rFonts w:ascii="Garamond" w:hAnsi="Garamond" w:cs="Times New Roman"/>
          <w:color w:val="000000"/>
          <w:sz w:val="24"/>
          <w:szCs w:val="24"/>
        </w:rPr>
        <w:t xml:space="preserve"> 2025–2027. </w:t>
      </w:r>
    </w:p>
    <w:p w14:paraId="75E361DF" w14:textId="785DA6AE" w:rsidR="009F2B11" w:rsidRPr="009E6DE2" w:rsidRDefault="009F2B11" w:rsidP="009F2B11">
      <w:pPr>
        <w:tabs>
          <w:tab w:val="left" w:pos="2720"/>
        </w:tabs>
        <w:autoSpaceDE w:val="0"/>
        <w:autoSpaceDN w:val="0"/>
        <w:adjustRightInd w:val="0"/>
        <w:spacing w:after="0" w:line="240" w:lineRule="auto"/>
        <w:ind w:firstLine="284"/>
        <w:jc w:val="both"/>
        <w:rPr>
          <w:rFonts w:ascii="Garamond" w:hAnsi="Garamond" w:cs="Times New Roman"/>
          <w:iCs/>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Bazuar në</w:t>
      </w:r>
      <w:r w:rsidRPr="009E6DE2">
        <w:rPr>
          <w:rFonts w:ascii="Garamond" w:hAnsi="Garamond" w:cs="Calibri"/>
          <w:color w:val="000000"/>
          <w:sz w:val="23"/>
          <w:szCs w:val="23"/>
        </w:rPr>
        <w:t xml:space="preserve"> </w:t>
      </w:r>
      <w:r w:rsidRPr="009E6DE2">
        <w:rPr>
          <w:rFonts w:ascii="Garamond" w:hAnsi="Garamond" w:cs="Times New Roman"/>
          <w:iCs/>
          <w:color w:val="000000"/>
          <w:sz w:val="24"/>
          <w:szCs w:val="24"/>
        </w:rPr>
        <w:t>“Rregulloren për procedurat e paraqitjes dhe miratimit të planit të investimeve nga operatorët e transmetimit dhe shpërndarjes së energjisë elektrike”,</w:t>
      </w:r>
      <w:r w:rsidRPr="009E6DE2">
        <w:rPr>
          <w:rFonts w:ascii="Garamond" w:hAnsi="Garamond" w:cs="Times New Roman"/>
          <w:color w:val="000000"/>
          <w:sz w:val="24"/>
          <w:szCs w:val="24"/>
        </w:rPr>
        <w:t xml:space="preserve"> miratuar me vendimin e Bordit t</w:t>
      </w:r>
      <w:r w:rsidR="009E6DE2">
        <w:rPr>
          <w:rFonts w:ascii="Garamond" w:hAnsi="Garamond" w:cs="Times New Roman"/>
          <w:color w:val="000000"/>
          <w:sz w:val="24"/>
          <w:szCs w:val="24"/>
        </w:rPr>
        <w:t>ë</w:t>
      </w:r>
      <w:r w:rsidRPr="009E6DE2">
        <w:rPr>
          <w:rFonts w:ascii="Garamond" w:hAnsi="Garamond" w:cs="Times New Roman"/>
          <w:color w:val="000000"/>
          <w:sz w:val="24"/>
          <w:szCs w:val="24"/>
        </w:rPr>
        <w:t xml:space="preserve"> ERE nr. 135, datë 6.9.2017, neni 11, përcaktohet se:</w:t>
      </w:r>
      <w:r w:rsidRPr="009E6DE2">
        <w:rPr>
          <w:rFonts w:ascii="Garamond" w:hAnsi="Garamond" w:cs="Times New Roman"/>
          <w:iCs/>
          <w:color w:val="000000"/>
          <w:sz w:val="24"/>
          <w:szCs w:val="24"/>
        </w:rPr>
        <w:t xml:space="preserve"> “ERE ka përcaktuar afatet për paraqitjen dhe miratimin e planit të investimeve në kontekstin e aplikimit dhe miratimit të tarifave për veprimtaritë e ushtruara nga operatorët e transmetimit dhe të shpërndarjes në tregun e energjisë elektrike. Këta të fundit do të paraqesin në ERE planin e investimeve për vitin pasardhës në të njëjtën kohë me aplikimin për tarifë.”</w:t>
      </w:r>
      <w:r w:rsidR="009E6DE2">
        <w:rPr>
          <w:rFonts w:ascii="Garamond" w:hAnsi="Garamond" w:cs="Times New Roman"/>
          <w:iCs/>
          <w:color w:val="000000"/>
          <w:sz w:val="24"/>
          <w:szCs w:val="24"/>
        </w:rPr>
        <w:t>.</w:t>
      </w:r>
    </w:p>
    <w:p w14:paraId="2F2EA212" w14:textId="381E5B89"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Në lidhje me planin e investimeve për periudhën 2025</w:t>
      </w:r>
      <w:r w:rsidR="009E6DE2">
        <w:rPr>
          <w:rFonts w:ascii="Garamond" w:hAnsi="Garamond" w:cs="Times New Roman"/>
          <w:color w:val="000000"/>
          <w:sz w:val="24"/>
          <w:szCs w:val="24"/>
        </w:rPr>
        <w:t>–</w:t>
      </w:r>
      <w:r w:rsidRPr="009E6DE2">
        <w:rPr>
          <w:rFonts w:ascii="Garamond" w:hAnsi="Garamond" w:cs="Times New Roman"/>
          <w:color w:val="000000"/>
          <w:sz w:val="24"/>
          <w:szCs w:val="24"/>
        </w:rPr>
        <w:t>2027</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rezulton se shoqëria </w:t>
      </w:r>
      <w:r w:rsidR="009E6DE2">
        <w:rPr>
          <w:rFonts w:ascii="Garamond" w:hAnsi="Garamond" w:cs="Times New Roman"/>
          <w:color w:val="000000"/>
          <w:sz w:val="24"/>
          <w:szCs w:val="24"/>
        </w:rPr>
        <w:t>“</w:t>
      </w:r>
      <w:r w:rsidRPr="009E6DE2">
        <w:rPr>
          <w:rFonts w:ascii="Garamond" w:hAnsi="Garamond" w:cs="Times New Roman"/>
          <w:color w:val="000000"/>
          <w:sz w:val="24"/>
          <w:szCs w:val="24"/>
        </w:rPr>
        <w:t>OST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proofErr w:type="spellStart"/>
      <w:r w:rsidRPr="009E6DE2">
        <w:rPr>
          <w:rFonts w:ascii="Garamond" w:hAnsi="Garamond" w:cs="Times New Roman"/>
          <w:color w:val="000000"/>
          <w:sz w:val="24"/>
          <w:szCs w:val="24"/>
        </w:rPr>
        <w:t>sh.a</w:t>
      </w:r>
      <w:proofErr w:type="spellEnd"/>
      <w:r w:rsidRPr="009E6DE2">
        <w:rPr>
          <w:rFonts w:ascii="Garamond" w:hAnsi="Garamond" w:cs="Times New Roman"/>
          <w:color w:val="000000"/>
          <w:sz w:val="24"/>
          <w:szCs w:val="24"/>
        </w:rPr>
        <w:t xml:space="preserve">. i ka bashkëlidhur aplikimit për tarifë një raport mbi planin e investimeve për periudhën 2022–2024 dhe 2025–2027. </w:t>
      </w:r>
    </w:p>
    <w:p w14:paraId="2B0C6255" w14:textId="4FE33ACB"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 xml:space="preserve">Operatori i Sistemit të Transmetimit paraqet pranë ERE-s, së bashku me aplikimin për miratimin e tarifës dhe planin e përditësuar të investimeve për vitin pasardhës. Në rast se Operatori i Sistemit të Transmetimit aplikon për një tarifë për një periudhë </w:t>
      </w:r>
      <w:proofErr w:type="spellStart"/>
      <w:r w:rsidRPr="009E6DE2">
        <w:rPr>
          <w:rFonts w:ascii="Garamond" w:hAnsi="Garamond" w:cs="Times New Roman"/>
          <w:color w:val="000000"/>
          <w:sz w:val="24"/>
          <w:szCs w:val="24"/>
        </w:rPr>
        <w:t>rregullatore</w:t>
      </w:r>
      <w:proofErr w:type="spellEnd"/>
      <w:r w:rsidRPr="009E6DE2">
        <w:rPr>
          <w:rFonts w:ascii="Garamond" w:hAnsi="Garamond" w:cs="Times New Roman"/>
          <w:color w:val="000000"/>
          <w:sz w:val="24"/>
          <w:szCs w:val="24"/>
        </w:rPr>
        <w:t xml:space="preserve"> më të madhe se 1 vit, programi i investimeve do të përmbajë një analizë të investimeve të planifikuara për periudhën </w:t>
      </w:r>
      <w:proofErr w:type="spellStart"/>
      <w:r w:rsidRPr="009E6DE2">
        <w:rPr>
          <w:rFonts w:ascii="Garamond" w:hAnsi="Garamond" w:cs="Times New Roman"/>
          <w:color w:val="000000"/>
          <w:sz w:val="24"/>
          <w:szCs w:val="24"/>
        </w:rPr>
        <w:t>rregullatore</w:t>
      </w:r>
      <w:proofErr w:type="spellEnd"/>
      <w:r w:rsidRPr="009E6DE2">
        <w:rPr>
          <w:rFonts w:ascii="Garamond" w:hAnsi="Garamond" w:cs="Times New Roman"/>
          <w:color w:val="000000"/>
          <w:sz w:val="24"/>
          <w:szCs w:val="24"/>
        </w:rPr>
        <w:t xml:space="preserve"> përkatëse.</w:t>
      </w:r>
    </w:p>
    <w:p w14:paraId="15252FE6" w14:textId="4C58C21A"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Plani i investimeve duhet të paraqitet si një kërkesë më vete nga aplikimi për tarifë</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e cila duhet të shqyrtohet paralelisht me procesin e përcaktimit të tarifës për periudhën e ardhshme </w:t>
      </w:r>
      <w:r w:rsidR="009E6DE2">
        <w:rPr>
          <w:rFonts w:ascii="Garamond" w:hAnsi="Garamond" w:cs="Times New Roman"/>
          <w:color w:val="000000"/>
          <w:sz w:val="24"/>
          <w:szCs w:val="24"/>
        </w:rPr>
        <w:t>rregullatorë,</w:t>
      </w:r>
      <w:r w:rsidRPr="009E6DE2">
        <w:rPr>
          <w:rFonts w:ascii="Garamond" w:hAnsi="Garamond" w:cs="Times New Roman"/>
          <w:color w:val="000000"/>
          <w:sz w:val="24"/>
          <w:szCs w:val="24"/>
        </w:rPr>
        <w:t xml:space="preserve"> mbështetur në përcaktimet e neneve 6 dhe 8</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të </w:t>
      </w:r>
      <w:r w:rsidRPr="009E6DE2">
        <w:rPr>
          <w:rFonts w:ascii="Garamond" w:hAnsi="Garamond" w:cs="Times New Roman"/>
          <w:iCs/>
          <w:color w:val="000000"/>
          <w:sz w:val="24"/>
          <w:szCs w:val="24"/>
        </w:rPr>
        <w:t xml:space="preserve">“Rregullores për procedurat e paraqitjes dhe miratimit të planit të investimeve nga operatorët e transmetimit dhe shpërndarjes së energjisë elektrike” </w:t>
      </w:r>
      <w:r w:rsidRPr="009E6DE2">
        <w:rPr>
          <w:rFonts w:ascii="Garamond" w:hAnsi="Garamond" w:cs="Times New Roman"/>
          <w:color w:val="000000"/>
          <w:sz w:val="24"/>
          <w:szCs w:val="24"/>
        </w:rPr>
        <w:t>dhe duhet të jetë në përputhje me këtë rregullore.</w:t>
      </w:r>
    </w:p>
    <w:p w14:paraId="4EAB35F0" w14:textId="77F4D983"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 xml:space="preserve">Vlerësohet se </w:t>
      </w:r>
      <w:r w:rsidR="009E6DE2">
        <w:rPr>
          <w:rFonts w:ascii="Garamond" w:hAnsi="Garamond" w:cs="Times New Roman"/>
          <w:color w:val="000000"/>
          <w:sz w:val="24"/>
          <w:szCs w:val="24"/>
        </w:rPr>
        <w:t>“</w:t>
      </w:r>
      <w:r w:rsidRPr="009E6DE2">
        <w:rPr>
          <w:rFonts w:ascii="Garamond" w:hAnsi="Garamond" w:cs="Times New Roman"/>
          <w:color w:val="000000"/>
          <w:sz w:val="24"/>
          <w:szCs w:val="24"/>
        </w:rPr>
        <w:t>OST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proofErr w:type="spellStart"/>
      <w:r w:rsidRPr="009E6DE2">
        <w:rPr>
          <w:rFonts w:ascii="Garamond" w:hAnsi="Garamond" w:cs="Times New Roman"/>
          <w:color w:val="000000"/>
          <w:sz w:val="24"/>
          <w:szCs w:val="24"/>
        </w:rPr>
        <w:t>sh.a</w:t>
      </w:r>
      <w:proofErr w:type="spellEnd"/>
      <w:r w:rsidRPr="009E6DE2">
        <w:rPr>
          <w:rFonts w:ascii="Garamond" w:hAnsi="Garamond" w:cs="Times New Roman"/>
          <w:color w:val="000000"/>
          <w:sz w:val="24"/>
          <w:szCs w:val="24"/>
        </w:rPr>
        <w:t>. duhet të dërgojë në ERE çdo të dhënë/argument apo dokumentacion mbështetës të nevojshëm që do të kërkohet gjatë këtij procesi, gjithashtu dhe të plotësojë të gjitha kërkesat dhe detyrat që mund të lindin gjatë zhvillimit të seancave teknike dhe seancave publike me palët e përfshira</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dhe që ndikohet nga efektet e tarifës mesatare të transmetimit të energjisë elektrike në zbatim të akteve ligjore të sipërcituar.</w:t>
      </w:r>
    </w:p>
    <w:p w14:paraId="1941188C" w14:textId="0567F507"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Në kërkesën për aplikimin e tarifës së transmetimit të energjisë elektrike për periudhën 2025</w:t>
      </w:r>
      <w:r w:rsidR="009E6DE2">
        <w:rPr>
          <w:rFonts w:ascii="Garamond" w:hAnsi="Garamond" w:cs="Times New Roman"/>
          <w:color w:val="000000"/>
          <w:sz w:val="24"/>
          <w:szCs w:val="24"/>
        </w:rPr>
        <w:t>–</w:t>
      </w:r>
      <w:r w:rsidRPr="009E6DE2">
        <w:rPr>
          <w:rFonts w:ascii="Garamond" w:hAnsi="Garamond" w:cs="Times New Roman"/>
          <w:color w:val="000000"/>
          <w:sz w:val="24"/>
          <w:szCs w:val="24"/>
        </w:rPr>
        <w:t>2027</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shoqëria </w:t>
      </w:r>
      <w:r w:rsidR="009E6DE2">
        <w:rPr>
          <w:rFonts w:ascii="Garamond" w:hAnsi="Garamond" w:cs="Times New Roman"/>
          <w:color w:val="000000"/>
          <w:sz w:val="24"/>
          <w:szCs w:val="24"/>
        </w:rPr>
        <w:t>“</w:t>
      </w:r>
      <w:r w:rsidRPr="009E6DE2">
        <w:rPr>
          <w:rFonts w:ascii="Garamond" w:hAnsi="Garamond" w:cs="Times New Roman"/>
          <w:color w:val="000000"/>
          <w:sz w:val="24"/>
          <w:szCs w:val="24"/>
        </w:rPr>
        <w:t>OST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proofErr w:type="spellStart"/>
      <w:r w:rsidRPr="009E6DE2">
        <w:rPr>
          <w:rFonts w:ascii="Garamond" w:hAnsi="Garamond" w:cs="Times New Roman"/>
          <w:color w:val="000000"/>
          <w:sz w:val="24"/>
          <w:szCs w:val="24"/>
        </w:rPr>
        <w:t>sh.a</w:t>
      </w:r>
      <w:proofErr w:type="spellEnd"/>
      <w:r w:rsidRPr="009E6DE2">
        <w:rPr>
          <w:rFonts w:ascii="Garamond" w:hAnsi="Garamond" w:cs="Times New Roman"/>
          <w:color w:val="000000"/>
          <w:sz w:val="24"/>
          <w:szCs w:val="24"/>
        </w:rPr>
        <w:t xml:space="preserve">. ka kërkuar miratimin e një tarife mesatare transmetimi prej 1.22 lekë/ </w:t>
      </w:r>
      <w:proofErr w:type="spellStart"/>
      <w:r w:rsidRPr="009E6DE2">
        <w:rPr>
          <w:rFonts w:ascii="Garamond" w:hAnsi="Garamond" w:cs="Times New Roman"/>
          <w:color w:val="000000"/>
          <w:sz w:val="24"/>
          <w:szCs w:val="24"/>
        </w:rPr>
        <w:t>k</w:t>
      </w:r>
      <w:r w:rsidR="009E6DE2">
        <w:rPr>
          <w:rFonts w:ascii="Garamond" w:hAnsi="Garamond" w:cs="Times New Roman"/>
          <w:color w:val="000000"/>
          <w:sz w:val="24"/>
          <w:szCs w:val="24"/>
        </w:rPr>
        <w:t>w</w:t>
      </w:r>
      <w:r w:rsidRPr="009E6DE2">
        <w:rPr>
          <w:rFonts w:ascii="Garamond" w:hAnsi="Garamond" w:cs="Times New Roman"/>
          <w:color w:val="000000"/>
          <w:sz w:val="24"/>
          <w:szCs w:val="24"/>
        </w:rPr>
        <w:t>h</w:t>
      </w:r>
      <w:proofErr w:type="spellEnd"/>
      <w:r w:rsidRPr="009E6DE2">
        <w:rPr>
          <w:rFonts w:ascii="Garamond" w:hAnsi="Garamond" w:cs="Times New Roman"/>
          <w:color w:val="000000"/>
          <w:sz w:val="24"/>
          <w:szCs w:val="24"/>
        </w:rPr>
        <w:t>, ose një rritje prej 45.5% nga tarifa prej 0.85 lekë/</w:t>
      </w:r>
      <w:proofErr w:type="spellStart"/>
      <w:r w:rsidRPr="009E6DE2">
        <w:rPr>
          <w:rFonts w:ascii="Garamond" w:hAnsi="Garamond" w:cs="Times New Roman"/>
          <w:color w:val="000000"/>
          <w:sz w:val="24"/>
          <w:szCs w:val="24"/>
        </w:rPr>
        <w:t>k</w:t>
      </w:r>
      <w:r w:rsidR="009E6DE2">
        <w:rPr>
          <w:rFonts w:ascii="Garamond" w:hAnsi="Garamond" w:cs="Times New Roman"/>
          <w:color w:val="000000"/>
          <w:sz w:val="24"/>
          <w:szCs w:val="24"/>
        </w:rPr>
        <w:t>w</w:t>
      </w:r>
      <w:r w:rsidRPr="009E6DE2">
        <w:rPr>
          <w:rFonts w:ascii="Garamond" w:hAnsi="Garamond" w:cs="Times New Roman"/>
          <w:color w:val="000000"/>
          <w:sz w:val="24"/>
          <w:szCs w:val="24"/>
        </w:rPr>
        <w:t>h</w:t>
      </w:r>
      <w:proofErr w:type="spellEnd"/>
      <w:r w:rsidRPr="009E6DE2">
        <w:rPr>
          <w:rFonts w:ascii="Garamond" w:hAnsi="Garamond" w:cs="Times New Roman"/>
          <w:color w:val="000000"/>
          <w:sz w:val="24"/>
          <w:szCs w:val="24"/>
        </w:rPr>
        <w:t xml:space="preserve"> në fuqi e miratuar nga </w:t>
      </w:r>
      <w:r w:rsidR="009E6DE2" w:rsidRPr="009E6DE2">
        <w:rPr>
          <w:rFonts w:ascii="Garamond" w:hAnsi="Garamond" w:cs="Times New Roman"/>
          <w:color w:val="000000"/>
          <w:sz w:val="24"/>
          <w:szCs w:val="24"/>
        </w:rPr>
        <w:t xml:space="preserve">Bordi </w:t>
      </w:r>
      <w:r w:rsidRPr="009E6DE2">
        <w:rPr>
          <w:rFonts w:ascii="Garamond" w:hAnsi="Garamond" w:cs="Times New Roman"/>
          <w:color w:val="000000"/>
          <w:sz w:val="24"/>
          <w:szCs w:val="24"/>
        </w:rPr>
        <w:t>i ERE-s me anë të vendimit nr. 72/2022</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“Mbi miratimin e tarifës së transmetimit të energjisë elektrike për periudhën 2022</w:t>
      </w:r>
      <w:r w:rsidR="009E6DE2">
        <w:rPr>
          <w:rFonts w:ascii="Garamond" w:hAnsi="Garamond" w:cs="Times New Roman"/>
          <w:color w:val="000000"/>
          <w:sz w:val="24"/>
          <w:szCs w:val="24"/>
        </w:rPr>
        <w:t>–</w:t>
      </w:r>
      <w:r w:rsidRPr="009E6DE2">
        <w:rPr>
          <w:rFonts w:ascii="Garamond" w:hAnsi="Garamond" w:cs="Times New Roman"/>
          <w:color w:val="000000"/>
          <w:sz w:val="24"/>
          <w:szCs w:val="24"/>
        </w:rPr>
        <w:t>2024”.</w:t>
      </w:r>
    </w:p>
    <w:p w14:paraId="71577CF6" w14:textId="3AE4330D"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Symbol"/>
          <w:color w:val="000000"/>
          <w:sz w:val="24"/>
          <w:szCs w:val="24"/>
        </w:rPr>
        <w:t xml:space="preserve">- </w:t>
      </w:r>
      <w:r w:rsidRPr="009E6DE2">
        <w:rPr>
          <w:rFonts w:ascii="Garamond" w:hAnsi="Garamond" w:cs="Times New Roman"/>
          <w:color w:val="000000"/>
          <w:sz w:val="24"/>
          <w:szCs w:val="24"/>
        </w:rPr>
        <w:t xml:space="preserve">Gjatë këtij procesi vlerësohet se </w:t>
      </w:r>
      <w:r w:rsidR="009E6DE2">
        <w:rPr>
          <w:rFonts w:ascii="Garamond" w:hAnsi="Garamond" w:cs="Times New Roman"/>
          <w:color w:val="000000"/>
          <w:sz w:val="24"/>
          <w:szCs w:val="24"/>
        </w:rPr>
        <w:t>a</w:t>
      </w:r>
      <w:r w:rsidRPr="009E6DE2">
        <w:rPr>
          <w:rFonts w:ascii="Garamond" w:hAnsi="Garamond" w:cs="Times New Roman"/>
          <w:color w:val="000000"/>
          <w:sz w:val="24"/>
          <w:szCs w:val="24"/>
        </w:rPr>
        <w:t xml:space="preserve">naliza e kostove të realizuara por dhe të parashikuara, si dhe e treguesve teknikë, ekonomik dhe financiar të </w:t>
      </w:r>
      <w:r w:rsidR="009E6DE2">
        <w:rPr>
          <w:rFonts w:ascii="Garamond" w:hAnsi="Garamond" w:cs="Times New Roman"/>
          <w:color w:val="000000"/>
          <w:sz w:val="24"/>
          <w:szCs w:val="24"/>
        </w:rPr>
        <w:t>“</w:t>
      </w:r>
      <w:r w:rsidRPr="009E6DE2">
        <w:rPr>
          <w:rFonts w:ascii="Garamond" w:hAnsi="Garamond" w:cs="Times New Roman"/>
          <w:color w:val="000000"/>
          <w:sz w:val="24"/>
          <w:szCs w:val="24"/>
        </w:rPr>
        <w:t>OST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proofErr w:type="spellStart"/>
      <w:r w:rsidRPr="009E6DE2">
        <w:rPr>
          <w:rFonts w:ascii="Garamond" w:hAnsi="Garamond" w:cs="Times New Roman"/>
          <w:color w:val="000000"/>
          <w:sz w:val="24"/>
          <w:szCs w:val="24"/>
        </w:rPr>
        <w:t>sh.a</w:t>
      </w:r>
      <w:proofErr w:type="spellEnd"/>
      <w:r w:rsidRPr="009E6DE2">
        <w:rPr>
          <w:rFonts w:ascii="Garamond" w:hAnsi="Garamond" w:cs="Times New Roman"/>
          <w:color w:val="000000"/>
          <w:sz w:val="24"/>
          <w:szCs w:val="24"/>
        </w:rPr>
        <w:t xml:space="preserve">. për periudhën e ardhshme </w:t>
      </w:r>
      <w:proofErr w:type="spellStart"/>
      <w:r w:rsidRPr="009E6DE2">
        <w:rPr>
          <w:rFonts w:ascii="Garamond" w:hAnsi="Garamond" w:cs="Times New Roman"/>
          <w:color w:val="000000"/>
          <w:sz w:val="24"/>
          <w:szCs w:val="24"/>
        </w:rPr>
        <w:t>rregullatore</w:t>
      </w:r>
      <w:proofErr w:type="spellEnd"/>
      <w:r w:rsidRPr="009E6DE2">
        <w:rPr>
          <w:rFonts w:ascii="Garamond" w:hAnsi="Garamond" w:cs="Times New Roman"/>
          <w:color w:val="000000"/>
          <w:sz w:val="24"/>
          <w:szCs w:val="24"/>
        </w:rPr>
        <w:t xml:space="preserve"> do të shërbejë për të vlerësuar nëse shoqëria është në rrethanat të cilat kërkojnë rivlerësimin e nivelit të tarifës mesatare të transmetimit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e si rrjedhojë komponentët e të ardhurave të kërkuara/lejuara</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në zbatim të përcaktimeve të “</w:t>
      </w:r>
      <w:r w:rsidRPr="009E6DE2">
        <w:rPr>
          <w:rFonts w:ascii="Garamond" w:hAnsi="Garamond" w:cs="Times New Roman"/>
          <w:iCs/>
          <w:color w:val="000000"/>
          <w:sz w:val="24"/>
          <w:szCs w:val="24"/>
        </w:rPr>
        <w:t>Metodologjisë së llogaritjes së tarifave të transmetimit të energjisë elektrike</w:t>
      </w:r>
      <w:r w:rsidRPr="009E6DE2">
        <w:rPr>
          <w:rFonts w:ascii="Garamond" w:hAnsi="Garamond" w:cs="Times New Roman"/>
          <w:color w:val="000000"/>
          <w:sz w:val="24"/>
          <w:szCs w:val="24"/>
        </w:rPr>
        <w:t>”, si dhe në mbështetje të përcaktimeve të “Rregullores për organizimin, funksionimin dhe procedurat e ERE-s”.</w:t>
      </w:r>
    </w:p>
    <w:p w14:paraId="793C4F60" w14:textId="64899966"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Times New Roman"/>
          <w:color w:val="000000"/>
          <w:sz w:val="24"/>
          <w:szCs w:val="24"/>
        </w:rPr>
        <w:t xml:space="preserve">Për gjithë sa më sipër, </w:t>
      </w:r>
      <w:r w:rsidR="009E6DE2" w:rsidRPr="009E6DE2">
        <w:rPr>
          <w:rFonts w:ascii="Garamond" w:hAnsi="Garamond" w:cs="Times New Roman"/>
          <w:color w:val="000000"/>
          <w:sz w:val="24"/>
          <w:szCs w:val="24"/>
        </w:rPr>
        <w:t xml:space="preserve">Bordi </w:t>
      </w:r>
      <w:r w:rsidRPr="009E6DE2">
        <w:rPr>
          <w:rFonts w:ascii="Garamond" w:hAnsi="Garamond" w:cs="Times New Roman"/>
          <w:color w:val="000000"/>
          <w:sz w:val="24"/>
          <w:szCs w:val="24"/>
        </w:rPr>
        <w:t>i ERE-s</w:t>
      </w:r>
    </w:p>
    <w:p w14:paraId="1F5BA9F0" w14:textId="77777777" w:rsidR="009F2B11" w:rsidRPr="009E6DE2" w:rsidRDefault="009F2B11" w:rsidP="009F2B11">
      <w:pPr>
        <w:autoSpaceDE w:val="0"/>
        <w:autoSpaceDN w:val="0"/>
        <w:adjustRightInd w:val="0"/>
        <w:spacing w:after="0" w:line="240" w:lineRule="auto"/>
        <w:ind w:firstLine="284"/>
        <w:jc w:val="center"/>
        <w:rPr>
          <w:rFonts w:ascii="Garamond" w:hAnsi="Garamond" w:cs="Times New Roman"/>
          <w:b/>
          <w:bCs/>
          <w:color w:val="000000"/>
          <w:sz w:val="24"/>
          <w:szCs w:val="24"/>
        </w:rPr>
      </w:pPr>
    </w:p>
    <w:p w14:paraId="19BE0885" w14:textId="5D056D62" w:rsidR="009F2B11" w:rsidRPr="009E6DE2" w:rsidRDefault="009F2B11" w:rsidP="009F2B11">
      <w:pPr>
        <w:autoSpaceDE w:val="0"/>
        <w:autoSpaceDN w:val="0"/>
        <w:adjustRightInd w:val="0"/>
        <w:spacing w:after="0" w:line="240" w:lineRule="auto"/>
        <w:ind w:firstLine="284"/>
        <w:jc w:val="center"/>
        <w:rPr>
          <w:rFonts w:ascii="Garamond" w:hAnsi="Garamond" w:cs="Times New Roman"/>
          <w:bCs/>
          <w:color w:val="000000"/>
          <w:sz w:val="24"/>
          <w:szCs w:val="24"/>
        </w:rPr>
      </w:pPr>
      <w:r w:rsidRPr="009E6DE2">
        <w:rPr>
          <w:rFonts w:ascii="Garamond" w:hAnsi="Garamond" w:cs="Times New Roman"/>
          <w:bCs/>
          <w:color w:val="000000"/>
          <w:sz w:val="24"/>
          <w:szCs w:val="24"/>
        </w:rPr>
        <w:t>VENDOSI:</w:t>
      </w:r>
    </w:p>
    <w:p w14:paraId="17E0B204" w14:textId="77777777" w:rsidR="009F2B11" w:rsidRPr="009E6DE2" w:rsidRDefault="009F2B11" w:rsidP="009F2B11">
      <w:pPr>
        <w:autoSpaceDE w:val="0"/>
        <w:autoSpaceDN w:val="0"/>
        <w:adjustRightInd w:val="0"/>
        <w:spacing w:after="0" w:line="240" w:lineRule="auto"/>
        <w:ind w:firstLine="284"/>
        <w:jc w:val="center"/>
        <w:rPr>
          <w:rFonts w:ascii="Garamond" w:hAnsi="Garamond" w:cs="Times New Roman"/>
          <w:b/>
          <w:bCs/>
          <w:color w:val="000000"/>
          <w:sz w:val="24"/>
          <w:szCs w:val="24"/>
        </w:rPr>
      </w:pPr>
    </w:p>
    <w:p w14:paraId="2A59867F" w14:textId="59B4E04F"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Times New Roman"/>
          <w:color w:val="000000"/>
          <w:sz w:val="24"/>
          <w:szCs w:val="24"/>
        </w:rPr>
        <w:t xml:space="preserve">1. Fillimin e procedurës për shqyrtimin e aplikimit të shoqërisë </w:t>
      </w:r>
      <w:r w:rsidR="009E6DE2">
        <w:rPr>
          <w:rFonts w:ascii="Garamond" w:hAnsi="Garamond" w:cs="Times New Roman"/>
          <w:color w:val="000000"/>
          <w:sz w:val="24"/>
          <w:szCs w:val="24"/>
        </w:rPr>
        <w:t>“</w:t>
      </w:r>
      <w:r w:rsidRPr="009E6DE2">
        <w:rPr>
          <w:rFonts w:ascii="Garamond" w:hAnsi="Garamond" w:cs="Times New Roman"/>
          <w:color w:val="000000"/>
          <w:sz w:val="24"/>
          <w:szCs w:val="24"/>
        </w:rPr>
        <w:t>OST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w:t>
      </w:r>
      <w:proofErr w:type="spellStart"/>
      <w:r w:rsidRPr="009E6DE2">
        <w:rPr>
          <w:rFonts w:ascii="Garamond" w:hAnsi="Garamond" w:cs="Times New Roman"/>
          <w:color w:val="000000"/>
          <w:sz w:val="24"/>
          <w:szCs w:val="24"/>
        </w:rPr>
        <w:t>sh.a</w:t>
      </w:r>
      <w:proofErr w:type="spellEnd"/>
      <w:r w:rsidRPr="009E6DE2">
        <w:rPr>
          <w:rFonts w:ascii="Garamond" w:hAnsi="Garamond" w:cs="Times New Roman"/>
          <w:color w:val="000000"/>
          <w:sz w:val="24"/>
          <w:szCs w:val="24"/>
        </w:rPr>
        <w:t>.</w:t>
      </w:r>
      <w:r w:rsidR="009E6DE2">
        <w:rPr>
          <w:rFonts w:ascii="Garamond" w:hAnsi="Garamond" w:cs="Times New Roman"/>
          <w:color w:val="000000"/>
          <w:sz w:val="24"/>
          <w:szCs w:val="24"/>
        </w:rPr>
        <w:t>,</w:t>
      </w:r>
      <w:r w:rsidRPr="009E6DE2">
        <w:rPr>
          <w:rFonts w:ascii="Garamond" w:hAnsi="Garamond" w:cs="Times New Roman"/>
          <w:color w:val="000000"/>
          <w:sz w:val="24"/>
          <w:szCs w:val="24"/>
        </w:rPr>
        <w:t xml:space="preserve"> për përcaktimin e tarifës së transmetimit të energjisë elektrike për periudhën 2025</w:t>
      </w:r>
      <w:r w:rsidR="009E6DE2">
        <w:rPr>
          <w:rFonts w:ascii="Garamond" w:hAnsi="Garamond" w:cs="Times New Roman"/>
          <w:color w:val="000000"/>
          <w:sz w:val="24"/>
          <w:szCs w:val="24"/>
        </w:rPr>
        <w:t>–</w:t>
      </w:r>
      <w:r w:rsidRPr="009E6DE2">
        <w:rPr>
          <w:rFonts w:ascii="Garamond" w:hAnsi="Garamond" w:cs="Times New Roman"/>
          <w:color w:val="000000"/>
          <w:sz w:val="24"/>
          <w:szCs w:val="24"/>
        </w:rPr>
        <w:t>2027.</w:t>
      </w:r>
    </w:p>
    <w:p w14:paraId="02376913" w14:textId="6306814E"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Times New Roman"/>
          <w:color w:val="000000"/>
          <w:sz w:val="24"/>
          <w:szCs w:val="24"/>
        </w:rPr>
        <w:t xml:space="preserve">2. Drejtoria e Tarifave dhe Çmimeve të njoftojë </w:t>
      </w:r>
      <w:proofErr w:type="spellStart"/>
      <w:r w:rsidRPr="009E6DE2">
        <w:rPr>
          <w:rFonts w:ascii="Garamond" w:hAnsi="Garamond" w:cs="Times New Roman"/>
          <w:color w:val="000000"/>
          <w:sz w:val="24"/>
          <w:szCs w:val="24"/>
        </w:rPr>
        <w:t>aplikuesin</w:t>
      </w:r>
      <w:proofErr w:type="spellEnd"/>
      <w:r w:rsidRPr="009E6DE2">
        <w:rPr>
          <w:rFonts w:ascii="Garamond" w:hAnsi="Garamond" w:cs="Times New Roman"/>
          <w:color w:val="000000"/>
          <w:sz w:val="24"/>
          <w:szCs w:val="24"/>
        </w:rPr>
        <w:t xml:space="preserve"> dhe palët e interesit për vendimin e </w:t>
      </w:r>
      <w:r w:rsidR="009E6DE2" w:rsidRPr="009E6DE2">
        <w:rPr>
          <w:rFonts w:ascii="Garamond" w:hAnsi="Garamond" w:cs="Times New Roman"/>
          <w:color w:val="000000"/>
          <w:sz w:val="24"/>
          <w:szCs w:val="24"/>
        </w:rPr>
        <w:t xml:space="preserve">Bordit </w:t>
      </w:r>
      <w:r w:rsidRPr="009E6DE2">
        <w:rPr>
          <w:rFonts w:ascii="Garamond" w:hAnsi="Garamond" w:cs="Times New Roman"/>
          <w:color w:val="000000"/>
          <w:sz w:val="24"/>
          <w:szCs w:val="24"/>
        </w:rPr>
        <w:t xml:space="preserve">të ERE-s. </w:t>
      </w:r>
    </w:p>
    <w:p w14:paraId="14D83110" w14:textId="77777777"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Times New Roman"/>
          <w:color w:val="000000"/>
          <w:sz w:val="24"/>
          <w:szCs w:val="24"/>
        </w:rPr>
        <w:t>Ky vendim hyn në fuqi menjëherë.</w:t>
      </w:r>
    </w:p>
    <w:p w14:paraId="44DEDE92" w14:textId="09D267E2"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Times New Roman"/>
          <w:color w:val="000000"/>
          <w:sz w:val="24"/>
          <w:szCs w:val="24"/>
        </w:rPr>
        <w:lastRenderedPageBreak/>
        <w:t xml:space="preserve">Çdo palë e përfshirë në këtë procedurë mund t’i kërkojë ERE-s, brenda 7 ditëve kalendarike nga data e marrjes së vendimit, rishikimin e vendimit të </w:t>
      </w:r>
      <w:r w:rsidR="009E6DE2" w:rsidRPr="009E6DE2">
        <w:rPr>
          <w:rFonts w:ascii="Garamond" w:hAnsi="Garamond" w:cs="Times New Roman"/>
          <w:color w:val="000000"/>
          <w:sz w:val="24"/>
          <w:szCs w:val="24"/>
        </w:rPr>
        <w:t xml:space="preserve">Bordit </w:t>
      </w:r>
      <w:r w:rsidRPr="009E6DE2">
        <w:rPr>
          <w:rFonts w:ascii="Garamond" w:hAnsi="Garamond" w:cs="Times New Roman"/>
          <w:color w:val="000000"/>
          <w:sz w:val="24"/>
          <w:szCs w:val="24"/>
        </w:rPr>
        <w:t xml:space="preserve">në rast se ka siguruar prova të reja që mund ta çojnë </w:t>
      </w:r>
      <w:r w:rsidR="009E6DE2" w:rsidRPr="009E6DE2">
        <w:rPr>
          <w:rFonts w:ascii="Garamond" w:hAnsi="Garamond" w:cs="Times New Roman"/>
          <w:color w:val="000000"/>
          <w:sz w:val="24"/>
          <w:szCs w:val="24"/>
        </w:rPr>
        <w:t xml:space="preserve">Bordin </w:t>
      </w:r>
      <w:r w:rsidRPr="009E6DE2">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50D63E0" w14:textId="77777777"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r w:rsidRPr="009E6DE2">
        <w:rPr>
          <w:rFonts w:ascii="Garamond" w:hAnsi="Garamond" w:cs="Times New Roman"/>
          <w:color w:val="000000"/>
          <w:sz w:val="24"/>
          <w:szCs w:val="24"/>
        </w:rPr>
        <w:t>Ky vendim botohet në Fletoren Zyrtare.</w:t>
      </w:r>
    </w:p>
    <w:p w14:paraId="5DBD643C" w14:textId="77777777" w:rsidR="009F2B11" w:rsidRPr="009E6DE2" w:rsidRDefault="009F2B11" w:rsidP="009F2B11">
      <w:pPr>
        <w:autoSpaceDE w:val="0"/>
        <w:autoSpaceDN w:val="0"/>
        <w:adjustRightInd w:val="0"/>
        <w:spacing w:after="0" w:line="240" w:lineRule="auto"/>
        <w:ind w:firstLine="284"/>
        <w:jc w:val="both"/>
        <w:rPr>
          <w:rFonts w:ascii="Garamond" w:hAnsi="Garamond" w:cs="Times New Roman"/>
          <w:color w:val="000000"/>
          <w:sz w:val="24"/>
          <w:szCs w:val="24"/>
        </w:rPr>
      </w:pPr>
    </w:p>
    <w:p w14:paraId="45BB4629" w14:textId="543B4CE6" w:rsidR="009F2B11" w:rsidRPr="009E6DE2" w:rsidRDefault="009F2B11" w:rsidP="009F2B11">
      <w:pPr>
        <w:tabs>
          <w:tab w:val="left" w:pos="7840"/>
        </w:tabs>
        <w:autoSpaceDE w:val="0"/>
        <w:autoSpaceDN w:val="0"/>
        <w:adjustRightInd w:val="0"/>
        <w:spacing w:after="0" w:line="240" w:lineRule="auto"/>
        <w:ind w:firstLine="284"/>
        <w:jc w:val="right"/>
        <w:rPr>
          <w:rFonts w:ascii="Garamond" w:hAnsi="Garamond" w:cs="Times New Roman"/>
          <w:bCs/>
          <w:color w:val="000000"/>
          <w:sz w:val="24"/>
          <w:szCs w:val="24"/>
        </w:rPr>
      </w:pPr>
      <w:r w:rsidRPr="009E6DE2">
        <w:rPr>
          <w:rFonts w:ascii="Garamond" w:hAnsi="Garamond" w:cs="Times New Roman"/>
          <w:bCs/>
          <w:color w:val="000000"/>
          <w:sz w:val="24"/>
          <w:szCs w:val="24"/>
        </w:rPr>
        <w:t>KRYETAR</w:t>
      </w:r>
    </w:p>
    <w:p w14:paraId="3C7F701B" w14:textId="138FF336" w:rsidR="009F2B11" w:rsidRPr="009E6DE2" w:rsidRDefault="009E6DE2" w:rsidP="009F2B11">
      <w:pPr>
        <w:tabs>
          <w:tab w:val="left" w:pos="7840"/>
        </w:tabs>
        <w:autoSpaceDE w:val="0"/>
        <w:autoSpaceDN w:val="0"/>
        <w:adjustRightInd w:val="0"/>
        <w:spacing w:after="0" w:line="240" w:lineRule="auto"/>
        <w:ind w:firstLine="284"/>
        <w:jc w:val="right"/>
        <w:rPr>
          <w:rFonts w:ascii="Garamond" w:hAnsi="Garamond" w:cs="Times New Roman"/>
          <w:b/>
          <w:bCs/>
          <w:color w:val="000000"/>
          <w:sz w:val="24"/>
          <w:szCs w:val="24"/>
        </w:rPr>
      </w:pPr>
      <w:r>
        <w:rPr>
          <w:rFonts w:ascii="Garamond" w:hAnsi="Garamond" w:cs="Times New Roman"/>
          <w:b/>
          <w:bCs/>
          <w:color w:val="000000"/>
          <w:sz w:val="24"/>
          <w:szCs w:val="24"/>
        </w:rPr>
        <w:t xml:space="preserve"> </w:t>
      </w:r>
      <w:r w:rsidR="009F2B11" w:rsidRPr="009E6DE2">
        <w:rPr>
          <w:rFonts w:ascii="Garamond" w:hAnsi="Garamond" w:cs="Times New Roman"/>
          <w:b/>
          <w:bCs/>
          <w:color w:val="000000"/>
          <w:sz w:val="24"/>
          <w:szCs w:val="24"/>
        </w:rPr>
        <w:t xml:space="preserve">Petrit </w:t>
      </w:r>
      <w:proofErr w:type="spellStart"/>
      <w:r w:rsidR="009F2B11" w:rsidRPr="009E6DE2">
        <w:rPr>
          <w:rFonts w:ascii="Garamond" w:hAnsi="Garamond" w:cs="Times New Roman"/>
          <w:b/>
          <w:bCs/>
          <w:color w:val="000000"/>
          <w:sz w:val="24"/>
          <w:szCs w:val="24"/>
        </w:rPr>
        <w:t>Ahmeti</w:t>
      </w:r>
      <w:proofErr w:type="spellEnd"/>
    </w:p>
    <w:p w14:paraId="7FFC9425" w14:textId="77777777" w:rsidR="009F2B11" w:rsidRPr="009E6DE2" w:rsidRDefault="009F2B11" w:rsidP="009F2B11">
      <w:pPr>
        <w:autoSpaceDE w:val="0"/>
        <w:autoSpaceDN w:val="0"/>
        <w:adjustRightInd w:val="0"/>
        <w:spacing w:after="0" w:line="240" w:lineRule="auto"/>
        <w:ind w:firstLine="284"/>
        <w:jc w:val="right"/>
        <w:rPr>
          <w:rFonts w:ascii="Garamond" w:hAnsi="Garamond" w:cs="Times New Roman"/>
          <w:b/>
          <w:bCs/>
          <w:color w:val="000000"/>
          <w:sz w:val="24"/>
          <w:szCs w:val="24"/>
        </w:rPr>
      </w:pPr>
    </w:p>
    <w:p w14:paraId="2D35E5D3" w14:textId="77777777" w:rsidR="00724DD7" w:rsidRPr="009E6DE2" w:rsidRDefault="00724DD7" w:rsidP="009F2B11">
      <w:pPr>
        <w:spacing w:after="0" w:line="240" w:lineRule="auto"/>
        <w:ind w:firstLine="284"/>
        <w:rPr>
          <w:rFonts w:ascii="Garamond" w:hAnsi="Garamond"/>
        </w:rPr>
      </w:pPr>
    </w:p>
    <w:sectPr w:rsidR="00724DD7" w:rsidRPr="009E6DE2" w:rsidSect="009E6DE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74D7E1" w14:textId="77777777" w:rsidR="002D49CE" w:rsidRDefault="002D49CE">
      <w:pPr>
        <w:spacing w:after="0" w:line="240" w:lineRule="auto"/>
      </w:pPr>
      <w:r>
        <w:separator/>
      </w:r>
    </w:p>
  </w:endnote>
  <w:endnote w:type="continuationSeparator" w:id="0">
    <w:p w14:paraId="2AE05D61" w14:textId="77777777" w:rsidR="002D49CE" w:rsidRDefault="002D4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81E9C4" w14:textId="77777777" w:rsidR="002D49CE" w:rsidRDefault="002D49CE">
      <w:pPr>
        <w:spacing w:after="0" w:line="240" w:lineRule="auto"/>
      </w:pPr>
      <w:r>
        <w:separator/>
      </w:r>
    </w:p>
  </w:footnote>
  <w:footnote w:type="continuationSeparator" w:id="0">
    <w:p w14:paraId="3573BC22" w14:textId="77777777" w:rsidR="002D49CE" w:rsidRDefault="002D49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800BE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C2C3F92"/>
    <w:lvl w:ilvl="0" w:tplc="EDCC2DD8">
      <w:start w:val="1"/>
      <w:numFmt w:val="bullet"/>
      <w:lvlText w:val="-"/>
      <w:lvlJc w:val="left"/>
      <w:pPr>
        <w:ind w:left="1713" w:hanging="360"/>
      </w:pPr>
      <w:rPr>
        <w:rFonts w:ascii="Times New Roman" w:eastAsia="Calibri" w:hAnsi="Times New Roman" w:cs="Times New Roman" w:hint="default"/>
      </w:rPr>
    </w:lvl>
    <w:lvl w:ilvl="1" w:tplc="041C0003" w:tentative="1">
      <w:start w:val="1"/>
      <w:numFmt w:val="bullet"/>
      <w:lvlText w:val="o"/>
      <w:lvlJc w:val="left"/>
      <w:pPr>
        <w:ind w:left="2433" w:hanging="360"/>
      </w:pPr>
      <w:rPr>
        <w:rFonts w:ascii="Courier New" w:hAnsi="Courier New" w:cs="Courier New" w:hint="default"/>
      </w:rPr>
    </w:lvl>
    <w:lvl w:ilvl="2" w:tplc="041C0005" w:tentative="1">
      <w:start w:val="1"/>
      <w:numFmt w:val="bullet"/>
      <w:lvlText w:val=""/>
      <w:lvlJc w:val="left"/>
      <w:pPr>
        <w:ind w:left="3153" w:hanging="360"/>
      </w:pPr>
      <w:rPr>
        <w:rFonts w:ascii="Wingdings" w:hAnsi="Wingdings" w:hint="default"/>
      </w:rPr>
    </w:lvl>
    <w:lvl w:ilvl="3" w:tplc="041C0001" w:tentative="1">
      <w:start w:val="1"/>
      <w:numFmt w:val="bullet"/>
      <w:lvlText w:val=""/>
      <w:lvlJc w:val="left"/>
      <w:pPr>
        <w:ind w:left="3873" w:hanging="360"/>
      </w:pPr>
      <w:rPr>
        <w:rFonts w:ascii="Symbol" w:hAnsi="Symbol" w:hint="default"/>
      </w:rPr>
    </w:lvl>
    <w:lvl w:ilvl="4" w:tplc="041C0003" w:tentative="1">
      <w:start w:val="1"/>
      <w:numFmt w:val="bullet"/>
      <w:lvlText w:val="o"/>
      <w:lvlJc w:val="left"/>
      <w:pPr>
        <w:ind w:left="4593" w:hanging="360"/>
      </w:pPr>
      <w:rPr>
        <w:rFonts w:ascii="Courier New" w:hAnsi="Courier New" w:cs="Courier New" w:hint="default"/>
      </w:rPr>
    </w:lvl>
    <w:lvl w:ilvl="5" w:tplc="041C0005" w:tentative="1">
      <w:start w:val="1"/>
      <w:numFmt w:val="bullet"/>
      <w:lvlText w:val=""/>
      <w:lvlJc w:val="left"/>
      <w:pPr>
        <w:ind w:left="5313" w:hanging="360"/>
      </w:pPr>
      <w:rPr>
        <w:rFonts w:ascii="Wingdings" w:hAnsi="Wingdings" w:hint="default"/>
      </w:rPr>
    </w:lvl>
    <w:lvl w:ilvl="6" w:tplc="041C0001" w:tentative="1">
      <w:start w:val="1"/>
      <w:numFmt w:val="bullet"/>
      <w:lvlText w:val=""/>
      <w:lvlJc w:val="left"/>
      <w:pPr>
        <w:ind w:left="6033" w:hanging="360"/>
      </w:pPr>
      <w:rPr>
        <w:rFonts w:ascii="Symbol" w:hAnsi="Symbol" w:hint="default"/>
      </w:rPr>
    </w:lvl>
    <w:lvl w:ilvl="7" w:tplc="041C0003" w:tentative="1">
      <w:start w:val="1"/>
      <w:numFmt w:val="bullet"/>
      <w:lvlText w:val="o"/>
      <w:lvlJc w:val="left"/>
      <w:pPr>
        <w:ind w:left="6753" w:hanging="360"/>
      </w:pPr>
      <w:rPr>
        <w:rFonts w:ascii="Courier New" w:hAnsi="Courier New" w:cs="Courier New" w:hint="default"/>
      </w:rPr>
    </w:lvl>
    <w:lvl w:ilvl="8" w:tplc="041C0005" w:tentative="1">
      <w:start w:val="1"/>
      <w:numFmt w:val="bullet"/>
      <w:lvlText w:val=""/>
      <w:lvlJc w:val="left"/>
      <w:pPr>
        <w:ind w:left="7473" w:hanging="360"/>
      </w:pPr>
      <w:rPr>
        <w:rFonts w:ascii="Wingdings" w:hAnsi="Wingdings" w:hint="default"/>
      </w:rPr>
    </w:lvl>
  </w:abstractNum>
  <w:abstractNum w:abstractNumId="2" w15:restartNumberingAfterBreak="0">
    <w:nsid w:val="00000003"/>
    <w:multiLevelType w:val="hybridMultilevel"/>
    <w:tmpl w:val="17CAF4F4"/>
    <w:lvl w:ilvl="0" w:tplc="04090001">
      <w:start w:val="1"/>
      <w:numFmt w:val="bullet"/>
      <w:lvlText w:val=""/>
      <w:lvlJc w:val="left"/>
      <w:pPr>
        <w:ind w:left="2073" w:hanging="360"/>
      </w:pPr>
      <w:rPr>
        <w:rFonts w:ascii="Symbol" w:hAnsi="Symbol" w:hint="default"/>
      </w:rPr>
    </w:lvl>
    <w:lvl w:ilvl="1" w:tplc="041C0003" w:tentative="1">
      <w:start w:val="1"/>
      <w:numFmt w:val="bullet"/>
      <w:lvlText w:val="o"/>
      <w:lvlJc w:val="left"/>
      <w:pPr>
        <w:ind w:left="2793" w:hanging="360"/>
      </w:pPr>
      <w:rPr>
        <w:rFonts w:ascii="Courier New" w:hAnsi="Courier New" w:cs="Courier New" w:hint="default"/>
      </w:rPr>
    </w:lvl>
    <w:lvl w:ilvl="2" w:tplc="041C0005" w:tentative="1">
      <w:start w:val="1"/>
      <w:numFmt w:val="bullet"/>
      <w:lvlText w:val=""/>
      <w:lvlJc w:val="left"/>
      <w:pPr>
        <w:ind w:left="3513" w:hanging="360"/>
      </w:pPr>
      <w:rPr>
        <w:rFonts w:ascii="Wingdings" w:hAnsi="Wingdings" w:hint="default"/>
      </w:rPr>
    </w:lvl>
    <w:lvl w:ilvl="3" w:tplc="041C0001" w:tentative="1">
      <w:start w:val="1"/>
      <w:numFmt w:val="bullet"/>
      <w:lvlText w:val=""/>
      <w:lvlJc w:val="left"/>
      <w:pPr>
        <w:ind w:left="4233" w:hanging="360"/>
      </w:pPr>
      <w:rPr>
        <w:rFonts w:ascii="Symbol" w:hAnsi="Symbol" w:hint="default"/>
      </w:rPr>
    </w:lvl>
    <w:lvl w:ilvl="4" w:tplc="041C0003" w:tentative="1">
      <w:start w:val="1"/>
      <w:numFmt w:val="bullet"/>
      <w:lvlText w:val="o"/>
      <w:lvlJc w:val="left"/>
      <w:pPr>
        <w:ind w:left="4953" w:hanging="360"/>
      </w:pPr>
      <w:rPr>
        <w:rFonts w:ascii="Courier New" w:hAnsi="Courier New" w:cs="Courier New" w:hint="default"/>
      </w:rPr>
    </w:lvl>
    <w:lvl w:ilvl="5" w:tplc="041C0005" w:tentative="1">
      <w:start w:val="1"/>
      <w:numFmt w:val="bullet"/>
      <w:lvlText w:val=""/>
      <w:lvlJc w:val="left"/>
      <w:pPr>
        <w:ind w:left="5673" w:hanging="360"/>
      </w:pPr>
      <w:rPr>
        <w:rFonts w:ascii="Wingdings" w:hAnsi="Wingdings" w:hint="default"/>
      </w:rPr>
    </w:lvl>
    <w:lvl w:ilvl="6" w:tplc="041C0001" w:tentative="1">
      <w:start w:val="1"/>
      <w:numFmt w:val="bullet"/>
      <w:lvlText w:val=""/>
      <w:lvlJc w:val="left"/>
      <w:pPr>
        <w:ind w:left="6393" w:hanging="360"/>
      </w:pPr>
      <w:rPr>
        <w:rFonts w:ascii="Symbol" w:hAnsi="Symbol" w:hint="default"/>
      </w:rPr>
    </w:lvl>
    <w:lvl w:ilvl="7" w:tplc="041C0003" w:tentative="1">
      <w:start w:val="1"/>
      <w:numFmt w:val="bullet"/>
      <w:lvlText w:val="o"/>
      <w:lvlJc w:val="left"/>
      <w:pPr>
        <w:ind w:left="7113" w:hanging="360"/>
      </w:pPr>
      <w:rPr>
        <w:rFonts w:ascii="Courier New" w:hAnsi="Courier New" w:cs="Courier New" w:hint="default"/>
      </w:rPr>
    </w:lvl>
    <w:lvl w:ilvl="8" w:tplc="041C0005" w:tentative="1">
      <w:start w:val="1"/>
      <w:numFmt w:val="bullet"/>
      <w:lvlText w:val=""/>
      <w:lvlJc w:val="left"/>
      <w:pPr>
        <w:ind w:left="7833" w:hanging="360"/>
      </w:pPr>
      <w:rPr>
        <w:rFonts w:ascii="Wingdings" w:hAnsi="Wingdings" w:hint="default"/>
      </w:rPr>
    </w:lvl>
  </w:abstractNum>
  <w:abstractNum w:abstractNumId="3" w15:restartNumberingAfterBreak="0">
    <w:nsid w:val="00000004"/>
    <w:multiLevelType w:val="hybridMultilevel"/>
    <w:tmpl w:val="848EC57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0000005"/>
    <w:multiLevelType w:val="hybridMultilevel"/>
    <w:tmpl w:val="4FA85D50"/>
    <w:lvl w:ilvl="0" w:tplc="041C000F">
      <w:start w:val="1"/>
      <w:numFmt w:val="decimal"/>
      <w:lvlText w:val="%1."/>
      <w:lvlJc w:val="left"/>
      <w:pPr>
        <w:ind w:left="1571" w:hanging="360"/>
      </w:pPr>
    </w:lvl>
    <w:lvl w:ilvl="1" w:tplc="041C0019" w:tentative="1">
      <w:start w:val="1"/>
      <w:numFmt w:val="lowerLetter"/>
      <w:lvlText w:val="%2."/>
      <w:lvlJc w:val="left"/>
      <w:pPr>
        <w:ind w:left="2291" w:hanging="360"/>
      </w:pPr>
    </w:lvl>
    <w:lvl w:ilvl="2" w:tplc="041C001B" w:tentative="1">
      <w:start w:val="1"/>
      <w:numFmt w:val="lowerRoman"/>
      <w:lvlText w:val="%3."/>
      <w:lvlJc w:val="right"/>
      <w:pPr>
        <w:ind w:left="3011" w:hanging="180"/>
      </w:pPr>
    </w:lvl>
    <w:lvl w:ilvl="3" w:tplc="041C000F" w:tentative="1">
      <w:start w:val="1"/>
      <w:numFmt w:val="decimal"/>
      <w:lvlText w:val="%4."/>
      <w:lvlJc w:val="left"/>
      <w:pPr>
        <w:ind w:left="3731" w:hanging="360"/>
      </w:pPr>
    </w:lvl>
    <w:lvl w:ilvl="4" w:tplc="041C0019" w:tentative="1">
      <w:start w:val="1"/>
      <w:numFmt w:val="lowerLetter"/>
      <w:lvlText w:val="%5."/>
      <w:lvlJc w:val="left"/>
      <w:pPr>
        <w:ind w:left="4451" w:hanging="360"/>
      </w:pPr>
    </w:lvl>
    <w:lvl w:ilvl="5" w:tplc="041C001B" w:tentative="1">
      <w:start w:val="1"/>
      <w:numFmt w:val="lowerRoman"/>
      <w:lvlText w:val="%6."/>
      <w:lvlJc w:val="right"/>
      <w:pPr>
        <w:ind w:left="5171" w:hanging="180"/>
      </w:pPr>
    </w:lvl>
    <w:lvl w:ilvl="6" w:tplc="041C000F" w:tentative="1">
      <w:start w:val="1"/>
      <w:numFmt w:val="decimal"/>
      <w:lvlText w:val="%7."/>
      <w:lvlJc w:val="left"/>
      <w:pPr>
        <w:ind w:left="5891" w:hanging="360"/>
      </w:pPr>
    </w:lvl>
    <w:lvl w:ilvl="7" w:tplc="041C0019" w:tentative="1">
      <w:start w:val="1"/>
      <w:numFmt w:val="lowerLetter"/>
      <w:lvlText w:val="%8."/>
      <w:lvlJc w:val="left"/>
      <w:pPr>
        <w:ind w:left="6611" w:hanging="360"/>
      </w:pPr>
    </w:lvl>
    <w:lvl w:ilvl="8" w:tplc="041C001B" w:tentative="1">
      <w:start w:val="1"/>
      <w:numFmt w:val="lowerRoman"/>
      <w:lvlText w:val="%9."/>
      <w:lvlJc w:val="right"/>
      <w:pPr>
        <w:ind w:left="7331" w:hanging="180"/>
      </w:pPr>
    </w:lvl>
  </w:abstractNum>
  <w:abstractNum w:abstractNumId="5" w15:restartNumberingAfterBreak="0">
    <w:nsid w:val="00000006"/>
    <w:multiLevelType w:val="hybridMultilevel"/>
    <w:tmpl w:val="81C27B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CC8E2188"/>
    <w:lvl w:ilvl="0" w:tplc="0409000F">
      <w:start w:val="1"/>
      <w:numFmt w:val="decimal"/>
      <w:lvlText w:val="%1."/>
      <w:lvlJc w:val="left"/>
      <w:pPr>
        <w:ind w:left="216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7" w15:restartNumberingAfterBreak="0">
    <w:nsid w:val="00000008"/>
    <w:multiLevelType w:val="hybridMultilevel"/>
    <w:tmpl w:val="559EE63A"/>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 w15:restartNumberingAfterBreak="0">
    <w:nsid w:val="00000009"/>
    <w:multiLevelType w:val="hybridMultilevel"/>
    <w:tmpl w:val="7024A2AC"/>
    <w:lvl w:ilvl="0" w:tplc="041C0001">
      <w:start w:val="1"/>
      <w:numFmt w:val="bullet"/>
      <w:lvlText w:val=""/>
      <w:lvlJc w:val="left"/>
      <w:pPr>
        <w:ind w:left="2073" w:hanging="360"/>
      </w:pPr>
      <w:rPr>
        <w:rFonts w:ascii="Symbol" w:hAnsi="Symbol" w:hint="default"/>
      </w:rPr>
    </w:lvl>
    <w:lvl w:ilvl="1" w:tplc="041C0003" w:tentative="1">
      <w:start w:val="1"/>
      <w:numFmt w:val="bullet"/>
      <w:lvlText w:val="o"/>
      <w:lvlJc w:val="left"/>
      <w:pPr>
        <w:ind w:left="2793" w:hanging="360"/>
      </w:pPr>
      <w:rPr>
        <w:rFonts w:ascii="Courier New" w:hAnsi="Courier New" w:cs="Courier New" w:hint="default"/>
      </w:rPr>
    </w:lvl>
    <w:lvl w:ilvl="2" w:tplc="041C0005" w:tentative="1">
      <w:start w:val="1"/>
      <w:numFmt w:val="bullet"/>
      <w:lvlText w:val=""/>
      <w:lvlJc w:val="left"/>
      <w:pPr>
        <w:ind w:left="3513" w:hanging="360"/>
      </w:pPr>
      <w:rPr>
        <w:rFonts w:ascii="Wingdings" w:hAnsi="Wingdings" w:hint="default"/>
      </w:rPr>
    </w:lvl>
    <w:lvl w:ilvl="3" w:tplc="041C0001" w:tentative="1">
      <w:start w:val="1"/>
      <w:numFmt w:val="bullet"/>
      <w:lvlText w:val=""/>
      <w:lvlJc w:val="left"/>
      <w:pPr>
        <w:ind w:left="4233" w:hanging="360"/>
      </w:pPr>
      <w:rPr>
        <w:rFonts w:ascii="Symbol" w:hAnsi="Symbol" w:hint="default"/>
      </w:rPr>
    </w:lvl>
    <w:lvl w:ilvl="4" w:tplc="041C0003" w:tentative="1">
      <w:start w:val="1"/>
      <w:numFmt w:val="bullet"/>
      <w:lvlText w:val="o"/>
      <w:lvlJc w:val="left"/>
      <w:pPr>
        <w:ind w:left="4953" w:hanging="360"/>
      </w:pPr>
      <w:rPr>
        <w:rFonts w:ascii="Courier New" w:hAnsi="Courier New" w:cs="Courier New" w:hint="default"/>
      </w:rPr>
    </w:lvl>
    <w:lvl w:ilvl="5" w:tplc="041C0005" w:tentative="1">
      <w:start w:val="1"/>
      <w:numFmt w:val="bullet"/>
      <w:lvlText w:val=""/>
      <w:lvlJc w:val="left"/>
      <w:pPr>
        <w:ind w:left="5673" w:hanging="360"/>
      </w:pPr>
      <w:rPr>
        <w:rFonts w:ascii="Wingdings" w:hAnsi="Wingdings" w:hint="default"/>
      </w:rPr>
    </w:lvl>
    <w:lvl w:ilvl="6" w:tplc="041C0001" w:tentative="1">
      <w:start w:val="1"/>
      <w:numFmt w:val="bullet"/>
      <w:lvlText w:val=""/>
      <w:lvlJc w:val="left"/>
      <w:pPr>
        <w:ind w:left="6393" w:hanging="360"/>
      </w:pPr>
      <w:rPr>
        <w:rFonts w:ascii="Symbol" w:hAnsi="Symbol" w:hint="default"/>
      </w:rPr>
    </w:lvl>
    <w:lvl w:ilvl="7" w:tplc="041C0003" w:tentative="1">
      <w:start w:val="1"/>
      <w:numFmt w:val="bullet"/>
      <w:lvlText w:val="o"/>
      <w:lvlJc w:val="left"/>
      <w:pPr>
        <w:ind w:left="7113" w:hanging="360"/>
      </w:pPr>
      <w:rPr>
        <w:rFonts w:ascii="Courier New" w:hAnsi="Courier New" w:cs="Courier New" w:hint="default"/>
      </w:rPr>
    </w:lvl>
    <w:lvl w:ilvl="8" w:tplc="041C0005" w:tentative="1">
      <w:start w:val="1"/>
      <w:numFmt w:val="bullet"/>
      <w:lvlText w:val=""/>
      <w:lvlJc w:val="left"/>
      <w:pPr>
        <w:ind w:left="7833" w:hanging="360"/>
      </w:pPr>
      <w:rPr>
        <w:rFonts w:ascii="Wingdings" w:hAnsi="Wingdings" w:hint="default"/>
      </w:rPr>
    </w:lvl>
  </w:abstractNum>
  <w:abstractNum w:abstractNumId="9" w15:restartNumberingAfterBreak="0">
    <w:nsid w:val="0000000A"/>
    <w:multiLevelType w:val="hybridMultilevel"/>
    <w:tmpl w:val="7AD25056"/>
    <w:lvl w:ilvl="0" w:tplc="0409000B">
      <w:start w:val="1"/>
      <w:numFmt w:val="bullet"/>
      <w:lvlText w:val=""/>
      <w:lvlJc w:val="left"/>
      <w:pPr>
        <w:ind w:left="1713" w:hanging="360"/>
      </w:pPr>
      <w:rPr>
        <w:rFonts w:ascii="Wingdings" w:hAnsi="Wingdings" w:hint="default"/>
      </w:rPr>
    </w:lvl>
    <w:lvl w:ilvl="1" w:tplc="041C0003" w:tentative="1">
      <w:start w:val="1"/>
      <w:numFmt w:val="bullet"/>
      <w:lvlText w:val="o"/>
      <w:lvlJc w:val="left"/>
      <w:pPr>
        <w:ind w:left="2433" w:hanging="360"/>
      </w:pPr>
      <w:rPr>
        <w:rFonts w:ascii="Courier New" w:hAnsi="Courier New" w:cs="Courier New" w:hint="default"/>
      </w:rPr>
    </w:lvl>
    <w:lvl w:ilvl="2" w:tplc="041C0005" w:tentative="1">
      <w:start w:val="1"/>
      <w:numFmt w:val="bullet"/>
      <w:lvlText w:val=""/>
      <w:lvlJc w:val="left"/>
      <w:pPr>
        <w:ind w:left="3153" w:hanging="360"/>
      </w:pPr>
      <w:rPr>
        <w:rFonts w:ascii="Wingdings" w:hAnsi="Wingdings" w:hint="default"/>
      </w:rPr>
    </w:lvl>
    <w:lvl w:ilvl="3" w:tplc="041C0001" w:tentative="1">
      <w:start w:val="1"/>
      <w:numFmt w:val="bullet"/>
      <w:lvlText w:val=""/>
      <w:lvlJc w:val="left"/>
      <w:pPr>
        <w:ind w:left="3873" w:hanging="360"/>
      </w:pPr>
      <w:rPr>
        <w:rFonts w:ascii="Symbol" w:hAnsi="Symbol" w:hint="default"/>
      </w:rPr>
    </w:lvl>
    <w:lvl w:ilvl="4" w:tplc="041C0003" w:tentative="1">
      <w:start w:val="1"/>
      <w:numFmt w:val="bullet"/>
      <w:lvlText w:val="o"/>
      <w:lvlJc w:val="left"/>
      <w:pPr>
        <w:ind w:left="4593" w:hanging="360"/>
      </w:pPr>
      <w:rPr>
        <w:rFonts w:ascii="Courier New" w:hAnsi="Courier New" w:cs="Courier New" w:hint="default"/>
      </w:rPr>
    </w:lvl>
    <w:lvl w:ilvl="5" w:tplc="041C0005" w:tentative="1">
      <w:start w:val="1"/>
      <w:numFmt w:val="bullet"/>
      <w:lvlText w:val=""/>
      <w:lvlJc w:val="left"/>
      <w:pPr>
        <w:ind w:left="5313" w:hanging="360"/>
      </w:pPr>
      <w:rPr>
        <w:rFonts w:ascii="Wingdings" w:hAnsi="Wingdings" w:hint="default"/>
      </w:rPr>
    </w:lvl>
    <w:lvl w:ilvl="6" w:tplc="041C0001" w:tentative="1">
      <w:start w:val="1"/>
      <w:numFmt w:val="bullet"/>
      <w:lvlText w:val=""/>
      <w:lvlJc w:val="left"/>
      <w:pPr>
        <w:ind w:left="6033" w:hanging="360"/>
      </w:pPr>
      <w:rPr>
        <w:rFonts w:ascii="Symbol" w:hAnsi="Symbol" w:hint="default"/>
      </w:rPr>
    </w:lvl>
    <w:lvl w:ilvl="7" w:tplc="041C0003" w:tentative="1">
      <w:start w:val="1"/>
      <w:numFmt w:val="bullet"/>
      <w:lvlText w:val="o"/>
      <w:lvlJc w:val="left"/>
      <w:pPr>
        <w:ind w:left="6753" w:hanging="360"/>
      </w:pPr>
      <w:rPr>
        <w:rFonts w:ascii="Courier New" w:hAnsi="Courier New" w:cs="Courier New" w:hint="default"/>
      </w:rPr>
    </w:lvl>
    <w:lvl w:ilvl="8" w:tplc="041C0005" w:tentative="1">
      <w:start w:val="1"/>
      <w:numFmt w:val="bullet"/>
      <w:lvlText w:val=""/>
      <w:lvlJc w:val="left"/>
      <w:pPr>
        <w:ind w:left="7473" w:hanging="360"/>
      </w:pPr>
      <w:rPr>
        <w:rFonts w:ascii="Wingdings" w:hAnsi="Wingdings" w:hint="default"/>
      </w:rPr>
    </w:lvl>
  </w:abstractNum>
  <w:abstractNum w:abstractNumId="10" w15:restartNumberingAfterBreak="0">
    <w:nsid w:val="0000000B"/>
    <w:multiLevelType w:val="hybridMultilevel"/>
    <w:tmpl w:val="66240E22"/>
    <w:lvl w:ilvl="0" w:tplc="EDCC2DD8">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2968D6B4"/>
    <w:lvl w:ilvl="0" w:tplc="041C0001">
      <w:start w:val="1"/>
      <w:numFmt w:val="bullet"/>
      <w:lvlText w:val=""/>
      <w:lvlJc w:val="left"/>
      <w:pPr>
        <w:ind w:left="36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D23CFE8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562D4366"/>
    <w:multiLevelType w:val="hybridMultilevel"/>
    <w:tmpl w:val="C63457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352"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1"/>
  </w:num>
  <w:num w:numId="2">
    <w:abstractNumId w:val="12"/>
  </w:num>
  <w:num w:numId="3">
    <w:abstractNumId w:val="7"/>
  </w:num>
  <w:num w:numId="4">
    <w:abstractNumId w:val="9"/>
  </w:num>
  <w:num w:numId="5">
    <w:abstractNumId w:val="3"/>
  </w:num>
  <w:num w:numId="6">
    <w:abstractNumId w:val="4"/>
  </w:num>
  <w:num w:numId="7">
    <w:abstractNumId w:val="1"/>
  </w:num>
  <w:num w:numId="8">
    <w:abstractNumId w:val="2"/>
  </w:num>
  <w:num w:numId="9">
    <w:abstractNumId w:val="8"/>
  </w:num>
  <w:num w:numId="10">
    <w:abstractNumId w:val="6"/>
  </w:num>
  <w:num w:numId="11">
    <w:abstractNumId w:val="10"/>
  </w:num>
  <w:num w:numId="12">
    <w:abstractNumId w:val="13"/>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DD7"/>
    <w:rsid w:val="00162EC0"/>
    <w:rsid w:val="00271D19"/>
    <w:rsid w:val="002804AB"/>
    <w:rsid w:val="002B4E22"/>
    <w:rsid w:val="002D49CE"/>
    <w:rsid w:val="00440190"/>
    <w:rsid w:val="00724DD7"/>
    <w:rsid w:val="00762060"/>
    <w:rsid w:val="00843A13"/>
    <w:rsid w:val="009E6DE2"/>
    <w:rsid w:val="009F2B11"/>
    <w:rsid w:val="00BC3F3A"/>
    <w:rsid w:val="00E66030"/>
    <w:rsid w:val="00FE1E8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1DDB"/>
  <w15:docId w15:val="{8B2BE179-CE06-4D14-9D1B-6E48D13D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563C1"/>
      <w:u w:val="single"/>
    </w:rPr>
  </w:style>
  <w:style w:type="character" w:customStyle="1" w:styleId="ListParagraphChar">
    <w:name w:val="List Paragraph Char"/>
    <w:link w:val="ListParagraph"/>
    <w:uiPriority w:val="34"/>
    <w:qFormat/>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Revision">
    <w:name w:val="Revision"/>
    <w:uiPriority w:val="99"/>
    <w:pPr>
      <w:spacing w:after="0" w:line="240" w:lineRule="auto"/>
    </w:p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192</Nr_x002e__x0020_akti>
    <Data_x0020_e_x0020_Krijimit xmlns="0e656187-b300-4fb0-8bf4-3a50f872073c">2024-10-17T14:45:43Z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fillimin e procedurës për shqyrtimin e aplikimit të shoqërisë OST sh.a. për përcaktimin e tarifës së transmetimit të energjisë elektrike për periudhën 2025 - 2027</Titulli>
    <Modifikuesi xmlns="0e656187-b300-4fb0-8bf4-3a50f872073c">Suada.Daci</Modifikuesi>
    <Nr_x002e__x0020_prot_x0020_QBZ xmlns="0e656187-b300-4fb0-8bf4-3a50f872073c">1785/1</Nr_x002e__x0020_prot_x0020_QBZ>
    <Data_x0020_e_x0020_Modifikimit xmlns="0e656187-b300-4fb0-8bf4-3a50f872073c">2024-10-18T08:23:06Z</Data_x0020_e_x0020_Modifikimit>
    <Dekretuar xmlns="0e656187-b300-4fb0-8bf4-3a50f872073c">false</Dekretuar>
    <Data xmlns="0e656187-b300-4fb0-8bf4-3a50f872073c">2024-09-18T00:00:00Z</Data>
    <Nr_x002e__x0020_protokolli_x0020_i_x0020_aktit xmlns="0e656187-b300-4fb0-8bf4-3a50f872073c">2170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ct:contentTypeSchema xmlns:ct="http://schemas.microsoft.com/office/2006/metadata/contentType" xmlns:ma="http://schemas.microsoft.com/office/2006/metadata/properties/metaAttributes" ct:_="" ma:_="" ma:contentTypeName="Akt ligjor" ma:contentTypeID="0x010100A7388971D2CE467687EF6537E0FF19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E091779-B0F5-4CC4-9CCE-9855DE22305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9668403-71A0-4B51-884B-DE71406F12AF}">
  <ds:schemaRefs>
    <ds:schemaRef ds:uri="http://www.wps.cn/android/officeDocument/2013/mofficeCustomData"/>
  </ds:schemaRefs>
</ds:datastoreItem>
</file>

<file path=customXml/itemProps3.xml><?xml version="1.0" encoding="utf-8"?>
<ds:datastoreItem xmlns:ds="http://schemas.openxmlformats.org/officeDocument/2006/customXml" ds:itemID="{23961C19-3E7F-4E04-AB2E-692B65463D99}">
  <ds:schemaRefs>
    <ds:schemaRef ds:uri="http://www.wps.cn/android/officeDocument/2013/mofficeCustomData"/>
  </ds:schemaRefs>
</ds:datastoreItem>
</file>

<file path=customXml/itemProps4.xml><?xml version="1.0" encoding="utf-8"?>
<ds:datastoreItem xmlns:ds="http://schemas.openxmlformats.org/officeDocument/2006/customXml" ds:itemID="{6684D341-783F-4EC0-A785-4B5259DF0968}">
  <ds:schemaRefs>
    <ds:schemaRef ds:uri="http://www.wps.cn/android/officeDocument/2013/mofficeCustomData"/>
  </ds:schemaRefs>
</ds:datastoreItem>
</file>

<file path=customXml/itemProps5.xml><?xml version="1.0" encoding="utf-8"?>
<ds:datastoreItem xmlns:ds="http://schemas.openxmlformats.org/officeDocument/2006/customXml" ds:itemID="{E0C6A94C-DDFE-4012-8CBC-BA3F0F33098B}">
  <ds:schemaRefs>
    <ds:schemaRef ds:uri="http://schemas.microsoft.com/sharepoint/v3/contenttype/forms"/>
  </ds:schemaRefs>
</ds:datastoreItem>
</file>

<file path=customXml/itemProps6.xml><?xml version="1.0" encoding="utf-8"?>
<ds:datastoreItem xmlns:ds="http://schemas.openxmlformats.org/officeDocument/2006/customXml" ds:itemID="{6EAAFE8E-3A77-4C88-BD68-ACE11BE658D3}">
  <ds:schemaRefs>
    <ds:schemaRef ds:uri="http://www.wps.cn/android/officeDocument/2013/mofficeCustomData"/>
  </ds:schemaRefs>
</ds:datastoreItem>
</file>

<file path=customXml/itemProps7.xml><?xml version="1.0" encoding="utf-8"?>
<ds:datastoreItem xmlns:ds="http://schemas.openxmlformats.org/officeDocument/2006/customXml" ds:itemID="{79A876B4-B482-4E58-BB9F-0CD162E8B4B4}">
  <ds:schemaRefs>
    <ds:schemaRef ds:uri="http://www.wps.cn/android/officeDocument/2013/mofficeCustomData"/>
  </ds:schemaRefs>
</ds:datastoreItem>
</file>

<file path=customXml/itemProps8.xml><?xml version="1.0" encoding="utf-8"?>
<ds:datastoreItem xmlns:ds="http://schemas.openxmlformats.org/officeDocument/2006/customXml" ds:itemID="{AC0A15FD-28A6-4BE8-86F1-9961FE8BA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DJZM</dc:creator>
  <cp:keywords/>
  <dc:description/>
  <cp:lastModifiedBy>Fjora Cahani</cp:lastModifiedBy>
  <cp:revision>1</cp:revision>
  <cp:lastPrinted>2024-09-13T11:47:00Z</cp:lastPrinted>
  <dcterms:created xsi:type="dcterms:W3CDTF">2024-10-15T09:44:00Z</dcterms:created>
  <dcterms:modified xsi:type="dcterms:W3CDTF">2024-10-18T09:29:00Z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d13cbe0222f34f47a106d63d5472f97e</vt:lpwstr>
  </property>
</Properties>
</file>