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25AF9" w14:textId="5A978885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CB97D57" w14:textId="3961CF96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 241, datë 14.11.2024</w:t>
      </w:r>
    </w:p>
    <w:p w14:paraId="64951EC5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4D1DC358" w14:textId="6A44D6B4" w:rsidR="00955693" w:rsidRPr="00445994" w:rsidRDefault="00955693" w:rsidP="003A3C32">
      <w:pPr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MBI VENDOSJEN E DETYRIMIT TË PUBLIKIMIT TË OFERTAVE TË FURNIZIMIT ME ENERGJI ELEKTRIKE NGA TË LICENCUARIT NË AKTIVITETIN E FURNIZIMIT NË TREGUN E LIRË</w:t>
      </w:r>
    </w:p>
    <w:p w14:paraId="21D99329" w14:textId="09EA9487" w:rsidR="00955693" w:rsidRPr="008C1FEE" w:rsidRDefault="008C1FEE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C1FE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(Ndryshuar me vendimin nr. 43, datë 14.2.2025)</w:t>
      </w:r>
    </w:p>
    <w:p w14:paraId="0750B24C" w14:textId="34987BF1" w:rsidR="008C1FEE" w:rsidRDefault="008C1FEE" w:rsidP="008C1F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  <w:r w:rsidRPr="008C1FEE"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  <w:t>(i përditësuar)</w:t>
      </w:r>
    </w:p>
    <w:p w14:paraId="58D7953B" w14:textId="77777777" w:rsidR="008C1FEE" w:rsidRPr="008C1FEE" w:rsidRDefault="008C1FEE" w:rsidP="008C1FEE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i/>
          <w:color w:val="000000"/>
          <w:sz w:val="24"/>
          <w:szCs w:val="24"/>
          <w:lang w:val="sq-AL"/>
        </w:rPr>
      </w:pPr>
    </w:p>
    <w:p w14:paraId="5477296C" w14:textId="1E0B4B95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i/>
          <w:i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Në mb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shtetje të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neneve 8, pika 1,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“a”, 16, 18, pika 1,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 “a” dhe “dh”, 19,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“j”, 20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t “a” dhe “ç”, 22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“c”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109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43/2015, </w:t>
      </w:r>
      <w:r w:rsidRPr="003A3C32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3A3C32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Për sektorin e energjisë elektrike”,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ndryshuar; neneve 7.3 dhe 9.2,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t “ç” dhe “d”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11, pika 1 të </w:t>
      </w:r>
      <w:r w:rsidR="009434F7" w:rsidRPr="009434F7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Rregullores </w:t>
      </w:r>
      <w:r w:rsidR="009434F7"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kushtet e përgjithshme të shërbimit të furnizimit me energji elektrike për klientët f</w:t>
      </w:r>
      <w:r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undor</w:t>
      </w:r>
      <w:r w:rsidR="009434F7"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ë”</w:t>
      </w:r>
      <w:r w:rsidRPr="009434F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nr. 203, datë 18.12.2017</w:t>
      </w:r>
      <w:r w:rsidR="008F124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</w:t>
      </w:r>
      <w:r w:rsidR="008F1240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Entit Rregullator të Energjisë (ERE);  pikave 3.1 dhe 5.2.1 të 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“Kushteve të </w:t>
      </w:r>
      <w:r w:rsidR="00952AD6"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licencës për veprimtarinë e furnizimit të energjisë elektrike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”,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nr. 98, datë 17.06.2016, të </w:t>
      </w:r>
      <w:r w:rsidR="003A3C32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të ERE-s; si dhe nenit 15 të </w:t>
      </w:r>
      <w:r w:rsidRPr="00952AD6">
        <w:rPr>
          <w:rFonts w:ascii="Garamond" w:hAnsi="Garamond" w:cs="Times New Roman"/>
          <w:color w:val="000000"/>
          <w:sz w:val="24"/>
          <w:szCs w:val="24"/>
          <w:lang w:val="sq-AL"/>
        </w:rPr>
        <w:t>“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Rregullores p</w:t>
      </w:r>
      <w:r w:rsidRPr="00952AD6">
        <w:rPr>
          <w:rFonts w:ascii="Garamond" w:hAnsi="Garamond" w:cs="Times New Roman"/>
          <w:color w:val="000000"/>
          <w:sz w:val="24"/>
          <w:szCs w:val="24"/>
          <w:lang w:val="sq-AL"/>
        </w:rPr>
        <w:t>ër</w:t>
      </w:r>
      <w:r w:rsidRPr="00952AD6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 xml:space="preserve"> organizimin, funksionimin dhe procedurat e ERE-s”</w:t>
      </w:r>
      <w:r w:rsidRPr="00952AD6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miratuar me vendimin e </w:t>
      </w:r>
      <w:r w:rsidR="003A3C32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të ERE- s, nr. 96, datë 17.6.2016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;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>Bordi i ERE-s, në mbledhjen e tij të datës 14.11.2024, pasi shqyrtoi relacionin e përgatitur nga Drejtoria e Çështjeve t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ë Konsumatorit</w:t>
      </w:r>
      <w:r w:rsidRPr="00445994">
        <w:rPr>
          <w:rFonts w:ascii="Garamond" w:hAnsi="Garamond" w:cs="Times New Roman"/>
          <w:color w:val="000000"/>
          <w:spacing w:val="-15"/>
          <w:sz w:val="24"/>
          <w:szCs w:val="24"/>
          <w:lang w:val="sq-AL"/>
        </w:rPr>
        <w:t xml:space="preserve"> me nr. 2052/5 prot., datë 12.11.2024</w:t>
      </w:r>
      <w:r w:rsid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r w:rsidR="00445994"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“</w:t>
      </w:r>
      <w:r w:rsidRPr="009434F7">
        <w:rPr>
          <w:rFonts w:ascii="Garamond" w:hAnsi="Garamond" w:cs="Times New Roman"/>
          <w:iCs/>
          <w:color w:val="000000"/>
          <w:sz w:val="24"/>
          <w:szCs w:val="24"/>
          <w:lang w:val="sq-AL"/>
        </w:rPr>
        <w:t>Mbi vendosjen e detyrimit të publikimit të ofertave të furnizimit me energji elektrike nga të licencuarit në aktivitetin e furnizimit në tregun e lirë”,</w:t>
      </w:r>
    </w:p>
    <w:p w14:paraId="7A7CE707" w14:textId="5E4A21F8" w:rsidR="00955693" w:rsidRPr="00445994" w:rsidRDefault="00445994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="00955693"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onstatoi se:</w:t>
      </w:r>
    </w:p>
    <w:p w14:paraId="3F019F12" w14:textId="621D8DD8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Ligji nr. 43/2015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</w:t>
      </w:r>
      <w:r w:rsidR="003A3C32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sektorin e energjisë elektrike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”, në nenin 109</w:t>
      </w:r>
      <w:r w:rsidR="003A3C3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përcakton detyrimin për konsumatorët që të dalin në treg të lirë, ku klientët fundorë duhet të kenë të drejtë të zgjedhin furnizuesin e tyre të energjisë elektrike.</w:t>
      </w:r>
    </w:p>
    <w:p w14:paraId="45B62995" w14:textId="25D167A6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përcaktimeve të nenit 7.3 dhe nenit 9.2 të “Rregullores mbi </w:t>
      </w:r>
      <w:r w:rsidR="00AF05FB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kushtet e përgjithshme të shërbimit të furnizimit me energji elektrike për klientët fundorë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”, furnizuesit janë të detyruar të publikojnë qartë dhe në mënyrë transparente informacionin për çmimet, kushtet dhe shërbimet që ofrojnë. Konkretisht në nenin 7.3 të kësaj </w:t>
      </w:r>
      <w:r w:rsidR="009C59F9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regullore</w:t>
      </w:r>
      <w:r w:rsidR="009C59F9">
        <w:rPr>
          <w:rFonts w:ascii="Garamond" w:hAnsi="Garamond" w:cs="Times New Roman"/>
          <w:color w:val="000000"/>
          <w:sz w:val="24"/>
          <w:szCs w:val="24"/>
          <w:lang w:val="sq-AL"/>
        </w:rPr>
        <w:t>je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citojmë: 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Furnizuesi duhet t</w:t>
      </w:r>
      <w:r w:rsidR="00070E71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’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i ofrojë klientit informacion të mjaftueshëm, ku përshkruhen qartësisht shërbimet e ofruara, ofertat përkatëse, rrethanat e ndërprerjes së shërbimit të furnizimit, si dhe pagesave të tjera të lidhura me shërbimin e furnizimit apo ndërprerjes së tij. Të gjithë klientët do të kenë të drejtën për të përfituar kushte të njëjta të furnizimit nga Furnizuesi i zgjedhur prej tyre.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Gjithashtu, në nenin 9.2, </w:t>
      </w:r>
      <w:r w:rsidR="00445994">
        <w:rPr>
          <w:rFonts w:ascii="Garamond" w:hAnsi="Garamond" w:cs="Times New Roman"/>
          <w:color w:val="000000"/>
          <w:sz w:val="24"/>
          <w:szCs w:val="24"/>
          <w:lang w:val="sq-AL"/>
        </w:rPr>
        <w:t>germa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“ç” e kësaj rregulloreje, përcaktohet se: 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Klienti fundor ka të drejtë të marrë të gjitha informacionet e nevojshme nga furnizuesit në përputhje me nenin 7 të kësaj rregullore</w:t>
      </w:r>
      <w:r w:rsidR="000F485B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je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; </w:t>
      </w:r>
      <w:r w:rsidRPr="001509EA">
        <w:rPr>
          <w:rFonts w:ascii="Garamond" w:hAnsi="Garamond" w:cs="Times New Roman"/>
          <w:i/>
          <w:color w:val="000000"/>
          <w:sz w:val="24"/>
          <w:szCs w:val="24"/>
          <w:lang w:val="sq-AL"/>
        </w:rPr>
        <w:t>“d”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çdo klient fundor ka të drejtë të marrë informacion të plotë për çmimet, tarifat, termat dhe kushtet standarde, në lidhje me aksesin dhe përdorimin e shërbimeve të energjisë elektrike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7EFB2560" w14:textId="2E60A73B" w:rsidR="00955693" w:rsidRPr="00445994" w:rsidRDefault="00955693" w:rsidP="00955693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Kuvendi i Shqipërisë, në </w:t>
      </w:r>
      <w:r w:rsidR="00E62FE1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ezolutën për vlerësimin e veprimtarisë së Entit Rregullator të Energjisë për vitin 2023, miratuar në datën 27.6.2024, rekomandon</w:t>
      </w:r>
      <w:r w:rsidR="00E62F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ndër të tjera</w:t>
      </w:r>
      <w:r w:rsidR="00E62FE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vijimin e punës për miratimin e akteve nënligjore të nevojshme për vendosjen e detyrimit të përdorimit të Platformës së Krahasimit të Çmimeve (PCT) në tregun e lirë, si dhe të zhvillojë fushata promovuese mbi modalitetet e funksionimit të saj.</w:t>
      </w:r>
    </w:p>
    <w:p w14:paraId="3B4D2B00" w14:textId="5F07EB93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>-</w:t>
      </w:r>
      <w:r w:rsidRPr="00445994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zbatim të detyrave të përcaktuara nga legjislacioni në fuqi për sektorin e energjisë elektrike, por nisur edhe nga </w:t>
      </w:r>
      <w:r w:rsidR="0059792A">
        <w:rPr>
          <w:rFonts w:ascii="Garamond" w:hAnsi="Garamond" w:cs="Times New Roman"/>
          <w:color w:val="000000"/>
          <w:sz w:val="24"/>
          <w:szCs w:val="24"/>
          <w:lang w:val="sq-AL"/>
        </w:rPr>
        <w:t>r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ezoluta e Kuvendit të Shqipërisë, ERE ka hedhur hapat e </w:t>
      </w:r>
      <w:r w:rsidR="00877555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mëtejsh</w:t>
      </w:r>
      <w:r w:rsidR="00877555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="00877555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m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duke përfunduar implementimin e Platformës Krahasuese të Çmimeve (PCT) në tregun e lirë, e cila është bërë e aksesueshme jo vetëm për furnizuesit e energjisë elektrike</w:t>
      </w:r>
      <w:r w:rsidR="00877555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por edhe për konsumatorët që nga data 15 mars 2024, në faqen zyrtare të internetit të ERE-s </w:t>
      </w:r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www.ere.gov.al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A77630A" w14:textId="7CB35F40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- PCT</w:t>
      </w:r>
      <w:r w:rsidR="00EF2CF3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është krijuar për të ndihmuar konsumatorët në krahasimin e ofertave të energjisë dhe për të përmirësuar transparencën e tregut. Kjo platformë paraqet çmimet, tarifat dhe detaje të tjera të rëndësishme për të ndihmuar konsumatorët për të bërë një zgjedhje më të mir</w:t>
      </w:r>
      <w:r w:rsidR="00182F0D">
        <w:rPr>
          <w:rFonts w:ascii="Garamond" w:hAnsi="Garamond" w:cs="Times New Roman"/>
          <w:color w:val="000000"/>
          <w:sz w:val="24"/>
          <w:szCs w:val="24"/>
          <w:lang w:val="sq-AL"/>
        </w:rPr>
        <w:t>ë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E6064F2" w14:textId="78BA49D8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lastRenderedPageBreak/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Nenet 8 dhe 18</w:t>
      </w:r>
      <w:r w:rsidR="009212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ligjit nr. 43/2015</w:t>
      </w:r>
      <w:r w:rsidR="009212FD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japin ERE-s përgjegjësinë për të siguruar funksionimin e një tregu të hapur dhe konkurrues, duke vendosur masa që promovojnë transparencën dhe mbrojnë interesat e konsumatorëve.</w:t>
      </w:r>
    </w:p>
    <w:p w14:paraId="64257E0E" w14:textId="0CAD2AE2" w:rsidR="00955693" w:rsidRPr="00445994" w:rsidRDefault="00955693" w:rsidP="0059792A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Gjatë vitit 2023, ERE ka punuar në mënyrë intensive për të realizuar e vënë në operim Platformën e krahasimit të çmimeve.</w:t>
      </w:r>
    </w:p>
    <w:p w14:paraId="78FA6E06" w14:textId="0795B5F1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ERE</w:t>
      </w:r>
      <w:r w:rsidR="009C0ED1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shkresën me nr. 2317 prot., datë 20.10.2023</w:t>
      </w:r>
      <w:r w:rsidR="001046D0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kërkuar prej furnizuesve të energjisë elektrike që operojnë në tregun e lirë për identifikimin e personave përgjegjës</w:t>
      </w:r>
      <w:r w:rsidR="00845B79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cilët do të angazhohen në kryerjen e procedurave ofertuese nëpërmjet kësaj Platforme, duke vënë në dukje se kjo Platformë ka marrë formën e saj përfundimtare. Ndërsa me shkresën me nr. 733 prot., datë 29.2.2024, ERE informon furnizuesit se është e hapur dhe e gatshme për të iniciuar trajnime të mëtejshme për çdo furnizues</w:t>
      </w:r>
      <w:r w:rsidR="00625FE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 cili shpreh interes për njohje të përdorimit të platformës PCT. Gjithashtu, me anë të shkresës me nr. 2052 prot., datë 7.10.2024,  ERE </w:t>
      </w:r>
      <w:r w:rsidR="00DC0432">
        <w:rPr>
          <w:rFonts w:ascii="Garamond" w:hAnsi="Garamond" w:cs="Times New Roman"/>
          <w:color w:val="000000"/>
          <w:sz w:val="24"/>
          <w:szCs w:val="24"/>
          <w:lang w:val="sq-AL"/>
        </w:rPr>
        <w:t>u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ka kërkuar </w:t>
      </w:r>
      <w:r w:rsidR="00FD7AEF"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urnizuesve të energjisë elektrike</w:t>
      </w:r>
      <w:r w:rsidR="00C6395E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që të marrin masa të menjëhershme për publikimin e ofertave të furnizimit të energjisë elektrike në platformën PCT: </w:t>
      </w:r>
      <w:r w:rsidRPr="00445994">
        <w:rPr>
          <w:rFonts w:ascii="Garamond" w:hAnsi="Garamond" w:cs="Times New Roman"/>
          <w:color w:val="0000FF"/>
          <w:sz w:val="24"/>
          <w:szCs w:val="24"/>
          <w:u w:val="single"/>
          <w:lang w:val="sq-AL"/>
        </w:rPr>
        <w:t>https://pct.ere.gov.al/home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403218A5" w14:textId="341A15DC" w:rsidR="00955693" w:rsidRPr="00445994" w:rsidRDefault="00955693" w:rsidP="0059792A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ERE ka organizuar disa trajnime me stafin</w:t>
      </w:r>
      <w:r w:rsidR="00596767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por edhe me furnizuesit në treg të lirë, me qëllim orientimin e tyre mbi modalitet e përdorimit të platformës, duke kryer simulime e aplikime të ofertave nga furnizuesit.</w:t>
      </w:r>
    </w:p>
    <w:p w14:paraId="5393CD27" w14:textId="3822A665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Bazuar në pikat 3.1 dhe 5.2.1</w:t>
      </w:r>
      <w:r w:rsidR="006D5164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</w:t>
      </w:r>
      <w:r w:rsidRPr="00445994"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  <w:t xml:space="preserve">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kushteve </w:t>
      </w:r>
      <w:r w:rsidR="00072635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licencës së furnizimit, furnizuesit janë të detyruar të zbatojnë legjislacionin dhe rregulloret e ERE-s. </w:t>
      </w:r>
    </w:p>
    <w:p w14:paraId="68322130" w14:textId="4FD00FFE" w:rsidR="00955693" w:rsidRPr="00445994" w:rsidRDefault="00955693" w:rsidP="0059792A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445994">
        <w:rPr>
          <w:rFonts w:ascii="Garamond" w:hAnsi="Garamond" w:cs="Symbol"/>
          <w:color w:val="000000"/>
          <w:sz w:val="24"/>
          <w:szCs w:val="24"/>
          <w:lang w:val="sq-AL"/>
        </w:rPr>
        <w:t xml:space="preserve">-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PCT</w:t>
      </w:r>
      <w:r w:rsidR="00D675D1">
        <w:rPr>
          <w:rFonts w:ascii="Garamond" w:hAnsi="Garamond" w:cs="Times New Roman"/>
          <w:color w:val="000000"/>
          <w:sz w:val="24"/>
          <w:szCs w:val="24"/>
          <w:lang w:val="sq-AL"/>
        </w:rPr>
        <w:t>-ja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 ofron konsumatorëve një mundësi për të bërë zgjedhje të informuara dhe për të vlerësuar ofertat e furnizuesve në treg të lirë, duke promovuar kështu një treg të qëndrueshëm dhe konkurrues, ndaj dhe publikimi i ofertave në PCT është një kërkesë për të siguruar konkurrencën dhe transparencën për konsumatorët.</w:t>
      </w:r>
    </w:p>
    <w:p w14:paraId="616E9BC4" w14:textId="008C48C6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 gjithë sa më sipër, </w:t>
      </w:r>
      <w:r w:rsidR="00F1235C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ordi i ERE-s</w:t>
      </w:r>
    </w:p>
    <w:p w14:paraId="11FE6087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D8903FF" w14:textId="048129AE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65DF632D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C6B011C" w14:textId="7251DA04" w:rsidR="00955693" w:rsidRPr="008C1FEE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1</w:t>
      </w:r>
      <w:r w:rsidR="008C1FEE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r w:rsidR="008C1FEE" w:rsidRPr="008C1FEE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Vendos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detyrimin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për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publikimin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e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ofertave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furnizimit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me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energji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elektrike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në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Platformën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e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Krahasimit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Çmimeve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(PCT),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krijuar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nga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ERE,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për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licencuarit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që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janë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aktivisht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angazhuar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në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veprimtarinë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e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furnizimit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në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tregun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e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lirë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,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për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konsumatorët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familjarë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dhe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jofamiljarë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vegjël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me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një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konsum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vjetor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të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pritshëm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më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8C1FEE" w:rsidRPr="008C1FEE">
        <w:rPr>
          <w:rFonts w:ascii="Garamond" w:hAnsi="Garamond" w:cs="Times New Roman"/>
          <w:i/>
          <w:sz w:val="24"/>
          <w:szCs w:val="24"/>
        </w:rPr>
        <w:t>pak</w:t>
      </w:r>
      <w:proofErr w:type="spellEnd"/>
      <w:r w:rsidR="008C1FEE" w:rsidRPr="008C1FEE">
        <w:rPr>
          <w:rFonts w:ascii="Garamond" w:hAnsi="Garamond" w:cs="Times New Roman"/>
          <w:i/>
          <w:sz w:val="24"/>
          <w:szCs w:val="24"/>
        </w:rPr>
        <w:t xml:space="preserve"> se 100,000 kwh</w:t>
      </w:r>
      <w:r w:rsidR="008C1FEE" w:rsidRPr="008C1FEE">
        <w:rPr>
          <w:rFonts w:ascii="Garamond" w:hAnsi="Garamond" w:cs="Times New Roman"/>
          <w:i/>
          <w:sz w:val="24"/>
          <w:szCs w:val="24"/>
        </w:rPr>
        <w:t>.</w:t>
      </w:r>
    </w:p>
    <w:p w14:paraId="4B4DD5A5" w14:textId="775C1A23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2. Të licencuarit në aktivitetin e furnizimit në treg të lirë kanë detyrimin të publikojnë ofertat e furnizimit dhe të përcaktojnë afatet e vlefshmërisë për çdo ofertë të publikuar, duke filluar nga data 2.12.2024.</w:t>
      </w:r>
    </w:p>
    <w:p w14:paraId="0B42E261" w14:textId="4086FA34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Drejtoria për Çështjet e Konsumatorit të njoftojë palët e interesit për vendimin e </w:t>
      </w:r>
      <w:r w:rsidR="00BA20DF">
        <w:rPr>
          <w:rFonts w:ascii="Garamond" w:hAnsi="Garamond" w:cs="Times New Roman"/>
          <w:color w:val="000000"/>
          <w:sz w:val="24"/>
          <w:szCs w:val="24"/>
          <w:lang w:val="sq-AL"/>
        </w:rPr>
        <w:t>B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ordit të ERE-s.</w:t>
      </w:r>
    </w:p>
    <w:p w14:paraId="1FF348DB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Ky vendim hyn në f</w:t>
      </w:r>
      <w:bookmarkStart w:id="0" w:name="_GoBack"/>
      <w:bookmarkEnd w:id="0"/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uqi menjëherë.</w:t>
      </w:r>
    </w:p>
    <w:p w14:paraId="533EB414" w14:textId="3F62756B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BA20DF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Bordit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BA20DF"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Bordin </w:t>
      </w: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278F37C9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color w:val="000000"/>
          <w:sz w:val="24"/>
          <w:szCs w:val="24"/>
          <w:lang w:val="sq-AL"/>
        </w:rPr>
        <w:t>Ky vendim botohet në Fletoren Zyrtare.</w:t>
      </w:r>
    </w:p>
    <w:p w14:paraId="3C5BEFAA" w14:textId="77777777" w:rsidR="00955693" w:rsidRPr="00445994" w:rsidRDefault="00955693" w:rsidP="0095569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E0617D6" w14:textId="2F8C3925" w:rsidR="00955693" w:rsidRPr="00445994" w:rsidRDefault="00955693" w:rsidP="00955693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282AD5F7" w14:textId="0A2F79B2" w:rsidR="00567749" w:rsidRPr="00445994" w:rsidRDefault="00955693" w:rsidP="00955693">
      <w:pPr>
        <w:tabs>
          <w:tab w:val="left" w:pos="77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445994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Petrit Ahmeti</w:t>
      </w:r>
    </w:p>
    <w:sectPr w:rsidR="00567749" w:rsidRPr="00445994" w:rsidSect="0044599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798750" w14:textId="77777777" w:rsidR="001E7041" w:rsidRDefault="001E7041">
      <w:pPr>
        <w:spacing w:after="0" w:line="240" w:lineRule="auto"/>
      </w:pPr>
      <w:r>
        <w:separator/>
      </w:r>
    </w:p>
  </w:endnote>
  <w:endnote w:type="continuationSeparator" w:id="0">
    <w:p w14:paraId="1DE3350F" w14:textId="77777777" w:rsidR="001E7041" w:rsidRDefault="001E7041">
      <w:pPr>
        <w:spacing w:after="0" w:line="240" w:lineRule="auto"/>
      </w:pPr>
      <w:r>
        <w:continuationSeparator/>
      </w:r>
    </w:p>
  </w:endnote>
  <w:endnote w:type="continuationNotice" w:id="1">
    <w:p w14:paraId="67F03E31" w14:textId="77777777" w:rsidR="001E7041" w:rsidRDefault="001E70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E388DF" w14:textId="77777777" w:rsidR="001E7041" w:rsidRDefault="001E7041">
      <w:pPr>
        <w:spacing w:after="0" w:line="240" w:lineRule="auto"/>
      </w:pPr>
      <w:r>
        <w:separator/>
      </w:r>
    </w:p>
  </w:footnote>
  <w:footnote w:type="continuationSeparator" w:id="0">
    <w:p w14:paraId="0A97FF14" w14:textId="77777777" w:rsidR="001E7041" w:rsidRDefault="001E7041">
      <w:pPr>
        <w:spacing w:after="0" w:line="240" w:lineRule="auto"/>
      </w:pPr>
      <w:r>
        <w:continuationSeparator/>
      </w:r>
    </w:p>
  </w:footnote>
  <w:footnote w:type="continuationNotice" w:id="1">
    <w:p w14:paraId="0EB7E221" w14:textId="77777777" w:rsidR="001E7041" w:rsidRDefault="001E70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4CD03E70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C8E69E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628AC832"/>
    <w:lvl w:ilvl="0" w:tplc="D8EA4A0C">
      <w:start w:val="1"/>
      <w:numFmt w:val="decimal"/>
      <w:lvlText w:val="%1."/>
      <w:lvlJc w:val="left"/>
      <w:pPr>
        <w:ind w:left="720" w:hanging="360"/>
      </w:pPr>
      <w:rPr>
        <w:rFonts w:hint="default"/>
        <w:i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multilevel"/>
    <w:tmpl w:val="1966A09E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0000006"/>
    <w:multiLevelType w:val="multilevel"/>
    <w:tmpl w:val="0DA60B2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0000007"/>
    <w:multiLevelType w:val="multilevel"/>
    <w:tmpl w:val="2F40F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0000008"/>
    <w:multiLevelType w:val="multilevel"/>
    <w:tmpl w:val="30626B0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0000009"/>
    <w:multiLevelType w:val="hybridMultilevel"/>
    <w:tmpl w:val="705A94B2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multilevel"/>
    <w:tmpl w:val="9FBA42F6"/>
    <w:lvl w:ilvl="0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b w:val="0"/>
        <w:i w:val="0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000000B"/>
    <w:multiLevelType w:val="multilevel"/>
    <w:tmpl w:val="AAFE3D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0000000C"/>
    <w:multiLevelType w:val="hybridMultilevel"/>
    <w:tmpl w:val="A26A2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multilevel"/>
    <w:tmpl w:val="217263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3" w15:restartNumberingAfterBreak="0">
    <w:nsid w:val="0000000E"/>
    <w:multiLevelType w:val="hybridMultilevel"/>
    <w:tmpl w:val="BCA4716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000000F"/>
    <w:multiLevelType w:val="hybridMultilevel"/>
    <w:tmpl w:val="88B4C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10"/>
    <w:multiLevelType w:val="hybridMultilevel"/>
    <w:tmpl w:val="AFA2533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0000011"/>
    <w:multiLevelType w:val="hybridMultilevel"/>
    <w:tmpl w:val="ECFE7E2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0000012"/>
    <w:multiLevelType w:val="hybridMultilevel"/>
    <w:tmpl w:val="E9B2181A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3"/>
    <w:multiLevelType w:val="hybridMultilevel"/>
    <w:tmpl w:val="5DE6A836"/>
    <w:lvl w:ilvl="0" w:tplc="041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C276751"/>
    <w:multiLevelType w:val="hybridMultilevel"/>
    <w:tmpl w:val="FA38CC58"/>
    <w:lvl w:ilvl="0" w:tplc="041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12493829"/>
    <w:multiLevelType w:val="hybridMultilevel"/>
    <w:tmpl w:val="9BB621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</w:abstractNum>
  <w:abstractNum w:abstractNumId="21" w15:restartNumberingAfterBreak="0">
    <w:nsid w:val="1E7640BC"/>
    <w:multiLevelType w:val="hybridMultilevel"/>
    <w:tmpl w:val="FA4CE0B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79C2A27"/>
    <w:multiLevelType w:val="hybridMultilevel"/>
    <w:tmpl w:val="C66A4B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3045D6"/>
    <w:multiLevelType w:val="hybridMultilevel"/>
    <w:tmpl w:val="ED08FD3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C542906"/>
    <w:multiLevelType w:val="hybridMultilevel"/>
    <w:tmpl w:val="6D9440D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F196336"/>
    <w:multiLevelType w:val="hybridMultilevel"/>
    <w:tmpl w:val="AEF0D098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A6787B"/>
    <w:multiLevelType w:val="hybridMultilevel"/>
    <w:tmpl w:val="BE44D8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1127509"/>
    <w:multiLevelType w:val="hybridMultilevel"/>
    <w:tmpl w:val="12BABB00"/>
    <w:lvl w:ilvl="0" w:tplc="2BF475F8">
      <w:numFmt w:val="bullet"/>
      <w:lvlText w:val="-"/>
      <w:lvlJc w:val="left"/>
      <w:pPr>
        <w:ind w:left="644" w:hanging="360"/>
      </w:pPr>
      <w:rPr>
        <w:rFonts w:ascii="Garamond" w:eastAsia="Calibri" w:hAnsi="Garamond" w:cs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 w15:restartNumberingAfterBreak="0">
    <w:nsid w:val="686F3448"/>
    <w:multiLevelType w:val="hybridMultilevel"/>
    <w:tmpl w:val="E064F0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8FE1BF5"/>
    <w:multiLevelType w:val="hybridMultilevel"/>
    <w:tmpl w:val="619864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79D223A"/>
    <w:multiLevelType w:val="hybridMultilevel"/>
    <w:tmpl w:val="96386B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CAB6DBA"/>
    <w:multiLevelType w:val="hybridMultilevel"/>
    <w:tmpl w:val="CB3C3B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16"/>
  </w:num>
  <w:num w:numId="5">
    <w:abstractNumId w:val="6"/>
  </w:num>
  <w:num w:numId="6">
    <w:abstractNumId w:val="11"/>
  </w:num>
  <w:num w:numId="7">
    <w:abstractNumId w:val="9"/>
  </w:num>
  <w:num w:numId="8">
    <w:abstractNumId w:val="17"/>
  </w:num>
  <w:num w:numId="9">
    <w:abstractNumId w:val="4"/>
  </w:num>
  <w:num w:numId="10">
    <w:abstractNumId w:val="19"/>
  </w:num>
  <w:num w:numId="11">
    <w:abstractNumId w:val="2"/>
  </w:num>
  <w:num w:numId="12">
    <w:abstractNumId w:val="7"/>
  </w:num>
  <w:num w:numId="13">
    <w:abstractNumId w:val="5"/>
  </w:num>
  <w:num w:numId="14">
    <w:abstractNumId w:val="10"/>
  </w:num>
  <w:num w:numId="15">
    <w:abstractNumId w:val="12"/>
  </w:num>
  <w:num w:numId="16">
    <w:abstractNumId w:val="15"/>
  </w:num>
  <w:num w:numId="17">
    <w:abstractNumId w:val="13"/>
  </w:num>
  <w:num w:numId="18">
    <w:abstractNumId w:val="14"/>
  </w:num>
  <w:num w:numId="19">
    <w:abstractNumId w:val="3"/>
  </w:num>
  <w:num w:numId="20">
    <w:abstractNumId w:val="8"/>
  </w:num>
  <w:num w:numId="21">
    <w:abstractNumId w:val="30"/>
  </w:num>
  <w:num w:numId="22">
    <w:abstractNumId w:val="28"/>
  </w:num>
  <w:num w:numId="23">
    <w:abstractNumId w:val="24"/>
  </w:num>
  <w:num w:numId="24">
    <w:abstractNumId w:val="31"/>
  </w:num>
  <w:num w:numId="25">
    <w:abstractNumId w:val="20"/>
  </w:num>
  <w:num w:numId="26">
    <w:abstractNumId w:val="26"/>
  </w:num>
  <w:num w:numId="27">
    <w:abstractNumId w:val="23"/>
  </w:num>
  <w:num w:numId="28">
    <w:abstractNumId w:val="29"/>
  </w:num>
  <w:num w:numId="29">
    <w:abstractNumId w:val="25"/>
  </w:num>
  <w:num w:numId="30">
    <w:abstractNumId w:val="21"/>
  </w:num>
  <w:num w:numId="31">
    <w:abstractNumId w:val="22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7749"/>
    <w:rsid w:val="000338F5"/>
    <w:rsid w:val="00055408"/>
    <w:rsid w:val="0006021B"/>
    <w:rsid w:val="00070E71"/>
    <w:rsid w:val="00072635"/>
    <w:rsid w:val="0007303C"/>
    <w:rsid w:val="000A6D40"/>
    <w:rsid w:val="000C5753"/>
    <w:rsid w:val="000F485B"/>
    <w:rsid w:val="001046D0"/>
    <w:rsid w:val="0011042D"/>
    <w:rsid w:val="00133221"/>
    <w:rsid w:val="001509EA"/>
    <w:rsid w:val="0018024E"/>
    <w:rsid w:val="00182F0D"/>
    <w:rsid w:val="00195457"/>
    <w:rsid w:val="001A1D0B"/>
    <w:rsid w:val="001B135B"/>
    <w:rsid w:val="001E7041"/>
    <w:rsid w:val="00250835"/>
    <w:rsid w:val="00265CCE"/>
    <w:rsid w:val="002D5018"/>
    <w:rsid w:val="002F5078"/>
    <w:rsid w:val="00354337"/>
    <w:rsid w:val="00355D0F"/>
    <w:rsid w:val="003971A0"/>
    <w:rsid w:val="003A3C32"/>
    <w:rsid w:val="003E7362"/>
    <w:rsid w:val="0041154F"/>
    <w:rsid w:val="004158F5"/>
    <w:rsid w:val="00445994"/>
    <w:rsid w:val="00482176"/>
    <w:rsid w:val="00494D74"/>
    <w:rsid w:val="004E2A34"/>
    <w:rsid w:val="00556D2F"/>
    <w:rsid w:val="00567749"/>
    <w:rsid w:val="00576EBB"/>
    <w:rsid w:val="00596767"/>
    <w:rsid w:val="0059792A"/>
    <w:rsid w:val="00625FE2"/>
    <w:rsid w:val="00636A0F"/>
    <w:rsid w:val="0064419E"/>
    <w:rsid w:val="0065118C"/>
    <w:rsid w:val="006C556A"/>
    <w:rsid w:val="006D5164"/>
    <w:rsid w:val="006E2010"/>
    <w:rsid w:val="007443E8"/>
    <w:rsid w:val="00781787"/>
    <w:rsid w:val="007C4C31"/>
    <w:rsid w:val="007D3042"/>
    <w:rsid w:val="007D4718"/>
    <w:rsid w:val="00812F95"/>
    <w:rsid w:val="00845B79"/>
    <w:rsid w:val="00877555"/>
    <w:rsid w:val="008919CB"/>
    <w:rsid w:val="008A57B1"/>
    <w:rsid w:val="008C1FEE"/>
    <w:rsid w:val="008E7771"/>
    <w:rsid w:val="008F1240"/>
    <w:rsid w:val="009212FD"/>
    <w:rsid w:val="009434F7"/>
    <w:rsid w:val="00952AD6"/>
    <w:rsid w:val="00955693"/>
    <w:rsid w:val="009C0ED1"/>
    <w:rsid w:val="009C59F9"/>
    <w:rsid w:val="00A45AA4"/>
    <w:rsid w:val="00A62CBA"/>
    <w:rsid w:val="00A8554A"/>
    <w:rsid w:val="00AF05FB"/>
    <w:rsid w:val="00B05DF1"/>
    <w:rsid w:val="00BA1D59"/>
    <w:rsid w:val="00BA20DF"/>
    <w:rsid w:val="00BF36D3"/>
    <w:rsid w:val="00C02809"/>
    <w:rsid w:val="00C47BB2"/>
    <w:rsid w:val="00C50433"/>
    <w:rsid w:val="00C6395E"/>
    <w:rsid w:val="00C92B6A"/>
    <w:rsid w:val="00CC4589"/>
    <w:rsid w:val="00CE0DB6"/>
    <w:rsid w:val="00D27B26"/>
    <w:rsid w:val="00D63E51"/>
    <w:rsid w:val="00D675D1"/>
    <w:rsid w:val="00D827B1"/>
    <w:rsid w:val="00DC0432"/>
    <w:rsid w:val="00DC3A03"/>
    <w:rsid w:val="00E22ABB"/>
    <w:rsid w:val="00E442EA"/>
    <w:rsid w:val="00E559E1"/>
    <w:rsid w:val="00E62FE1"/>
    <w:rsid w:val="00E67D80"/>
    <w:rsid w:val="00EB50CA"/>
    <w:rsid w:val="00EB65A0"/>
    <w:rsid w:val="00EC7117"/>
    <w:rsid w:val="00ED1E8E"/>
    <w:rsid w:val="00ED6C4F"/>
    <w:rsid w:val="00EE4C5A"/>
    <w:rsid w:val="00EF2CF3"/>
    <w:rsid w:val="00F025DC"/>
    <w:rsid w:val="00F1235C"/>
    <w:rsid w:val="00F34078"/>
    <w:rsid w:val="00FB7585"/>
    <w:rsid w:val="00FD7AEF"/>
    <w:rsid w:val="00FE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1351D"/>
  <w15:docId w15:val="{E23863CC-62EA-4308-9D99-ED98614B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1,Bullet1,Indent Paragraph,Numbered Para 1,Dot pt,No Spacing1,List Paragraph Char Char Char,Indicator Text,Bullet Points,MAIN CONTENT,List Paragraph12,F5 List Paragraph,Heading 2_sj,Lettre d'introduction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Akapit z listą BS Char,List Paragraph1 Char,Bullet1 Char,Indent Paragraph Char,Numbered Para 1 Char,Dot pt Char,No Spacing1 Char,List Paragraph Char Char Char Char,Indicator Text Char,Bullet Points Char,MAIN CONTENT Char"/>
    <w:link w:val="ListParagraph"/>
    <w:uiPriority w:val="34"/>
    <w:qFormat/>
    <w:rPr>
      <w:rFonts w:ascii="Calibri" w:eastAsia="Calibri" w:hAnsi="Calibri" w:cs="SimSun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SimSun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SimSu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customStyle="1" w:styleId="BodyTextIndent3Char">
    <w:name w:val="Body Text Indent 3 Char"/>
    <w:link w:val="BodyTextIndent3"/>
    <w:rsid w:val="00B05DF1"/>
    <w:rPr>
      <w:rFonts w:ascii="Times New Roman" w:eastAsia="Times New Roman" w:hAnsi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rsid w:val="00B05DF1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BodyTextIndent3Char1">
    <w:name w:val="Body Text Indent 3 Char1"/>
    <w:basedOn w:val="DefaultParagraphFont"/>
    <w:uiPriority w:val="99"/>
    <w:semiHidden/>
    <w:rsid w:val="00B05DF1"/>
    <w:rPr>
      <w:sz w:val="16"/>
      <w:szCs w:val="16"/>
    </w:rPr>
  </w:style>
  <w:style w:type="paragraph" w:styleId="NoSpacing">
    <w:name w:val="No Spacing"/>
    <w:uiPriority w:val="1"/>
    <w:qFormat/>
    <w:rsid w:val="007C4C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en-GB"/>
    </w:rPr>
  </w:style>
  <w:style w:type="character" w:styleId="Hyperlink">
    <w:name w:val="Hyperlink"/>
    <w:basedOn w:val="DefaultParagraphFont"/>
    <w:uiPriority w:val="99"/>
    <w:unhideWhenUsed/>
    <w:rsid w:val="000730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tyles" Target="style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numbering" Target="numbering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D2CDE1B3084567A3DA7E55DF38AA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241</Nr_x002e__x0020_akti>
    <Data_x0020_e_x0020_Krijimit xmlns="0e656187-b300-4fb0-8bf4-3a50f872073c">2024-12-12T15:03:08Z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2024-12-12T00:00:00Z</Date_x0020_protokolli>
    <Titulli xmlns="0e656187-b300-4fb0-8bf4-3a50f872073c">Mbi vendosjen e detyrimit të publikimit të ofertave të furnizimit me energji elektrike nga të licencuarit në aktivitetin e furnizimit në tregun e lirë</Titulli>
    <Modifikuesi xmlns="0e656187-b300-4fb0-8bf4-3a50f872073c">nevila.samarxhi</Modifikuesi>
    <Nr_x002e__x0020_prot_x0020_QBZ xmlns="0e656187-b300-4fb0-8bf4-3a50f872073c">2075/1</Nr_x002e__x0020_prot_x0020_QBZ>
    <Data_x0020_e_x0020_Modifikimit xmlns="0e656187-b300-4fb0-8bf4-3a50f872073c">2024-12-13T11:44:15Z</Data_x0020_e_x0020_Modifikimit>
    <Dekretuar xmlns="0e656187-b300-4fb0-8bf4-3a50f872073c">false</Dekretuar>
    <Data xmlns="0e656187-b300-4fb0-8bf4-3a50f872073c">2024-11-14T00:00:00Z</Data>
    <Nr_x002e__x0020_protokolli_x0020_i_x0020_aktit xmlns="0e656187-b300-4fb0-8bf4-3a50f872073c">2509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7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8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9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D2CDE1B3084567A3DA7E55DF38AA0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53C291B-BD2A-4F52-9764-46EFFCF4A529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AF12E2B1-13EF-4BDA-987E-BC8015269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42691-CD18-4097-9279-7C290F4636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965A088-0436-4F88-93BF-7103A50424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5FF55C0-6EDD-4D3D-B75E-32E466EF1DF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E0EF3BA7-0FBF-4EAB-8A71-0BE57D907905}">
  <ds:schemaRefs>
    <ds:schemaRef ds:uri="http://www.wps.cn/android/officeDocument/2013/mofficeCustomData"/>
  </ds:schemaRefs>
</ds:datastoreItem>
</file>

<file path=customXml/itemProps7.xml><?xml version="1.0" encoding="utf-8"?>
<ds:datastoreItem xmlns:ds="http://schemas.openxmlformats.org/officeDocument/2006/customXml" ds:itemID="{2A9BA925-188F-4C9D-9B2A-0750E86548EB}">
  <ds:schemaRefs>
    <ds:schemaRef ds:uri="http://www.wps.cn/android/officeDocument/2013/mofficeCustomData"/>
  </ds:schemaRefs>
</ds:datastoreItem>
</file>

<file path=customXml/itemProps8.xml><?xml version="1.0" encoding="utf-8"?>
<ds:datastoreItem xmlns:ds="http://schemas.openxmlformats.org/officeDocument/2006/customXml" ds:itemID="{231EA5B4-B7FC-405A-B655-3651B223D569}">
  <ds:schemaRefs>
    <ds:schemaRef ds:uri="http://www.wps.cn/android/officeDocument/2013/mofficeCustomData"/>
  </ds:schemaRefs>
</ds:datastoreItem>
</file>

<file path=customXml/itemProps9.xml><?xml version="1.0" encoding="utf-8"?>
<ds:datastoreItem xmlns:ds="http://schemas.openxmlformats.org/officeDocument/2006/customXml" ds:itemID="{68D7A559-A3C2-4F4C-9E02-777237697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1057</Words>
  <Characters>6026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 | ERE</dc:creator>
  <cp:lastModifiedBy>Rovena Lipe</cp:lastModifiedBy>
  <cp:revision>2</cp:revision>
  <cp:lastPrinted>2024-11-12T08:35:00Z</cp:lastPrinted>
  <dcterms:created xsi:type="dcterms:W3CDTF">2025-03-17T11:28:00Z</dcterms:created>
  <dcterms:modified xsi:type="dcterms:W3CDTF">2025-03-17T11:28:00Z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ff356a69b9f9436b816a83cc6c69c5d8</vt:lpwstr>
  </property>
</Properties>
</file>