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FB6E9" w14:textId="7777777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11990375" w14:textId="703709F3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242, datë 14.11.2024</w:t>
      </w:r>
    </w:p>
    <w:p w14:paraId="0A8598EE" w14:textId="7777777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362647E4" w14:textId="4F5BCC41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MBI ZGJATJEN E VENDIMMARRJES SË BORDIT PËR KËRKESËN E SHOQËRISË “REBESOL” SHPK PËR LICENCIM NË VEPRIMTARINË E PRODHIMIT TË ENERGJISË ELEKTRIKE </w:t>
      </w:r>
    </w:p>
    <w:p w14:paraId="76596219" w14:textId="7777777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5A0CBFE" w14:textId="1DA158D8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Në mbështetje të nenit 16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të ligjit nr. 43/2015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ndryshuar; neneve 91, pika 1, dhe 92, pika 2 të ligjit nr. 44/2015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“Kodi i Procedurave Administrative i Republikës së Shqipërisë”; si dhe nenit 15 të 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të Entit Rregullator të Energjisë (ERE) nr. 96, datë 17.6.2016; Bordi i ERE-s, në mbledhjen e tij të datës 14.11.2024, mbasi shqyrtoi relacionin me nr. 1855/12, datë 13.11.2024, të Drejtorisë së Licencimit dhe Autorizimeve “Mbi kërkesën e shoqërisë 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‘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>Rebesol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’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sh.p.k. për licencim në veprimtarinë e prodhimit të energjisë elektrike”,</w:t>
      </w:r>
    </w:p>
    <w:p w14:paraId="16839492" w14:textId="48E0D183" w:rsidR="00495F46" w:rsidRPr="009D6416" w:rsidRDefault="009D641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konstatoi se: </w:t>
      </w:r>
    </w:p>
    <w:p w14:paraId="50E767E0" w14:textId="6D276B91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Shoqëria “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>Rebesol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” sh.p.k., me shkresën e protokolluar në ERE me nr. 1855 prot., datë 2.9.2024, ka paraqitur kërkesën për licencim në veprimtarinë e prodhimit të energjisë elektrike nga centrali fotovoltaik me kapacitet prodhues 2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mw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dhe veprave ndihmëse, në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fshatin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Grykë, Njësia Administrative Topojë, Bashkia Fier,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qarku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Fier. </w:t>
      </w:r>
    </w:p>
    <w:p w14:paraId="5888D71D" w14:textId="51DA0F60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Bordi i ERE-s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me vendimin nr. 184, datë 12.9.2024, vendosi të fillojë procedurën për licencimin e shoqërisë në këtë veprimtari. </w:t>
      </w:r>
    </w:p>
    <w:p w14:paraId="14B14C1A" w14:textId="6775ADBE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ERE botoi njoftimin në median e shkruar për fillimin e kësaj procedure (në datat 13.9.2024 dhe 14.9.2024) dhe në përfundim të afatit të pritjes së komenteve apo 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objeksioneve nga të tretët (data 24.9.2024), nuk rezultoi të ketë të tilla. Njoftimi për fillimin e procedurës u botua edhe në faqen zyrtare të internetit të ERE-s. Ndërsa me shkresën nr. 1927 prot., datë 16.9.2024, ERE ka njoftuar Ministrinë e Infrastrukturës dhe Energjisë (MIE) për fillimin e kësaj procedure. </w:t>
      </w:r>
    </w:p>
    <w:p w14:paraId="70C14FBE" w14:textId="0B5054D9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Në vijim të korrespondencës së zhvilluar me shoqërinë (ku me shkresën nr. 1855/3 prot., datë 30.9.2024, ERE e ka njoftuar atë për vendimin nr. 184/2024 dhe i ka evidentuar informacionin/dokumentacionin e të munguar të këtij aplikimi) dhe shoqëria ka depozituar dokumentacion plotësues me shkresën e protokolluar në ERE me nr. 1855/5 prot., datë 11.10.2024, ka rezultuar se ka ende informacion/dokumentacion që nevojitet të plotësohet, ndaj me vendimin e bordit të ERE-s nr. 218, datë 16.10.2024, është vendosur zgjatja e afatit të vendimmarrjes së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me 30 (tridhjetë) ditë. </w:t>
      </w:r>
    </w:p>
    <w:p w14:paraId="431D251C" w14:textId="5075D95A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Shoqëria në lidhje me plotësimin e informacionit/dokumentacionit të konstatuar të munguar të aplikimit, ka kthyer përgjigje me shkresat e protokolluara në ERE me nr. 1855/8 prot., datë 11.12.2024 dhe nr. 1855/12 prot., datë 13.11.2024.</w:t>
      </w:r>
    </w:p>
    <w:p w14:paraId="50256B07" w14:textId="6567EB4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Nga shqyrtimi i këtij dokumentacioni rezulton se shoqëria ka dokumentuar në kryerjen e aplikimit për pajisje me VNM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-në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paraprake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të re në datën 6.11.2024. Gjithashtu, rezulton se nevojitet të sqarohet më tej me shoqërinë dokumentacioni takues që duhet të depozitohet për vlerën e mbetur të investimit të projektit. </w:t>
      </w:r>
    </w:p>
    <w:p w14:paraId="4687CCCD" w14:textId="685DB7A8" w:rsidR="00495F46" w:rsidRPr="009D6416" w:rsidRDefault="00495F46" w:rsidP="00495F4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Në nenin 91, pika 1, të ligjit nr. 44/2015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“Kodi i Procedurave Administrative i Republikës së Shqipërisë”, parashikohet si vijon: 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Në mungesë të afateve të përcaktuara nga ligji i posaçëm, afati për përfundimin e procedurës administrative është 60 ditë.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Në lidhje me zgjatjen e afateve procedurale të një procedure administrative, në nenin 92, pika 2 e ligjit nr. 44/2015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“Kodi i Procedurave Administrative i Republikës së Shqipërisë”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parashikon si vijon: 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Zgjatja e afatit bëhet për aq sa është e nevojshme për përfundimin e procedurës, në proporcion me vështirësinë e çështjes konkrete, por jo më shumë se kohëzgjatja e afatit fillestar.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>”</w:t>
      </w:r>
    </w:p>
    <w:p w14:paraId="62C8A578" w14:textId="1650D871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lastRenderedPageBreak/>
        <w:t>-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Për sa më lart, vlerësojmë se në rrethanat e një aplikimi të ri për VNM dhe pritjes së miratimit nga Agjencia Kombëtare e Mjedisit (AKM)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,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si dhe për të sqaruar dokumentacionin që duhet të plotësohet për këtë aplikim, vlerësojmë zgjatjen deri më 26.1.2025 të afatit të vendimmarrjes së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të ERE-s për aplikimin e shoqërisë “REBESOL” sh.p.k. për licencim në veprimtarinë e prodhimit të energjisë elektrike, duke filluar ky afat nga data e aplikimit të shoqërisë për VNM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>-në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>paraprake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, në datën 6.11.2024. </w:t>
      </w:r>
    </w:p>
    <w:p w14:paraId="4680D3FF" w14:textId="020C9E66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i ERE-s</w:t>
      </w:r>
    </w:p>
    <w:p w14:paraId="6E422DA6" w14:textId="7777777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5751AA96" w14:textId="3DB7310D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730A2B3C" w14:textId="7777777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8298877" w14:textId="1800E1EB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1.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Të zgjasë deri më datë 26.1.2025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të vendimmarrjes së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të ERE-s për kërkesën e shoqërisë “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>Rebesol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” sh.p.k. për licencim në veprimtarinë e prodhimit të energjisë elektrike.</w:t>
      </w:r>
    </w:p>
    <w:p w14:paraId="730F5BB3" w14:textId="22BC9E9B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2.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Shoqëria duhet të depozitojë në ERE VNM-në 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paraprake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të re dhe dokumentacionin përkatës për mbështetjen financiare deri më datë 16.1.2025.</w:t>
      </w:r>
    </w:p>
    <w:p w14:paraId="739E48DE" w14:textId="65A1E454" w:rsidR="00495F46" w:rsidRPr="009D6416" w:rsidRDefault="00495F46" w:rsidP="00495F4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3.</w:t>
      </w:r>
      <w:r w:rsidR="009D6416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Drejtoria e Licencimit dhe Autorizimeve të njoftojë shoqërinë “</w:t>
      </w:r>
      <w:r w:rsidR="009D6416"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Rebesol” </w:t>
      </w:r>
      <w:r w:rsidRPr="009D6416">
        <w:rPr>
          <w:rFonts w:ascii="Garamond" w:hAnsi="Garamond"/>
          <w:color w:val="000000"/>
          <w:sz w:val="24"/>
          <w:szCs w:val="24"/>
          <w:lang w:val="sq-AL"/>
        </w:rPr>
        <w:t>sh.p.k. për vendimi</w:t>
      </w:r>
      <w:bookmarkStart w:id="0" w:name="_GoBack"/>
      <w:bookmarkEnd w:id="0"/>
      <w:r w:rsidRPr="009D6416">
        <w:rPr>
          <w:rFonts w:ascii="Garamond" w:hAnsi="Garamond"/>
          <w:color w:val="000000"/>
          <w:sz w:val="24"/>
          <w:szCs w:val="24"/>
          <w:lang w:val="sq-AL"/>
        </w:rPr>
        <w:t>n e bordit të ERE-s.</w:t>
      </w:r>
    </w:p>
    <w:p w14:paraId="646CC992" w14:textId="7777777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18"/>
          <w:szCs w:val="18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3C7DE4E5" w14:textId="37E182EF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6168E20A" w14:textId="77777777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44C2EC86" w14:textId="028B162C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04F8A787" w14:textId="2CDE3994" w:rsidR="00495F46" w:rsidRPr="009D6416" w:rsidRDefault="00495F46" w:rsidP="00495F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9D6416">
        <w:rPr>
          <w:rFonts w:ascii="Garamond" w:hAnsi="Garamond"/>
          <w:b/>
          <w:bCs/>
          <w:color w:val="000000"/>
          <w:sz w:val="24"/>
          <w:szCs w:val="24"/>
          <w:lang w:val="sq-AL"/>
        </w:rPr>
        <w:t>Petrit Ahmeti</w:t>
      </w:r>
    </w:p>
    <w:p w14:paraId="725C6089" w14:textId="0CACE5A7" w:rsidR="00DD312B" w:rsidRPr="009D6416" w:rsidRDefault="00DD312B" w:rsidP="00495F46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DD312B" w:rsidRPr="009D6416" w:rsidSect="009D6416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9DEE0" w14:textId="77777777" w:rsidR="009D6416" w:rsidRDefault="009D6416">
      <w:pPr>
        <w:spacing w:after="0" w:line="240" w:lineRule="auto"/>
      </w:pPr>
      <w:r>
        <w:separator/>
      </w:r>
    </w:p>
  </w:endnote>
  <w:endnote w:type="continuationSeparator" w:id="0">
    <w:p w14:paraId="757708EB" w14:textId="77777777" w:rsidR="009D6416" w:rsidRDefault="009D6416">
      <w:pPr>
        <w:spacing w:after="0" w:line="240" w:lineRule="auto"/>
      </w:pPr>
      <w:r>
        <w:continuationSeparator/>
      </w:r>
    </w:p>
  </w:endnote>
  <w:endnote w:type="continuationNotice" w:id="1">
    <w:p w14:paraId="327CF135" w14:textId="77777777" w:rsidR="005B09DB" w:rsidRDefault="005B09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5D7A95" w14:textId="77777777" w:rsidR="009D6416" w:rsidRDefault="009D6416">
      <w:pPr>
        <w:spacing w:after="0" w:line="240" w:lineRule="auto"/>
      </w:pPr>
      <w:r>
        <w:separator/>
      </w:r>
    </w:p>
  </w:footnote>
  <w:footnote w:type="continuationSeparator" w:id="0">
    <w:p w14:paraId="77680200" w14:textId="77777777" w:rsidR="009D6416" w:rsidRDefault="009D6416">
      <w:pPr>
        <w:spacing w:after="0" w:line="240" w:lineRule="auto"/>
      </w:pPr>
      <w:r>
        <w:continuationSeparator/>
      </w:r>
    </w:p>
  </w:footnote>
  <w:footnote w:type="continuationNotice" w:id="1">
    <w:p w14:paraId="5C630DF4" w14:textId="77777777" w:rsidR="005B09DB" w:rsidRDefault="005B09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1BE6A14"/>
    <w:lvl w:ilvl="0" w:tplc="EFBEFF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9C82AAEE"/>
    <w:lvl w:ilvl="0" w:tplc="F306CC2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0000000A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0000010"/>
    <w:multiLevelType w:val="hybridMultilevel"/>
    <w:tmpl w:val="8DD6DC9A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96EEA3A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A6E07406"/>
    <w:lvl w:ilvl="0" w:tplc="B1D4B7E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0000016"/>
    <w:multiLevelType w:val="hybridMultilevel"/>
    <w:tmpl w:val="0B18E6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000001F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0000021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0000022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00000024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0CBD6B7C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1"/>
  </w:num>
  <w:num w:numId="3">
    <w:abstractNumId w:val="11"/>
  </w:num>
  <w:num w:numId="4">
    <w:abstractNumId w:val="20"/>
  </w:num>
  <w:num w:numId="5">
    <w:abstractNumId w:val="17"/>
  </w:num>
  <w:num w:numId="6">
    <w:abstractNumId w:val="14"/>
  </w:num>
  <w:num w:numId="7">
    <w:abstractNumId w:val="10"/>
  </w:num>
  <w:num w:numId="8">
    <w:abstractNumId w:val="8"/>
  </w:num>
  <w:num w:numId="9">
    <w:abstractNumId w:val="29"/>
  </w:num>
  <w:num w:numId="10">
    <w:abstractNumId w:val="23"/>
  </w:num>
  <w:num w:numId="11">
    <w:abstractNumId w:val="0"/>
  </w:num>
  <w:num w:numId="12">
    <w:abstractNumId w:val="16"/>
  </w:num>
  <w:num w:numId="13">
    <w:abstractNumId w:val="35"/>
  </w:num>
  <w:num w:numId="14">
    <w:abstractNumId w:val="32"/>
  </w:num>
  <w:num w:numId="15">
    <w:abstractNumId w:val="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3"/>
  </w:num>
  <w:num w:numId="18">
    <w:abstractNumId w:val="7"/>
  </w:num>
  <w:num w:numId="19">
    <w:abstractNumId w:val="28"/>
  </w:num>
  <w:num w:numId="20">
    <w:abstractNumId w:val="1"/>
  </w:num>
  <w:num w:numId="21">
    <w:abstractNumId w:val="12"/>
  </w:num>
  <w:num w:numId="22">
    <w:abstractNumId w:val="34"/>
  </w:num>
  <w:num w:numId="23">
    <w:abstractNumId w:val="9"/>
  </w:num>
  <w:num w:numId="24">
    <w:abstractNumId w:val="26"/>
  </w:num>
  <w:num w:numId="25">
    <w:abstractNumId w:val="27"/>
  </w:num>
  <w:num w:numId="26">
    <w:abstractNumId w:val="36"/>
  </w:num>
  <w:num w:numId="27">
    <w:abstractNumId w:val="24"/>
  </w:num>
  <w:num w:numId="28">
    <w:abstractNumId w:val="2"/>
  </w:num>
  <w:num w:numId="29">
    <w:abstractNumId w:val="25"/>
  </w:num>
  <w:num w:numId="30">
    <w:abstractNumId w:val="13"/>
  </w:num>
  <w:num w:numId="31">
    <w:abstractNumId w:val="4"/>
  </w:num>
  <w:num w:numId="32">
    <w:abstractNumId w:val="30"/>
  </w:num>
  <w:num w:numId="33">
    <w:abstractNumId w:val="22"/>
  </w:num>
  <w:num w:numId="34">
    <w:abstractNumId w:val="5"/>
  </w:num>
  <w:num w:numId="35">
    <w:abstractNumId w:val="21"/>
  </w:num>
  <w:num w:numId="36">
    <w:abstractNumId w:val="15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4D7"/>
    <w:rsid w:val="00037CE6"/>
    <w:rsid w:val="00057C2C"/>
    <w:rsid w:val="000B6580"/>
    <w:rsid w:val="000C10EE"/>
    <w:rsid w:val="000C2CE0"/>
    <w:rsid w:val="00244F7F"/>
    <w:rsid w:val="0024570D"/>
    <w:rsid w:val="00350ED6"/>
    <w:rsid w:val="00392B74"/>
    <w:rsid w:val="00495F46"/>
    <w:rsid w:val="0052789D"/>
    <w:rsid w:val="0053428B"/>
    <w:rsid w:val="00542029"/>
    <w:rsid w:val="005A4870"/>
    <w:rsid w:val="005B09DB"/>
    <w:rsid w:val="00740C21"/>
    <w:rsid w:val="007500ED"/>
    <w:rsid w:val="00795DCF"/>
    <w:rsid w:val="008C71FD"/>
    <w:rsid w:val="009D6416"/>
    <w:rsid w:val="009F4AE5"/>
    <w:rsid w:val="00A444D7"/>
    <w:rsid w:val="00A54A73"/>
    <w:rsid w:val="00AC4CF1"/>
    <w:rsid w:val="00B3570E"/>
    <w:rsid w:val="00B776BE"/>
    <w:rsid w:val="00DD312B"/>
    <w:rsid w:val="00E65B8E"/>
    <w:rsid w:val="00E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F1CA"/>
  <w15:docId w15:val="{4BF4ED78-423E-4941-A8D8-93838E52A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89D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89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57692CA3EE4328B174FC6D55758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2024-12-19T09:40:30Z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2024-12-18T00:00:00Z</Date_x0020_protokolli>
    <Titulli xmlns="0e656187-b300-4fb0-8bf4-3a50f872073c">Mbi zgjatjen e vendimmarrjes së bordit për kërkesën e shoqërisë “REBESOL” sh.p.k. për licencim në veprimtarinë e prodhimit të energjisë elektrike</Titulli>
    <Modifikuesi xmlns="0e656187-b300-4fb0-8bf4-3a50f872073c">nevila.samarxhi</Modifikuesi>
    <Nr_x002e__x0020_prot_x0020_QBZ xmlns="0e656187-b300-4fb0-8bf4-3a50f872073c">2121/2</Nr_x002e__x0020_prot_x0020_QBZ>
    <Data_x0020_e_x0020_Modifikimit xmlns="0e656187-b300-4fb0-8bf4-3a50f872073c">2024-12-20T11:36:35Z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2552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57692CA3EE4328B174FC6D55758A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9401D-92A3-459C-88CB-4C6D524AE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F939016-19AE-4165-8BB8-50FB4C50D82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DC5F2108-9AC0-4C5E-A25A-FC385835412A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421CB03-8099-41A8-8E11-A88654AE2ADD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EDDBE30-1F0A-4AFE-962A-855145A30DA6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6106836C-B224-4143-9DC5-FA3F2A72D38C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C0F0F62F-47BF-4CF1-AF15-70F5E57D1D07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A07EB6B1-2495-473B-BA3B-5B08C76E2979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2645B79D-002B-4C7C-AE2A-865106358142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11305087-32D3-4FA7-A213-798921FCA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01CFA12A-39D4-49AA-BBC2-4F19626DE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Dpa</Company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Alma Lisaku</cp:lastModifiedBy>
  <cp:revision>5</cp:revision>
  <cp:lastPrinted>2024-10-16T10:29:00Z</cp:lastPrinted>
  <dcterms:created xsi:type="dcterms:W3CDTF">2024-12-11T21:54:00Z</dcterms:created>
  <dcterms:modified xsi:type="dcterms:W3CDTF">2024-12-20T12:41:00Z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7a5f7feb1a084914b9b8bc907458ecd9</vt:lpwstr>
  </property>
</Properties>
</file>