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56C40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41620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6196D28D" w14:textId="41DEB419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41620">
        <w:rPr>
          <w:rFonts w:ascii="Garamond" w:hAnsi="Garamond"/>
          <w:b/>
          <w:bCs/>
          <w:color w:val="000000"/>
          <w:szCs w:val="24"/>
          <w:lang w:val="sq-AL"/>
        </w:rPr>
        <w:t>Nr. 247, datë 18.11.2024</w:t>
      </w:r>
    </w:p>
    <w:p w14:paraId="2834FB1C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45A3A82" w14:textId="222AB854" w:rsidR="00801971" w:rsidRPr="00341620" w:rsidRDefault="00801971" w:rsidP="0034162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41620">
        <w:rPr>
          <w:rFonts w:ascii="Garamond" w:hAnsi="Garamond"/>
          <w:b/>
          <w:bCs/>
          <w:color w:val="000000"/>
          <w:szCs w:val="24"/>
          <w:lang w:val="sq-AL"/>
        </w:rPr>
        <w:t xml:space="preserve">MBI FILLIMIN E </w:t>
      </w:r>
      <w:r w:rsidR="00341620" w:rsidRPr="00341620">
        <w:rPr>
          <w:rFonts w:ascii="Garamond" w:hAnsi="Garamond"/>
          <w:b/>
          <w:bCs/>
          <w:color w:val="000000"/>
          <w:szCs w:val="24"/>
          <w:lang w:val="sq-AL"/>
        </w:rPr>
        <w:t>PROCEDURËS</w:t>
      </w:r>
      <w:r w:rsidRPr="00341620">
        <w:rPr>
          <w:rFonts w:ascii="Garamond" w:hAnsi="Garamond"/>
          <w:b/>
          <w:bCs/>
          <w:color w:val="000000"/>
          <w:szCs w:val="24"/>
          <w:lang w:val="sq-AL"/>
        </w:rPr>
        <w:t xml:space="preserve"> PËR SHQYRTIMIN E PLANIT TË INVESTIMEVE TË SHOQËRISË OST SHA PËR PERIUDHËN RREGULLATORE</w:t>
      </w:r>
      <w:r w:rsidR="00341620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41620">
        <w:rPr>
          <w:rFonts w:ascii="Garamond" w:hAnsi="Garamond"/>
          <w:b/>
          <w:bCs/>
          <w:color w:val="000000"/>
          <w:szCs w:val="24"/>
          <w:lang w:val="sq-AL"/>
        </w:rPr>
        <w:t xml:space="preserve">2025–2027 </w:t>
      </w:r>
    </w:p>
    <w:p w14:paraId="348363D8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F9A2E69" w14:textId="0224F616" w:rsidR="00801971" w:rsidRPr="00371F19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71F19">
        <w:rPr>
          <w:rFonts w:ascii="Garamond" w:hAnsi="Garamond"/>
          <w:color w:val="000000"/>
          <w:szCs w:val="24"/>
          <w:lang w:val="sq-AL"/>
        </w:rPr>
        <w:t>Në mbështetje të neneve 16 dhe 20</w:t>
      </w:r>
      <w:r w:rsidR="00341620" w:rsidRPr="00371F19">
        <w:rPr>
          <w:rFonts w:ascii="Garamond" w:hAnsi="Garamond"/>
          <w:color w:val="000000"/>
          <w:szCs w:val="24"/>
          <w:lang w:val="sq-AL"/>
        </w:rPr>
        <w:t>,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 g</w:t>
      </w:r>
      <w:r w:rsidR="00341620" w:rsidRPr="00371F19">
        <w:rPr>
          <w:rFonts w:ascii="Garamond" w:hAnsi="Garamond"/>
          <w:color w:val="000000"/>
          <w:szCs w:val="24"/>
          <w:lang w:val="sq-AL"/>
        </w:rPr>
        <w:t>e</w:t>
      </w:r>
      <w:r w:rsidRPr="00371F19">
        <w:rPr>
          <w:rFonts w:ascii="Garamond" w:hAnsi="Garamond"/>
          <w:color w:val="000000"/>
          <w:szCs w:val="24"/>
          <w:lang w:val="sq-AL"/>
        </w:rPr>
        <w:t>rma “e”</w:t>
      </w:r>
      <w:r w:rsidR="00341620" w:rsidRPr="00371F19">
        <w:rPr>
          <w:rFonts w:ascii="Garamond" w:hAnsi="Garamond"/>
          <w:color w:val="000000"/>
          <w:szCs w:val="24"/>
          <w:lang w:val="sq-AL"/>
        </w:rPr>
        <w:t>,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 dhe 60</w:t>
      </w:r>
      <w:r w:rsidR="00341620" w:rsidRPr="00371F19">
        <w:rPr>
          <w:rFonts w:ascii="Garamond" w:hAnsi="Garamond"/>
          <w:color w:val="000000"/>
          <w:szCs w:val="24"/>
          <w:lang w:val="sq-AL"/>
        </w:rPr>
        <w:t>,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 pika 5</w:t>
      </w:r>
      <w:r w:rsidR="00341620" w:rsidRPr="00371F19">
        <w:rPr>
          <w:rFonts w:ascii="Garamond" w:hAnsi="Garamond"/>
          <w:color w:val="000000"/>
          <w:szCs w:val="24"/>
          <w:lang w:val="sq-AL"/>
        </w:rPr>
        <w:t>,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 e ligjit nr. 43/2015</w:t>
      </w:r>
      <w:r w:rsidR="00341620" w:rsidRPr="00371F19">
        <w:rPr>
          <w:rFonts w:ascii="Garamond" w:hAnsi="Garamond"/>
          <w:color w:val="000000"/>
          <w:szCs w:val="24"/>
          <w:lang w:val="sq-AL"/>
        </w:rPr>
        <w:t>,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 “</w:t>
      </w:r>
      <w:r w:rsidRPr="00371F19">
        <w:rPr>
          <w:rFonts w:ascii="Garamond" w:hAnsi="Garamond"/>
          <w:iCs/>
          <w:color w:val="000000"/>
          <w:szCs w:val="24"/>
          <w:lang w:val="sq-AL"/>
        </w:rPr>
        <w:t>Për sektorin e energjisë elektrike</w:t>
      </w:r>
      <w:r w:rsidRPr="00371F19">
        <w:rPr>
          <w:rFonts w:ascii="Garamond" w:hAnsi="Garamond"/>
          <w:color w:val="000000"/>
          <w:szCs w:val="24"/>
          <w:lang w:val="sq-AL"/>
        </w:rPr>
        <w:t>”</w:t>
      </w:r>
      <w:r w:rsidR="00341620" w:rsidRPr="00371F19">
        <w:rPr>
          <w:rFonts w:ascii="Garamond" w:hAnsi="Garamond"/>
          <w:color w:val="000000"/>
          <w:szCs w:val="24"/>
          <w:lang w:val="sq-AL"/>
        </w:rPr>
        <w:t>,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 i ndryshuar; </w:t>
      </w:r>
      <w:r w:rsidRPr="00371F19">
        <w:rPr>
          <w:rFonts w:ascii="Garamond" w:hAnsi="Garamond"/>
          <w:color w:val="000000"/>
          <w:spacing w:val="-15"/>
          <w:szCs w:val="24"/>
          <w:lang w:val="sq-AL"/>
        </w:rPr>
        <w:t>neneve 6, 7, 8, 10 dhe 11</w:t>
      </w:r>
      <w:r w:rsidR="00341620" w:rsidRPr="00371F19">
        <w:rPr>
          <w:rFonts w:ascii="Garamond" w:hAnsi="Garamond"/>
          <w:color w:val="000000"/>
          <w:spacing w:val="-15"/>
          <w:szCs w:val="24"/>
          <w:lang w:val="sq-AL"/>
        </w:rPr>
        <w:t>,</w:t>
      </w:r>
      <w:r w:rsidRPr="00371F19">
        <w:rPr>
          <w:rFonts w:ascii="Garamond" w:hAnsi="Garamond"/>
          <w:color w:val="000000"/>
          <w:spacing w:val="-15"/>
          <w:szCs w:val="24"/>
          <w:lang w:val="sq-AL"/>
        </w:rPr>
        <w:t xml:space="preserve"> të </w:t>
      </w:r>
      <w:r w:rsidR="00341620" w:rsidRPr="00371F19">
        <w:rPr>
          <w:rFonts w:ascii="Garamond" w:hAnsi="Garamond"/>
          <w:color w:val="000000"/>
          <w:spacing w:val="-15"/>
          <w:szCs w:val="24"/>
          <w:lang w:val="sq-AL"/>
        </w:rPr>
        <w:t>“</w:t>
      </w:r>
      <w:r w:rsidRPr="00371F19">
        <w:rPr>
          <w:rFonts w:ascii="Garamond" w:hAnsi="Garamond"/>
          <w:iCs/>
          <w:color w:val="000000"/>
          <w:szCs w:val="24"/>
          <w:lang w:val="sq-AL"/>
        </w:rPr>
        <w:t>Rregullores së procedurave të paraqitjes dhe miratimit të planit të investimeve nga operatorët e transmetimit dhe shpërndarjes së energjisë elektrike</w:t>
      </w:r>
      <w:r w:rsidR="00341620" w:rsidRPr="00371F19">
        <w:rPr>
          <w:rFonts w:ascii="Garamond" w:hAnsi="Garamond"/>
          <w:iCs/>
          <w:color w:val="000000"/>
          <w:szCs w:val="24"/>
          <w:lang w:val="sq-AL"/>
        </w:rPr>
        <w:t>”,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 miratuar me vendimin e </w:t>
      </w:r>
      <w:r w:rsidR="00341620" w:rsidRPr="00371F19">
        <w:rPr>
          <w:rFonts w:ascii="Garamond" w:hAnsi="Garamond"/>
          <w:color w:val="000000"/>
          <w:szCs w:val="24"/>
          <w:lang w:val="sq-AL"/>
        </w:rPr>
        <w:t>B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ordit të Entit Rregullator të Energjisë (ERE) nr. 135, datë 6.9.2017; si dhe nenit 15 të </w:t>
      </w:r>
      <w:r w:rsidR="00341620" w:rsidRPr="00371F19">
        <w:rPr>
          <w:rFonts w:ascii="Garamond" w:hAnsi="Garamond"/>
          <w:color w:val="000000"/>
          <w:szCs w:val="24"/>
          <w:lang w:val="sq-AL"/>
        </w:rPr>
        <w:t>“</w:t>
      </w:r>
      <w:r w:rsidRPr="00371F19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ERE-s</w:t>
      </w:r>
      <w:r w:rsidR="00341620" w:rsidRPr="00371F19">
        <w:rPr>
          <w:rFonts w:ascii="Garamond" w:hAnsi="Garamond"/>
          <w:iCs/>
          <w:color w:val="000000"/>
          <w:szCs w:val="24"/>
          <w:lang w:val="sq-AL"/>
        </w:rPr>
        <w:t>”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341620" w:rsidRPr="00371F19">
        <w:rPr>
          <w:rFonts w:ascii="Garamond" w:hAnsi="Garamond"/>
          <w:color w:val="000000"/>
          <w:szCs w:val="24"/>
          <w:lang w:val="sq-AL"/>
        </w:rPr>
        <w:t>B</w:t>
      </w:r>
      <w:r w:rsidRPr="00371F19">
        <w:rPr>
          <w:rFonts w:ascii="Garamond" w:hAnsi="Garamond"/>
          <w:color w:val="000000"/>
          <w:szCs w:val="24"/>
          <w:lang w:val="sq-AL"/>
        </w:rPr>
        <w:t xml:space="preserve">ordit të ERE-s nr. 96, datë 17.6.2016; Bordi i ERE-s, në mbledhjen e tij të datës 18.11.2024, pasi shqyrtoi relacionin me nr. 2098/4 </w:t>
      </w:r>
      <w:proofErr w:type="spellStart"/>
      <w:r w:rsidRPr="00371F19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371F19">
        <w:rPr>
          <w:rFonts w:ascii="Garamond" w:hAnsi="Garamond"/>
          <w:color w:val="000000"/>
          <w:szCs w:val="24"/>
          <w:lang w:val="sq-AL"/>
        </w:rPr>
        <w:t xml:space="preserve">., datë 15.11.2024, të përgatitur nga Drejtoria e Monitorimit të Tregut dhe të </w:t>
      </w:r>
      <w:proofErr w:type="spellStart"/>
      <w:r w:rsidRPr="00371F19">
        <w:rPr>
          <w:rFonts w:ascii="Garamond" w:hAnsi="Garamond"/>
          <w:color w:val="000000"/>
          <w:szCs w:val="24"/>
          <w:lang w:val="sq-AL"/>
        </w:rPr>
        <w:t>të</w:t>
      </w:r>
      <w:proofErr w:type="spellEnd"/>
      <w:r w:rsidRPr="00371F19">
        <w:rPr>
          <w:rFonts w:ascii="Garamond" w:hAnsi="Garamond"/>
          <w:color w:val="000000"/>
          <w:szCs w:val="24"/>
          <w:lang w:val="sq-AL"/>
        </w:rPr>
        <w:t xml:space="preserve"> Licencuarve “</w:t>
      </w:r>
      <w:r w:rsidRPr="00371F19">
        <w:rPr>
          <w:rFonts w:ascii="Garamond" w:hAnsi="Garamond"/>
          <w:iCs/>
          <w:color w:val="000000"/>
          <w:szCs w:val="24"/>
          <w:lang w:val="sq-AL"/>
        </w:rPr>
        <w:t xml:space="preserve">Mbi fillimin e procedurës për shqyrtimin e planit të </w:t>
      </w:r>
      <w:r w:rsidR="00371F19" w:rsidRPr="00371F19">
        <w:rPr>
          <w:rFonts w:ascii="Garamond" w:hAnsi="Garamond"/>
          <w:iCs/>
          <w:color w:val="000000"/>
          <w:szCs w:val="24"/>
          <w:lang w:val="sq-AL"/>
        </w:rPr>
        <w:t>i</w:t>
      </w:r>
      <w:r w:rsidRPr="00371F19">
        <w:rPr>
          <w:rFonts w:ascii="Garamond" w:hAnsi="Garamond"/>
          <w:iCs/>
          <w:color w:val="000000"/>
          <w:szCs w:val="24"/>
          <w:lang w:val="sq-AL"/>
        </w:rPr>
        <w:t xml:space="preserve">nvestimeve të shoqërisë OST </w:t>
      </w:r>
      <w:proofErr w:type="spellStart"/>
      <w:r w:rsidRPr="00371F19">
        <w:rPr>
          <w:rFonts w:ascii="Garamond" w:hAnsi="Garamond"/>
          <w:iCs/>
          <w:color w:val="000000"/>
          <w:szCs w:val="24"/>
          <w:lang w:val="sq-AL"/>
        </w:rPr>
        <w:t>sh.a</w:t>
      </w:r>
      <w:proofErr w:type="spellEnd"/>
      <w:r w:rsidRPr="00371F19">
        <w:rPr>
          <w:rFonts w:ascii="Garamond" w:hAnsi="Garamond"/>
          <w:iCs/>
          <w:color w:val="000000"/>
          <w:szCs w:val="24"/>
          <w:lang w:val="sq-AL"/>
        </w:rPr>
        <w:t>. për periudhën rregullatorë 2025</w:t>
      </w:r>
      <w:r w:rsidR="00341620" w:rsidRPr="00371F19">
        <w:rPr>
          <w:rFonts w:ascii="Garamond" w:hAnsi="Garamond"/>
          <w:iCs/>
          <w:color w:val="000000"/>
          <w:szCs w:val="24"/>
          <w:lang w:val="sq-AL"/>
        </w:rPr>
        <w:t>–</w:t>
      </w:r>
      <w:r w:rsidRPr="00371F19">
        <w:rPr>
          <w:rFonts w:ascii="Garamond" w:hAnsi="Garamond"/>
          <w:iCs/>
          <w:color w:val="000000"/>
          <w:szCs w:val="24"/>
          <w:lang w:val="sq-AL"/>
        </w:rPr>
        <w:t xml:space="preserve">2027”, </w:t>
      </w:r>
    </w:p>
    <w:p w14:paraId="36750E37" w14:textId="5D29CCB1" w:rsidR="00801971" w:rsidRPr="00341620" w:rsidRDefault="00341620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341620">
        <w:rPr>
          <w:rFonts w:ascii="Garamond" w:hAnsi="Garamond"/>
          <w:bCs/>
          <w:color w:val="000000"/>
          <w:szCs w:val="24"/>
          <w:lang w:val="sq-AL"/>
        </w:rPr>
        <w:t>k</w:t>
      </w:r>
      <w:r w:rsidR="00801971" w:rsidRPr="00341620">
        <w:rPr>
          <w:rFonts w:ascii="Garamond" w:hAnsi="Garamond"/>
          <w:bCs/>
          <w:color w:val="000000"/>
          <w:szCs w:val="24"/>
          <w:lang w:val="sq-AL"/>
        </w:rPr>
        <w:t>onstatoi se:</w:t>
      </w:r>
    </w:p>
    <w:p w14:paraId="43AF1DB6" w14:textId="2262004F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Operatori i Sistemit të Transmetimit (OST)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., me shkresën nr. 6943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., datë 10.10.2024 (protokolluar në ERE me nr. 2098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., datë 11.10.2024), ka dorëzuar “Planin e </w:t>
      </w:r>
      <w:r w:rsidR="00371F19">
        <w:rPr>
          <w:rFonts w:ascii="Garamond" w:hAnsi="Garamond"/>
          <w:color w:val="000000"/>
          <w:szCs w:val="24"/>
          <w:lang w:val="sq-AL"/>
        </w:rPr>
        <w:t>i</w:t>
      </w:r>
      <w:r w:rsidRPr="00341620">
        <w:rPr>
          <w:rFonts w:ascii="Garamond" w:hAnsi="Garamond"/>
          <w:color w:val="000000"/>
          <w:szCs w:val="24"/>
          <w:lang w:val="sq-AL"/>
        </w:rPr>
        <w:t>nvestimeve për periudhën rregullatore 2025</w:t>
      </w:r>
      <w:r w:rsidR="00371F19">
        <w:rPr>
          <w:rFonts w:ascii="Garamond" w:hAnsi="Garamond"/>
          <w:color w:val="000000"/>
          <w:szCs w:val="24"/>
          <w:lang w:val="sq-AL"/>
        </w:rPr>
        <w:t>–</w:t>
      </w:r>
      <w:r w:rsidRPr="00341620">
        <w:rPr>
          <w:rFonts w:ascii="Garamond" w:hAnsi="Garamond"/>
          <w:color w:val="000000"/>
          <w:szCs w:val="24"/>
          <w:lang w:val="sq-AL"/>
        </w:rPr>
        <w:t>2027”, të shoqëruar me dokumentacionin përkatës.</w:t>
      </w:r>
    </w:p>
    <w:p w14:paraId="7BBEA243" w14:textId="57112D78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 deklaron se, në përgatitjen e planit të investimeve për periudhën rregullatore 2025</w:t>
      </w:r>
      <w:r w:rsidR="00B52983">
        <w:rPr>
          <w:rFonts w:ascii="Garamond" w:hAnsi="Garamond"/>
          <w:color w:val="000000"/>
          <w:szCs w:val="24"/>
          <w:lang w:val="sq-AL"/>
        </w:rPr>
        <w:t>–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2027, ka respektuar kërkesat e rregullores së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ENTSO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-E, siç evidentohet në dokumentacionin e dorëzuar. Gjithashtu, thekson se </w:t>
      </w:r>
      <w:r w:rsidR="005F4E8C">
        <w:rPr>
          <w:rFonts w:ascii="Garamond" w:hAnsi="Garamond"/>
          <w:color w:val="000000"/>
          <w:szCs w:val="24"/>
          <w:lang w:val="sq-AL"/>
        </w:rPr>
        <w:t>p</w:t>
      </w:r>
      <w:r w:rsidRPr="00341620">
        <w:rPr>
          <w:rFonts w:ascii="Garamond" w:hAnsi="Garamond"/>
          <w:color w:val="000000"/>
          <w:szCs w:val="24"/>
          <w:lang w:val="sq-AL"/>
        </w:rPr>
        <w:t>rogrami 10-vjeçar i zhvillimit të rrjetit të transmetimit për periudhën 2015</w:t>
      </w:r>
      <w:r w:rsidR="005F4E8C">
        <w:rPr>
          <w:rFonts w:ascii="Garamond" w:hAnsi="Garamond"/>
          <w:color w:val="000000"/>
          <w:szCs w:val="24"/>
          <w:lang w:val="sq-AL"/>
        </w:rPr>
        <w:t>–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2025, i miratuar nga </w:t>
      </w:r>
      <w:r w:rsidR="005F4E8C">
        <w:rPr>
          <w:rFonts w:ascii="Garamond" w:hAnsi="Garamond"/>
          <w:color w:val="000000"/>
          <w:szCs w:val="24"/>
          <w:lang w:val="sq-AL"/>
        </w:rPr>
        <w:t>B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ordi i ERE-s me vendimin nr. 212, datë 28.12.2017, i ndryshuar me vendimin e </w:t>
      </w:r>
      <w:r w:rsidR="005F4E8C">
        <w:rPr>
          <w:rFonts w:ascii="Garamond" w:hAnsi="Garamond"/>
          <w:color w:val="000000"/>
          <w:szCs w:val="24"/>
          <w:lang w:val="sq-AL"/>
        </w:rPr>
        <w:t>B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ordit të ERE nr. 228, datë 20.12.2019 dhe me vendimin nr. 125, datë 17.5.2021, mbetet ende në zbatim, me pjesën më të madhe të investimeve të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finalizuara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dhe disa projekte ende në proces realizimi.</w:t>
      </w:r>
    </w:p>
    <w:p w14:paraId="1FF354E3" w14:textId="169C59EF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 ka përcjellë komunikimet lidhur me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 sa i takon koordinimit të projekteve që janë në kufirin e pronësisë mes dy operatorëve.</w:t>
      </w:r>
    </w:p>
    <w:p w14:paraId="531C2A6F" w14:textId="3FECCFED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 nuk ka paraqitur të dhëna konkrete apo analiza të detajuara mbi efektivitetin dhe koston e ulët të investimeve, por ka ofruar deklarime të përgjithshme për projektet. Aktivitetet e saj janë të përcaktuara në ligjin nr.</w:t>
      </w:r>
      <w:r w:rsidR="005F4E8C">
        <w:rPr>
          <w:rFonts w:ascii="Garamond" w:hAnsi="Garamond"/>
          <w:color w:val="000000"/>
          <w:szCs w:val="24"/>
          <w:lang w:val="sq-AL"/>
        </w:rPr>
        <w:t xml:space="preserve"> </w:t>
      </w:r>
      <w:r w:rsidRPr="00341620">
        <w:rPr>
          <w:rFonts w:ascii="Garamond" w:hAnsi="Garamond"/>
          <w:color w:val="000000"/>
          <w:szCs w:val="24"/>
          <w:lang w:val="sq-AL"/>
        </w:rPr>
        <w:t>43/2015</w:t>
      </w:r>
      <w:r w:rsidR="005F4E8C">
        <w:rPr>
          <w:rFonts w:ascii="Garamond" w:hAnsi="Garamond"/>
          <w:color w:val="000000"/>
          <w:szCs w:val="24"/>
          <w:lang w:val="sq-AL"/>
        </w:rPr>
        <w:t>,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 “Për sektorin e energjisë elektrike” dhe përfshijnë kryesisht  garantimin e sigurisë dhe cilësisë së furnizimit me energji elektrike, duke vlerësuar kriteret e sigurisë, efi</w:t>
      </w:r>
      <w:r w:rsidR="005F4E8C">
        <w:rPr>
          <w:rFonts w:ascii="Garamond" w:hAnsi="Garamond"/>
          <w:color w:val="000000"/>
          <w:szCs w:val="24"/>
          <w:lang w:val="sq-AL"/>
        </w:rPr>
        <w:t>ci</w:t>
      </w:r>
      <w:r w:rsidRPr="00341620">
        <w:rPr>
          <w:rFonts w:ascii="Garamond" w:hAnsi="Garamond"/>
          <w:color w:val="000000"/>
          <w:szCs w:val="24"/>
          <w:lang w:val="sq-AL"/>
        </w:rPr>
        <w:t>encës dhe reduktimit të humbjeve në sistemin e transmetimit.</w:t>
      </w:r>
    </w:p>
    <w:p w14:paraId="3A7D9E55" w14:textId="6DB2F24E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Nga dokumentacioni i dorëzuar nga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., nuk janë dhënë  sqarime apo prova mbështetëse që tregojnë lidhjen e drejtpërdrejtë të zërave specifikë me çështjet e sigurisë dhe qëndrueshmërisë së sistemit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elektroenergjetik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</w:t>
      </w:r>
    </w:p>
    <w:p w14:paraId="49A34BAC" w14:textId="1E2751D2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>- Në mbështetje të nenit 6,  g</w:t>
      </w:r>
      <w:r w:rsidR="005F4E8C">
        <w:rPr>
          <w:rFonts w:ascii="Garamond" w:hAnsi="Garamond"/>
          <w:color w:val="000000"/>
          <w:szCs w:val="24"/>
          <w:lang w:val="sq-AL"/>
        </w:rPr>
        <w:t>e</w:t>
      </w:r>
      <w:r w:rsidRPr="00341620">
        <w:rPr>
          <w:rFonts w:ascii="Garamond" w:hAnsi="Garamond"/>
          <w:color w:val="000000"/>
          <w:szCs w:val="24"/>
          <w:lang w:val="sq-AL"/>
        </w:rPr>
        <w:t>rma “f” të “Rregullores së procedurave të paraqitjes dhe miratimit të planit të investimeve nga operatorët e transmetimit dhe shpërndarjes së energjisë elektrike</w:t>
      </w:r>
      <w:r w:rsidRPr="00341620">
        <w:rPr>
          <w:rFonts w:ascii="Garamond" w:hAnsi="Garamond"/>
          <w:i/>
          <w:iCs/>
          <w:color w:val="000000"/>
          <w:szCs w:val="24"/>
          <w:lang w:val="sq-AL"/>
        </w:rPr>
        <w:t>”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,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 është e detyruar të publikojë planin e investimeve në faqen e saj zyrtare dhe të kryejë konsultime me palët e interesuara dhe institucionet përkatëse. Deri në marrjen e këtij vendimi, nuk ka të dhëna që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 ka publikuar planin për periudhën rregullatore të ardhshme ose që ka realizuar këto konsultime. Për të përmbushur kërkesat e rregullores,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 do të duhet të paraqesë informacion mbi publikimin e planit dhe procesin e konsultimit të ndjekur.</w:t>
      </w:r>
    </w:p>
    <w:p w14:paraId="0B9B2F01" w14:textId="76C34273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Në nenin 8 të Rregullores së sipër cituar, përcaktohen kërkesat që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 duhet të plotësojë lidhur me planin e investimeve. Pikat 1 dhe 2 të këtij neni theksojnë rëndësinë e përputhshmërisë së planit të investimeve me planin 10-vjeçar të zhvillimit të rrjetit të transmetimit. Plani 10-vjeçar aktual është ai i miratuar për periudhën 2015</w:t>
      </w:r>
      <w:r w:rsidR="005F4E8C">
        <w:rPr>
          <w:rFonts w:ascii="Garamond" w:hAnsi="Garamond"/>
          <w:color w:val="000000"/>
          <w:szCs w:val="24"/>
          <w:lang w:val="sq-AL"/>
        </w:rPr>
        <w:t>–</w:t>
      </w:r>
      <w:r w:rsidRPr="00341620">
        <w:rPr>
          <w:rFonts w:ascii="Garamond" w:hAnsi="Garamond"/>
          <w:color w:val="000000"/>
          <w:szCs w:val="24"/>
          <w:lang w:val="sq-AL"/>
        </w:rPr>
        <w:t>2025, me vendimin nr. 212, datë 28.12.2017, të Bordit të ERE-s. Meqë periudha rregullatore 2025</w:t>
      </w:r>
      <w:r w:rsidR="005F4E8C">
        <w:rPr>
          <w:rFonts w:ascii="Garamond" w:hAnsi="Garamond"/>
          <w:color w:val="000000"/>
          <w:szCs w:val="24"/>
          <w:lang w:val="sq-AL"/>
        </w:rPr>
        <w:t>–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2027 kalon përtej kësaj periudhe 10-vjeçare, bazat krahasuese të </w:t>
      </w:r>
      <w:r w:rsidRPr="00341620">
        <w:rPr>
          <w:rFonts w:ascii="Garamond" w:hAnsi="Garamond"/>
          <w:color w:val="000000"/>
          <w:szCs w:val="24"/>
          <w:lang w:val="sq-AL"/>
        </w:rPr>
        <w:lastRenderedPageBreak/>
        <w:t>planit të ri të paraqitur nuk përputhen me planin 10-vjeçar aktual, duke krijuar një boshllëk në vlerësimin e përputhshmërisë.</w:t>
      </w:r>
    </w:p>
    <w:p w14:paraId="155C9402" w14:textId="7BE5D39E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Në dokumentin e paraqitur të planit të investimeve,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 ka marrë në konsideratë përmirësimin e treguesve teknikë sipas specifikave të secilit projekt. Sa i takon uljes së humbjeve,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 thekson se plani i investimeve përfshin përgjithësisht sigurimin e energjisë elektrike të nevojshme për mbulimin e humbjeve në rrjetin e transmetimit, si dhe për rezervën e energjisë dhe shërbimet ndihmëse të nevojshme për operimin e sigurt të sistemit. Ky proces bazohet në parimet e transparencës,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mosdiskriminimit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, rregullave të tregut dhe kostos minimale, duke përfshirë realizimin e analizave periodike për sasinë dhe koston e humbjeve, si dhe hartimin dhe zbatimin e masave për reduktimin e humbjeve dhe përmirësimin e eficiencës së energjisë.</w:t>
      </w:r>
    </w:p>
    <w:p w14:paraId="66A25D7E" w14:textId="2769ABA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- Lidhur me analizat kosto përfitim,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 ka paraqitur vetëm në formë deklarative përfitimet për projektet/zërat përkatëse pa shoqëruar me një analizë kosto-përfitim e cila justifikon efektivitetin e projekteve të cilat pritet të realizohen në periudhën e ardhshme rregullatore 2025</w:t>
      </w:r>
      <w:r w:rsidR="00BF3311">
        <w:rPr>
          <w:rFonts w:ascii="Garamond" w:hAnsi="Garamond"/>
          <w:color w:val="000000"/>
          <w:szCs w:val="24"/>
          <w:lang w:val="sq-AL"/>
        </w:rPr>
        <w:t>–</w:t>
      </w:r>
      <w:r w:rsidRPr="00341620">
        <w:rPr>
          <w:rFonts w:ascii="Garamond" w:hAnsi="Garamond"/>
          <w:color w:val="000000"/>
          <w:szCs w:val="24"/>
          <w:lang w:val="sq-AL"/>
        </w:rPr>
        <w:t>2027. Sa i takon implementimit të detajuar të planit/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skedulit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të kryerjes së investimeve shoqëria ka ndarë në formë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tabelare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kohën e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komisionimit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dhe futjes në operim por nga ana tjetër nuk ka përcjellë studime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fizibiliteti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, studimet e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impaktit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në mjedis apo të drejtat pronësore dhe të shfrytëzimit.</w:t>
      </w:r>
    </w:p>
    <w:p w14:paraId="06C45C58" w14:textId="1F6FB323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>- Duke marrë parasysh rëndësinë e procesit të shqyrtimit të planit të investimeve dhe bazuar në dokumentacionin e paraqitur deri më tani, vlerësohet se janë përmbushur kushtet minimale për fillimin e procedurës.</w:t>
      </w:r>
    </w:p>
    <w:p w14:paraId="363BA681" w14:textId="750C6EE8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D358AA" w:rsidRPr="00341620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i ERE-s </w:t>
      </w:r>
    </w:p>
    <w:p w14:paraId="0DD33021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</w:p>
    <w:p w14:paraId="296F61E1" w14:textId="23353431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341620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310AC55D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05424559" w14:textId="022421FE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1. Fillimin e procedurave për shqyrtimin e Planit të Investimeve të shoqërisë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., për periudhën rregullatore 2025–2027. </w:t>
      </w:r>
    </w:p>
    <w:p w14:paraId="5B185B8D" w14:textId="3A13E6B5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2. Shoqëria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. duhet të depozitojë në ERE, brenda 15 ditëve nga data e marrjes së këtij vendimi, dokumentacionin e plotë sipas kërkesave të përcaktuara në “Rregulloren e procedurave të paraqitjes dhe miratimit të planit të investimeve nga operatorët e transmetimit dhe shpërndarjes së energjisë elektrike,” të miratuar me vendimin e </w:t>
      </w:r>
      <w:r w:rsidR="004D08DA" w:rsidRPr="0034162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341620">
        <w:rPr>
          <w:rFonts w:ascii="Garamond" w:hAnsi="Garamond"/>
          <w:color w:val="000000"/>
          <w:szCs w:val="24"/>
          <w:lang w:val="sq-AL"/>
        </w:rPr>
        <w:t>të ERE nr. 135, datë 6.9.2017.</w:t>
      </w:r>
    </w:p>
    <w:p w14:paraId="6787BE87" w14:textId="288692E9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3. Drejtoria e Monitorimit të Tregut dhe të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të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Licencuarve të njoftojë OST </w:t>
      </w:r>
      <w:proofErr w:type="spellStart"/>
      <w:r w:rsidRPr="00341620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>. dhe palët e interesit për këtë vendim.</w:t>
      </w:r>
    </w:p>
    <w:p w14:paraId="6CF5265E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13CDD478" w14:textId="3E963283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4D08DA" w:rsidRPr="00341620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341620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bookmarkStart w:id="0" w:name="_GoBack"/>
      <w:r w:rsidR="004D08DA" w:rsidRPr="00341620">
        <w:rPr>
          <w:rFonts w:ascii="Garamond" w:hAnsi="Garamond"/>
          <w:color w:val="000000"/>
          <w:szCs w:val="24"/>
          <w:lang w:val="sq-AL"/>
        </w:rPr>
        <w:t>Bord</w:t>
      </w:r>
      <w:bookmarkEnd w:id="0"/>
      <w:r w:rsidR="004D08DA" w:rsidRPr="00341620">
        <w:rPr>
          <w:rFonts w:ascii="Garamond" w:hAnsi="Garamond"/>
          <w:color w:val="000000"/>
          <w:szCs w:val="24"/>
          <w:lang w:val="sq-AL"/>
        </w:rPr>
        <w:t xml:space="preserve">in </w:t>
      </w:r>
      <w:r w:rsidRPr="00341620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A5CBDDC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32EC7897" w14:textId="77777777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sq-AL"/>
        </w:rPr>
      </w:pPr>
    </w:p>
    <w:p w14:paraId="34DB0043" w14:textId="784A12D5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341620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50A5E826" w14:textId="2EB379FA" w:rsidR="00801971" w:rsidRPr="00341620" w:rsidRDefault="00801971" w:rsidP="008019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sq-AL"/>
        </w:rPr>
      </w:pPr>
      <w:r w:rsidRPr="00341620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341620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  <w:r w:rsidRPr="00341620">
        <w:rPr>
          <w:rFonts w:ascii="Garamond" w:hAnsi="Garamond"/>
          <w:color w:val="000000"/>
          <w:szCs w:val="24"/>
          <w:lang w:val="sq-AL"/>
        </w:rPr>
        <w:t xml:space="preserve">                                                        </w:t>
      </w:r>
    </w:p>
    <w:sectPr w:rsidR="00801971" w:rsidRPr="00341620" w:rsidSect="00BD128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B072A" w14:textId="77777777" w:rsidR="00BD1283" w:rsidRDefault="00BD1283">
      <w:pPr>
        <w:spacing w:after="0" w:line="240" w:lineRule="auto"/>
      </w:pPr>
      <w:r>
        <w:separator/>
      </w:r>
    </w:p>
  </w:endnote>
  <w:endnote w:type="continuationSeparator" w:id="0">
    <w:p w14:paraId="5B6DA0D3" w14:textId="77777777" w:rsidR="00BD1283" w:rsidRDefault="00BD1283">
      <w:pPr>
        <w:spacing w:after="0" w:line="240" w:lineRule="auto"/>
      </w:pPr>
      <w:r>
        <w:continuationSeparator/>
      </w:r>
    </w:p>
  </w:endnote>
  <w:endnote w:type="continuationNotice" w:id="1">
    <w:p w14:paraId="0B7069D6" w14:textId="77777777" w:rsidR="007C1C6A" w:rsidRDefault="007C1C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C0D49" w14:textId="77777777" w:rsidR="00BD1283" w:rsidRDefault="00BD1283">
      <w:pPr>
        <w:spacing w:after="0" w:line="240" w:lineRule="auto"/>
      </w:pPr>
      <w:r>
        <w:separator/>
      </w:r>
    </w:p>
  </w:footnote>
  <w:footnote w:type="continuationSeparator" w:id="0">
    <w:p w14:paraId="4BB5A106" w14:textId="77777777" w:rsidR="00BD1283" w:rsidRDefault="00BD1283">
      <w:pPr>
        <w:spacing w:after="0" w:line="240" w:lineRule="auto"/>
      </w:pPr>
      <w:r>
        <w:continuationSeparator/>
      </w:r>
    </w:p>
  </w:footnote>
  <w:footnote w:type="continuationNotice" w:id="1">
    <w:p w14:paraId="765BC52E" w14:textId="77777777" w:rsidR="007C1C6A" w:rsidRDefault="007C1C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42A213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2169F7C"/>
    <w:lvl w:ilvl="0" w:tplc="0700D3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5186C2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8539D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967"/>
    <w:rsid w:val="00164B7F"/>
    <w:rsid w:val="002049D7"/>
    <w:rsid w:val="002E2967"/>
    <w:rsid w:val="00341620"/>
    <w:rsid w:val="00371F19"/>
    <w:rsid w:val="00405EA0"/>
    <w:rsid w:val="004122F0"/>
    <w:rsid w:val="004B4154"/>
    <w:rsid w:val="004D08DA"/>
    <w:rsid w:val="00516202"/>
    <w:rsid w:val="00555D70"/>
    <w:rsid w:val="005F4E8C"/>
    <w:rsid w:val="007C1C6A"/>
    <w:rsid w:val="00801971"/>
    <w:rsid w:val="00937CAA"/>
    <w:rsid w:val="00B52983"/>
    <w:rsid w:val="00BD1283"/>
    <w:rsid w:val="00BF3311"/>
    <w:rsid w:val="00D358AA"/>
    <w:rsid w:val="00EB1075"/>
    <w:rsid w:val="00F16824"/>
    <w:rsid w:val="00F85C73"/>
    <w:rsid w:val="00F875AD"/>
    <w:rsid w:val="00FA4EB0"/>
    <w:rsid w:val="00FE774E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FACF60"/>
  <w15:docId w15:val="{58D02CD9-B25A-47BD-A023-F78F9F81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qFormat/>
    <w:rPr>
      <w:rFonts w:eastAsia="Times New Roman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91735A7E4B4372B8DCBDABCAE57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2024-12-20T13:36:00Z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Mbi fillimin e proçedurës për shqyrtimin e planit të investimeve të shoqërisë OST sh.a. për periudhën rregullatore 2025 – 2027</Titulli>
    <Modifikuesi xmlns="0e656187-b300-4fb0-8bf4-3a50f872073c">Suada.Daci</Modifikuesi>
    <Nr_x002e__x0020_prot_x0020_QBZ xmlns="0e656187-b300-4fb0-8bf4-3a50f872073c">2146/1</Nr_x002e__x0020_prot_x0020_QBZ>
    <Data_x0020_e_x0020_Modifikimit xmlns="0e656187-b300-4fb0-8bf4-3a50f872073c">2024-12-24T10:10:26Z</Data_x0020_e_x0020_Modifikimit>
    <Dekretuar xmlns="0e656187-b300-4fb0-8bf4-3a50f872073c">false</Dekretuar>
    <Data xmlns="0e656187-b300-4fb0-8bf4-3a50f872073c">2024-11-18T00:00:00Z</Data>
    <Nr_x002e__x0020_protokolli_x0020_i_x0020_aktit xmlns="0e656187-b300-4fb0-8bf4-3a50f872073c">2580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91735A7E4B4372B8DCBDABCAE576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BB19A9-EB70-45E1-9D9E-0199EDF91A5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50C4AC6-54B8-4A82-A11B-330957B4A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DE1C7F-DC1E-4E39-9D0F-126F0DFE54EF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4E52F5A-103A-443D-AAC6-93AEBF28AB2F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23165A7-3BA7-4A84-ADFC-96DD7980A2B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476B113-4C62-486D-9A7E-B645359F8BF6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A90E02FE-B48E-4D6E-B1FD-4CCC540B17D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54EF105C-9F8E-4ED5-A1B8-D5CCE144AEBF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6B4C8324-C3E0-4355-85F7-CDA529BCBDB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D637C539-ED2A-4A63-BDC4-9F78BCA8A579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791C9522-C5F3-4961-BDED-57635DF59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16</cp:revision>
  <dcterms:created xsi:type="dcterms:W3CDTF">2024-12-09T13:10:00Z</dcterms:created>
  <dcterms:modified xsi:type="dcterms:W3CDTF">2024-12-26T08:49:00Z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9b093b60f26b482989f639c0f4182d1b</vt:lpwstr>
  </property>
</Properties>
</file>