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A99C68" w14:textId="77777777" w:rsidR="003B735C" w:rsidRPr="005415BF" w:rsidRDefault="003B735C" w:rsidP="003B735C">
      <w:pPr>
        <w:autoSpaceDE w:val="0"/>
        <w:autoSpaceDN w:val="0"/>
        <w:adjustRightInd w:val="0"/>
        <w:spacing w:after="0" w:line="240" w:lineRule="auto"/>
        <w:ind w:firstLine="284"/>
        <w:jc w:val="center"/>
        <w:rPr>
          <w:rFonts w:ascii="Garamond" w:hAnsi="Garamond"/>
          <w:b/>
          <w:bCs/>
          <w:color w:val="000000"/>
          <w:szCs w:val="24"/>
        </w:rPr>
      </w:pPr>
      <w:r w:rsidRPr="005415BF">
        <w:rPr>
          <w:rFonts w:ascii="Garamond" w:hAnsi="Garamond"/>
          <w:b/>
          <w:bCs/>
          <w:color w:val="000000"/>
          <w:szCs w:val="24"/>
        </w:rPr>
        <w:t>VENDIM</w:t>
      </w:r>
    </w:p>
    <w:p w14:paraId="77E20211" w14:textId="6F9D1340" w:rsidR="003B735C" w:rsidRPr="005415BF" w:rsidRDefault="003B735C" w:rsidP="003B735C">
      <w:pPr>
        <w:autoSpaceDE w:val="0"/>
        <w:autoSpaceDN w:val="0"/>
        <w:adjustRightInd w:val="0"/>
        <w:spacing w:after="0" w:line="240" w:lineRule="auto"/>
        <w:ind w:firstLine="284"/>
        <w:jc w:val="center"/>
        <w:rPr>
          <w:rFonts w:ascii="Garamond" w:hAnsi="Garamond"/>
          <w:b/>
          <w:bCs/>
          <w:color w:val="000000"/>
          <w:szCs w:val="24"/>
        </w:rPr>
      </w:pPr>
      <w:r w:rsidRPr="005415BF">
        <w:rPr>
          <w:rFonts w:ascii="Garamond" w:hAnsi="Garamond"/>
          <w:b/>
          <w:bCs/>
          <w:color w:val="000000"/>
          <w:szCs w:val="24"/>
        </w:rPr>
        <w:t xml:space="preserve">Nr. 251, </w:t>
      </w:r>
      <w:r w:rsidR="00B2064C" w:rsidRPr="005415BF">
        <w:rPr>
          <w:rFonts w:ascii="Garamond" w:hAnsi="Garamond"/>
          <w:b/>
          <w:bCs/>
          <w:color w:val="000000"/>
          <w:szCs w:val="24"/>
        </w:rPr>
        <w:t>d</w:t>
      </w:r>
      <w:r w:rsidRPr="005415BF">
        <w:rPr>
          <w:rFonts w:ascii="Garamond" w:hAnsi="Garamond"/>
          <w:b/>
          <w:bCs/>
          <w:color w:val="000000"/>
          <w:szCs w:val="24"/>
        </w:rPr>
        <w:t>atë 25.11.2024</w:t>
      </w:r>
    </w:p>
    <w:p w14:paraId="6730E186" w14:textId="77777777" w:rsidR="003B735C" w:rsidRPr="005415BF" w:rsidRDefault="003B735C" w:rsidP="003B735C">
      <w:pPr>
        <w:autoSpaceDE w:val="0"/>
        <w:autoSpaceDN w:val="0"/>
        <w:adjustRightInd w:val="0"/>
        <w:spacing w:after="0" w:line="240" w:lineRule="auto"/>
        <w:ind w:firstLine="284"/>
        <w:jc w:val="center"/>
        <w:rPr>
          <w:rFonts w:ascii="Garamond" w:hAnsi="Garamond"/>
          <w:b/>
          <w:bCs/>
          <w:color w:val="000000"/>
          <w:szCs w:val="24"/>
        </w:rPr>
      </w:pPr>
    </w:p>
    <w:p w14:paraId="37969313" w14:textId="36B9ECEA" w:rsidR="003B735C" w:rsidRPr="005415BF" w:rsidRDefault="003B735C" w:rsidP="00A2064F">
      <w:pPr>
        <w:autoSpaceDE w:val="0"/>
        <w:autoSpaceDN w:val="0"/>
        <w:adjustRightInd w:val="0"/>
        <w:spacing w:after="0" w:line="240" w:lineRule="auto"/>
        <w:jc w:val="center"/>
        <w:rPr>
          <w:rFonts w:ascii="Garamond" w:hAnsi="Garamond"/>
          <w:b/>
          <w:bCs/>
          <w:color w:val="000000"/>
          <w:szCs w:val="24"/>
        </w:rPr>
      </w:pPr>
      <w:r w:rsidRPr="005415BF">
        <w:rPr>
          <w:rFonts w:ascii="Garamond" w:hAnsi="Garamond"/>
          <w:b/>
          <w:bCs/>
          <w:color w:val="000000"/>
          <w:szCs w:val="24"/>
        </w:rPr>
        <w:t>MBI FILLIMIN E PROCEDURËS PËR SHQYRTIMIN E KËRKESËS SË OST SHA PËR MIRATIMIN E RREGULLORES SË ALOKIMIT TË KAPACITETEVE DHE MENAXHIMIT TË KONGJESTIONEVE</w:t>
      </w:r>
    </w:p>
    <w:p w14:paraId="651F89D1" w14:textId="77777777" w:rsidR="003B735C" w:rsidRPr="005415BF" w:rsidRDefault="003B735C" w:rsidP="003B735C">
      <w:pPr>
        <w:autoSpaceDE w:val="0"/>
        <w:autoSpaceDN w:val="0"/>
        <w:adjustRightInd w:val="0"/>
        <w:spacing w:after="0" w:line="240" w:lineRule="auto"/>
        <w:ind w:firstLine="284"/>
        <w:jc w:val="center"/>
        <w:rPr>
          <w:rFonts w:ascii="Garamond" w:hAnsi="Garamond"/>
          <w:b/>
          <w:bCs/>
          <w:color w:val="000000"/>
          <w:szCs w:val="24"/>
        </w:rPr>
      </w:pPr>
    </w:p>
    <w:p w14:paraId="2695086F" w14:textId="24C147CD"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Në mbështetje të neneve 16, 20, 23</w:t>
      </w:r>
      <w:r w:rsidR="00094176">
        <w:rPr>
          <w:rFonts w:ascii="Garamond" w:hAnsi="Garamond"/>
          <w:color w:val="000000"/>
          <w:szCs w:val="24"/>
        </w:rPr>
        <w:t>,</w:t>
      </w:r>
      <w:r w:rsidRPr="005415BF">
        <w:rPr>
          <w:rFonts w:ascii="Garamond" w:hAnsi="Garamond"/>
          <w:color w:val="000000"/>
          <w:szCs w:val="24"/>
        </w:rPr>
        <w:t xml:space="preserve"> </w:t>
      </w:r>
      <w:r w:rsidR="00502935">
        <w:rPr>
          <w:rFonts w:ascii="Garamond" w:hAnsi="Garamond"/>
          <w:color w:val="000000"/>
          <w:szCs w:val="24"/>
        </w:rPr>
        <w:t>germa</w:t>
      </w:r>
      <w:r w:rsidRPr="005415BF">
        <w:rPr>
          <w:rFonts w:ascii="Garamond" w:hAnsi="Garamond"/>
          <w:color w:val="000000"/>
          <w:szCs w:val="24"/>
        </w:rPr>
        <w:t xml:space="preserve"> “b”, 65</w:t>
      </w:r>
      <w:r w:rsidR="00094176">
        <w:rPr>
          <w:rFonts w:ascii="Garamond" w:hAnsi="Garamond"/>
          <w:color w:val="000000"/>
          <w:szCs w:val="24"/>
        </w:rPr>
        <w:t>,</w:t>
      </w:r>
      <w:r w:rsidRPr="005415BF">
        <w:rPr>
          <w:rFonts w:ascii="Garamond" w:hAnsi="Garamond"/>
          <w:color w:val="000000"/>
          <w:szCs w:val="24"/>
        </w:rPr>
        <w:t xml:space="preserve"> pika 1</w:t>
      </w:r>
      <w:r w:rsidR="00094176">
        <w:rPr>
          <w:rFonts w:ascii="Garamond" w:hAnsi="Garamond"/>
          <w:color w:val="000000"/>
          <w:szCs w:val="24"/>
        </w:rPr>
        <w:t>,</w:t>
      </w:r>
      <w:r w:rsidRPr="005415BF">
        <w:rPr>
          <w:rFonts w:ascii="Garamond" w:hAnsi="Garamond"/>
          <w:color w:val="000000"/>
          <w:szCs w:val="24"/>
        </w:rPr>
        <w:t xml:space="preserve"> dhe 66</w:t>
      </w:r>
      <w:r w:rsidR="00094176">
        <w:rPr>
          <w:rFonts w:ascii="Garamond" w:hAnsi="Garamond"/>
          <w:color w:val="000000"/>
          <w:szCs w:val="24"/>
        </w:rPr>
        <w:t>,</w:t>
      </w:r>
      <w:r w:rsidRPr="005415BF">
        <w:rPr>
          <w:rFonts w:ascii="Garamond" w:hAnsi="Garamond"/>
          <w:color w:val="000000"/>
          <w:szCs w:val="24"/>
        </w:rPr>
        <w:t xml:space="preserve"> të ligjit nr. 43/2015</w:t>
      </w:r>
      <w:r w:rsidR="00094176" w:rsidRPr="00094176">
        <w:rPr>
          <w:rFonts w:ascii="Garamond" w:hAnsi="Garamond"/>
          <w:color w:val="000000"/>
          <w:szCs w:val="24"/>
        </w:rPr>
        <w:t>,</w:t>
      </w:r>
      <w:r w:rsidRPr="00094176">
        <w:rPr>
          <w:rFonts w:ascii="Garamond" w:hAnsi="Garamond"/>
          <w:color w:val="000000"/>
          <w:szCs w:val="24"/>
        </w:rPr>
        <w:t xml:space="preserve"> “</w:t>
      </w:r>
      <w:r w:rsidRPr="00094176">
        <w:rPr>
          <w:rFonts w:ascii="Garamond" w:hAnsi="Garamond"/>
          <w:iCs/>
          <w:color w:val="000000"/>
          <w:szCs w:val="24"/>
        </w:rPr>
        <w:t>Për sektorin e energjisë elektrike</w:t>
      </w:r>
      <w:r w:rsidRPr="00094176">
        <w:rPr>
          <w:rFonts w:ascii="Garamond" w:hAnsi="Garamond"/>
          <w:color w:val="000000"/>
          <w:szCs w:val="24"/>
        </w:rPr>
        <w:t>” i ndryshuar; si dhe neneve 15 dhe 26</w:t>
      </w:r>
      <w:r w:rsidR="00094176" w:rsidRPr="00094176">
        <w:rPr>
          <w:rFonts w:ascii="Garamond" w:hAnsi="Garamond"/>
          <w:color w:val="000000"/>
          <w:szCs w:val="24"/>
        </w:rPr>
        <w:t>,</w:t>
      </w:r>
      <w:r w:rsidRPr="00094176">
        <w:rPr>
          <w:rFonts w:ascii="Garamond" w:hAnsi="Garamond"/>
          <w:color w:val="000000"/>
          <w:szCs w:val="24"/>
        </w:rPr>
        <w:t xml:space="preserve"> të </w:t>
      </w:r>
      <w:r w:rsidR="005415BF" w:rsidRPr="00094176">
        <w:rPr>
          <w:rFonts w:ascii="Garamond" w:hAnsi="Garamond"/>
          <w:color w:val="000000"/>
          <w:szCs w:val="24"/>
        </w:rPr>
        <w:t>“</w:t>
      </w:r>
      <w:r w:rsidRPr="00094176">
        <w:rPr>
          <w:rFonts w:ascii="Garamond" w:hAnsi="Garamond"/>
          <w:iCs/>
          <w:color w:val="000000"/>
          <w:szCs w:val="24"/>
        </w:rPr>
        <w:t>Rregullores për organizimin, funksionimin dhe procedurat e ERE-s</w:t>
      </w:r>
      <w:r w:rsidR="005415BF" w:rsidRPr="00094176">
        <w:rPr>
          <w:rFonts w:ascii="Garamond" w:hAnsi="Garamond"/>
          <w:iCs/>
          <w:color w:val="000000"/>
          <w:szCs w:val="24"/>
        </w:rPr>
        <w:t>”</w:t>
      </w:r>
      <w:r w:rsidRPr="00094176">
        <w:rPr>
          <w:rFonts w:ascii="Garamond" w:hAnsi="Garamond"/>
          <w:color w:val="000000"/>
          <w:szCs w:val="24"/>
        </w:rPr>
        <w:t xml:space="preserve">, miratuar me vendimin e </w:t>
      </w:r>
      <w:r w:rsidR="005415BF" w:rsidRPr="00094176">
        <w:rPr>
          <w:rFonts w:ascii="Garamond" w:hAnsi="Garamond"/>
          <w:color w:val="000000"/>
          <w:szCs w:val="24"/>
        </w:rPr>
        <w:t xml:space="preserve">Bordit </w:t>
      </w:r>
      <w:r w:rsidRPr="00094176">
        <w:rPr>
          <w:rFonts w:ascii="Garamond" w:hAnsi="Garamond"/>
          <w:color w:val="000000"/>
          <w:szCs w:val="24"/>
        </w:rPr>
        <w:t xml:space="preserve">të Entit Rregullator të Energjisë (ERE) nr. 96, datë 17.6.2016; Bordi i ERE-s, në mbledhjen e tij të datës 25.11.2024, pasi shqyrtoi relacionin me nr. 2028/1 prot., datë 21.11.2024, të përgatitur nga </w:t>
      </w:r>
      <w:r w:rsidR="00094176" w:rsidRPr="00094176">
        <w:rPr>
          <w:rFonts w:ascii="Garamond" w:hAnsi="Garamond"/>
          <w:color w:val="000000"/>
          <w:szCs w:val="24"/>
        </w:rPr>
        <w:t xml:space="preserve">drejtoritë teknike </w:t>
      </w:r>
      <w:r w:rsidRPr="00094176">
        <w:rPr>
          <w:rFonts w:ascii="Garamond" w:hAnsi="Garamond"/>
          <w:color w:val="000000"/>
          <w:szCs w:val="24"/>
        </w:rPr>
        <w:t>“</w:t>
      </w:r>
      <w:r w:rsidRPr="00094176">
        <w:rPr>
          <w:rFonts w:ascii="Garamond" w:hAnsi="Garamond"/>
          <w:iCs/>
          <w:color w:val="000000"/>
          <w:szCs w:val="24"/>
        </w:rPr>
        <w:t xml:space="preserve">Mbi fillimin e procedurës për shqyrtimin e </w:t>
      </w:r>
      <w:r w:rsidR="00094176" w:rsidRPr="00094176">
        <w:rPr>
          <w:rFonts w:ascii="Garamond" w:hAnsi="Garamond"/>
          <w:iCs/>
          <w:color w:val="000000"/>
          <w:szCs w:val="24"/>
        </w:rPr>
        <w:t>k</w:t>
      </w:r>
      <w:r w:rsidRPr="00094176">
        <w:rPr>
          <w:rFonts w:ascii="Garamond" w:hAnsi="Garamond"/>
          <w:iCs/>
          <w:color w:val="000000"/>
          <w:szCs w:val="24"/>
        </w:rPr>
        <w:t xml:space="preserve">ërkesës së OST sh.a. për miratimin e </w:t>
      </w:r>
      <w:r w:rsidR="00094176" w:rsidRPr="00094176">
        <w:rPr>
          <w:rFonts w:ascii="Garamond" w:hAnsi="Garamond"/>
          <w:iCs/>
          <w:color w:val="000000"/>
          <w:szCs w:val="24"/>
        </w:rPr>
        <w:t>rregullores së alokimit të kapaciteteve dhe menaxhimit të kongjestioneve</w:t>
      </w:r>
      <w:r w:rsidRPr="00094176">
        <w:rPr>
          <w:rFonts w:ascii="Garamond" w:hAnsi="Garamond"/>
          <w:iCs/>
          <w:color w:val="000000"/>
          <w:szCs w:val="24"/>
        </w:rPr>
        <w:t xml:space="preserve">”, </w:t>
      </w:r>
    </w:p>
    <w:p w14:paraId="1E1F7C50" w14:textId="77777777" w:rsidR="003B735C" w:rsidRPr="005415BF" w:rsidRDefault="003B735C" w:rsidP="003B735C">
      <w:pPr>
        <w:autoSpaceDE w:val="0"/>
        <w:autoSpaceDN w:val="0"/>
        <w:adjustRightInd w:val="0"/>
        <w:spacing w:after="0" w:line="240" w:lineRule="auto"/>
        <w:ind w:firstLine="284"/>
        <w:rPr>
          <w:rFonts w:ascii="Garamond" w:hAnsi="Garamond"/>
          <w:bCs/>
          <w:color w:val="000000"/>
          <w:szCs w:val="24"/>
        </w:rPr>
      </w:pPr>
      <w:r w:rsidRPr="005415BF">
        <w:rPr>
          <w:rFonts w:ascii="Garamond" w:hAnsi="Garamond"/>
          <w:bCs/>
          <w:color w:val="000000"/>
          <w:szCs w:val="24"/>
        </w:rPr>
        <w:t>Konstatoi se:</w:t>
      </w:r>
    </w:p>
    <w:p w14:paraId="38F0CD79" w14:textId="149E45B1" w:rsidR="003B735C" w:rsidRPr="00466DD0"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Shoqëria OST sh.a.</w:t>
      </w:r>
      <w:r w:rsidR="00466DD0">
        <w:rPr>
          <w:rFonts w:ascii="Garamond" w:hAnsi="Garamond"/>
          <w:color w:val="000000"/>
          <w:szCs w:val="24"/>
        </w:rPr>
        <w:t>,</w:t>
      </w:r>
      <w:r w:rsidRPr="005415BF">
        <w:rPr>
          <w:rFonts w:ascii="Garamond" w:hAnsi="Garamond"/>
          <w:color w:val="000000"/>
          <w:szCs w:val="24"/>
        </w:rPr>
        <w:t xml:space="preserve"> me shkresën nr. 6532 prot., datë 30.9.2024, protokolluar me tonën me nr. 2028 prot., datë 2.10.2024, ka depozituar kërkesën për miratimin e </w:t>
      </w:r>
      <w:r w:rsidRPr="00466DD0">
        <w:rPr>
          <w:rFonts w:ascii="Garamond" w:hAnsi="Garamond"/>
          <w:color w:val="000000"/>
          <w:szCs w:val="24"/>
        </w:rPr>
        <w:t>“</w:t>
      </w:r>
      <w:r w:rsidRPr="00466DD0">
        <w:rPr>
          <w:rFonts w:ascii="Garamond" w:hAnsi="Garamond"/>
          <w:iCs/>
          <w:color w:val="000000"/>
          <w:szCs w:val="24"/>
        </w:rPr>
        <w:t>Rregullores për alokimin e kapaciteteve dhe menaxhimit të kongjestioneve</w:t>
      </w:r>
      <w:r w:rsidRPr="00466DD0">
        <w:rPr>
          <w:rFonts w:ascii="Garamond" w:hAnsi="Garamond"/>
          <w:color w:val="000000"/>
          <w:szCs w:val="24"/>
        </w:rPr>
        <w:t xml:space="preserve">”. </w:t>
      </w:r>
    </w:p>
    <w:p w14:paraId="7D29F283" w14:textId="4BE0A391" w:rsidR="003B735C" w:rsidRPr="007F4FCE" w:rsidRDefault="003B735C" w:rsidP="003B735C">
      <w:pPr>
        <w:autoSpaceDE w:val="0"/>
        <w:autoSpaceDN w:val="0"/>
        <w:adjustRightInd w:val="0"/>
        <w:spacing w:after="0" w:line="240" w:lineRule="auto"/>
        <w:ind w:firstLine="284"/>
        <w:rPr>
          <w:rFonts w:ascii="Garamond" w:hAnsi="Garamond"/>
          <w:i/>
          <w:iCs/>
          <w:color w:val="000000"/>
          <w:szCs w:val="24"/>
        </w:rPr>
      </w:pPr>
      <w:r w:rsidRPr="005415BF">
        <w:rPr>
          <w:rFonts w:ascii="Garamond" w:hAnsi="Garamond"/>
          <w:color w:val="000000"/>
          <w:szCs w:val="24"/>
        </w:rPr>
        <w:t>- Shoqëria OST sh.a</w:t>
      </w:r>
      <w:r w:rsidR="00466DD0">
        <w:rPr>
          <w:rFonts w:ascii="Garamond" w:hAnsi="Garamond"/>
          <w:color w:val="000000"/>
          <w:szCs w:val="24"/>
        </w:rPr>
        <w:t>.</w:t>
      </w:r>
      <w:r w:rsidRPr="005415BF">
        <w:rPr>
          <w:rFonts w:ascii="Garamond" w:hAnsi="Garamond"/>
          <w:color w:val="000000"/>
          <w:szCs w:val="24"/>
        </w:rPr>
        <w:t>, në shkresën e sipërcituar</w:t>
      </w:r>
      <w:r w:rsidR="00466DD0">
        <w:rPr>
          <w:rFonts w:ascii="Garamond" w:hAnsi="Garamond"/>
          <w:color w:val="000000"/>
          <w:szCs w:val="24"/>
        </w:rPr>
        <w:t>,</w:t>
      </w:r>
      <w:r w:rsidRPr="005415BF">
        <w:rPr>
          <w:rFonts w:ascii="Garamond" w:hAnsi="Garamond"/>
          <w:color w:val="000000"/>
          <w:szCs w:val="24"/>
        </w:rPr>
        <w:t xml:space="preserve"> ndër të tjera</w:t>
      </w:r>
      <w:r w:rsidR="00466DD0">
        <w:rPr>
          <w:rFonts w:ascii="Garamond" w:hAnsi="Garamond"/>
          <w:color w:val="000000"/>
          <w:szCs w:val="24"/>
        </w:rPr>
        <w:t>,</w:t>
      </w:r>
      <w:r w:rsidRPr="005415BF">
        <w:rPr>
          <w:rFonts w:ascii="Garamond" w:hAnsi="Garamond"/>
          <w:color w:val="000000"/>
          <w:szCs w:val="24"/>
        </w:rPr>
        <w:t xml:space="preserve"> sqaron se: “</w:t>
      </w:r>
      <w:r w:rsidRPr="005415BF">
        <w:rPr>
          <w:rFonts w:ascii="Garamond" w:hAnsi="Garamond"/>
          <w:i/>
          <w:iCs/>
          <w:color w:val="000000"/>
          <w:szCs w:val="24"/>
        </w:rPr>
        <w:t xml:space="preserve">Këshilli </w:t>
      </w:r>
      <w:r w:rsidRPr="007F4FCE">
        <w:rPr>
          <w:rFonts w:ascii="Garamond" w:hAnsi="Garamond"/>
          <w:i/>
          <w:iCs/>
          <w:color w:val="000000"/>
          <w:szCs w:val="24"/>
        </w:rPr>
        <w:t>Ministeror i Komunitetit të Energjisë në takimin e datës 14</w:t>
      </w:r>
      <w:r w:rsidR="00466DD0" w:rsidRPr="007F4FCE">
        <w:rPr>
          <w:rFonts w:ascii="Garamond" w:hAnsi="Garamond"/>
          <w:i/>
          <w:iCs/>
          <w:color w:val="000000"/>
          <w:szCs w:val="24"/>
        </w:rPr>
        <w:t>–</w:t>
      </w:r>
      <w:r w:rsidRPr="007F4FCE">
        <w:rPr>
          <w:rFonts w:ascii="Garamond" w:hAnsi="Garamond"/>
          <w:i/>
          <w:iCs/>
          <w:color w:val="000000"/>
          <w:szCs w:val="24"/>
        </w:rPr>
        <w:t>15</w:t>
      </w:r>
      <w:r w:rsidR="00466DD0" w:rsidRPr="007F4FCE">
        <w:rPr>
          <w:rFonts w:ascii="Garamond" w:hAnsi="Garamond"/>
          <w:i/>
          <w:iCs/>
          <w:color w:val="000000"/>
          <w:szCs w:val="24"/>
        </w:rPr>
        <w:t xml:space="preserve"> d</w:t>
      </w:r>
      <w:r w:rsidRPr="007F4FCE">
        <w:rPr>
          <w:rFonts w:ascii="Garamond" w:hAnsi="Garamond"/>
          <w:i/>
          <w:iCs/>
          <w:color w:val="000000"/>
          <w:szCs w:val="24"/>
        </w:rPr>
        <w:t xml:space="preserve">hjetor 2022, ka miratuar vendimin për plotësimin e “Paketës së </w:t>
      </w:r>
      <w:r w:rsidR="00466DD0" w:rsidRPr="007F4FCE">
        <w:rPr>
          <w:rFonts w:ascii="Garamond" w:hAnsi="Garamond"/>
          <w:i/>
          <w:iCs/>
          <w:color w:val="000000"/>
          <w:szCs w:val="24"/>
        </w:rPr>
        <w:t>energjisë së pastër</w:t>
      </w:r>
      <w:r w:rsidRPr="007F4FCE">
        <w:rPr>
          <w:rFonts w:ascii="Garamond" w:hAnsi="Garamond"/>
          <w:i/>
          <w:iCs/>
          <w:color w:val="000000"/>
          <w:szCs w:val="24"/>
        </w:rPr>
        <w:t xml:space="preserve">” për energjinë elektrike duke amenduar një sërë aktesh të cituara në këtë shkresë. Zbatimi i kësaj pakete do të krijojë përfitime të rëndësishme për Palët Kontraktuese dhe do të lehtësojë integrimin dhe tregtimin e energjisë elektrike të gjeneruar nga burimet e rinovueshme. Këshilli Ministeror ka theksuar rëndësinë e kësaj pakete për integrimin e plotë të tregjeve të energjisë elektrike të Palëve Kontraktuese në sistemet evropiane dhe rajonale të krijuara në Bashkimin Evropian. Në vijim të Strategjisë së Implementimit dhe Transpozimit të dakordësuar ndërmjet Bankës Botërore (nëpërmjet asistencës teknike të konsulentit OMNIA gmbh) dhe OST sh.a., në bashkëpunimin edhe me ALPEX sh.a. dhe grupit lokal të konsulencës është përgatitur drafti i “Rregullores së </w:t>
      </w:r>
      <w:r w:rsidR="00466DD0" w:rsidRPr="007F4FCE">
        <w:rPr>
          <w:rFonts w:ascii="Garamond" w:hAnsi="Garamond"/>
          <w:i/>
          <w:iCs/>
          <w:color w:val="000000"/>
          <w:szCs w:val="24"/>
        </w:rPr>
        <w:t>alokimit të kapaciteteve dhe menaxhimit të kongjestionev</w:t>
      </w:r>
      <w:r w:rsidRPr="007F4FCE">
        <w:rPr>
          <w:rFonts w:ascii="Garamond" w:hAnsi="Garamond"/>
          <w:i/>
          <w:iCs/>
          <w:color w:val="000000"/>
          <w:szCs w:val="24"/>
        </w:rPr>
        <w:t>e”.</w:t>
      </w:r>
    </w:p>
    <w:p w14:paraId="18F7E2E8" w14:textId="6DF55253"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7F4FCE">
        <w:rPr>
          <w:rFonts w:ascii="Garamond" w:hAnsi="Garamond"/>
          <w:color w:val="000000"/>
          <w:szCs w:val="24"/>
        </w:rPr>
        <w:t xml:space="preserve">- </w:t>
      </w:r>
      <w:r w:rsidR="00466DD0" w:rsidRPr="007F4FCE">
        <w:rPr>
          <w:rFonts w:ascii="Garamond" w:hAnsi="Garamond"/>
          <w:color w:val="000000"/>
          <w:szCs w:val="24"/>
        </w:rPr>
        <w:t>“</w:t>
      </w:r>
      <w:r w:rsidRPr="007F4FCE">
        <w:rPr>
          <w:rFonts w:ascii="Garamond" w:hAnsi="Garamond"/>
          <w:color w:val="000000"/>
          <w:szCs w:val="24"/>
        </w:rPr>
        <w:t xml:space="preserve">Rregullorja e </w:t>
      </w:r>
      <w:r w:rsidR="00466DD0" w:rsidRPr="007F4FCE">
        <w:rPr>
          <w:rFonts w:ascii="Garamond" w:hAnsi="Garamond"/>
          <w:color w:val="000000"/>
          <w:szCs w:val="24"/>
        </w:rPr>
        <w:t>alokimit të kapaciteteve dhe menaxhimit të kongjestioneve”</w:t>
      </w:r>
      <w:r w:rsidRPr="007F4FCE">
        <w:rPr>
          <w:rFonts w:ascii="Garamond" w:hAnsi="Garamond"/>
          <w:color w:val="000000"/>
          <w:szCs w:val="24"/>
        </w:rPr>
        <w:t xml:space="preserve"> (CACM) është një dokument që përcakton udhëzime dhe rregulla të harmonizuara për alokimin e kapaciteteve ndërzonal</w:t>
      </w:r>
      <w:r w:rsidR="00D105F3" w:rsidRPr="007F4FCE">
        <w:rPr>
          <w:rFonts w:ascii="Garamond" w:hAnsi="Garamond"/>
          <w:color w:val="000000"/>
          <w:szCs w:val="24"/>
        </w:rPr>
        <w:t>e</w:t>
      </w:r>
      <w:r w:rsidRPr="007F4FCE">
        <w:rPr>
          <w:rFonts w:ascii="Garamond" w:hAnsi="Garamond"/>
          <w:color w:val="000000"/>
          <w:szCs w:val="24"/>
        </w:rPr>
        <w:t xml:space="preserve"> dhe menaxhimin e kongjestioneve në tregjet e energjisë elektrike. Ajo transpozon </w:t>
      </w:r>
      <w:r w:rsidR="00D105F3" w:rsidRPr="007F4FCE">
        <w:rPr>
          <w:rFonts w:ascii="Garamond" w:hAnsi="Garamond"/>
          <w:color w:val="000000"/>
          <w:szCs w:val="24"/>
        </w:rPr>
        <w:t>r</w:t>
      </w:r>
      <w:r w:rsidRPr="007F4FCE">
        <w:rPr>
          <w:rFonts w:ascii="Garamond" w:hAnsi="Garamond"/>
          <w:color w:val="000000"/>
          <w:szCs w:val="24"/>
        </w:rPr>
        <w:t>regulloren (BE) 2015/1222 (</w:t>
      </w:r>
      <w:r w:rsidR="00D105F3" w:rsidRPr="007F4FCE">
        <w:rPr>
          <w:rFonts w:ascii="Garamond" w:hAnsi="Garamond"/>
          <w:color w:val="000000"/>
          <w:szCs w:val="24"/>
        </w:rPr>
        <w:t>r</w:t>
      </w:r>
      <w:r w:rsidRPr="007F4FCE">
        <w:rPr>
          <w:rFonts w:ascii="Garamond" w:hAnsi="Garamond"/>
          <w:color w:val="000000"/>
          <w:szCs w:val="24"/>
        </w:rPr>
        <w:t xml:space="preserve">regullorja e Komisionit (BE) 2015/1222, datë 24 </w:t>
      </w:r>
      <w:r w:rsidR="00D105F3" w:rsidRPr="007F4FCE">
        <w:rPr>
          <w:rFonts w:ascii="Garamond" w:hAnsi="Garamond"/>
          <w:color w:val="000000"/>
          <w:szCs w:val="24"/>
        </w:rPr>
        <w:t>k</w:t>
      </w:r>
      <w:r w:rsidRPr="007F4FCE">
        <w:rPr>
          <w:rFonts w:ascii="Garamond" w:hAnsi="Garamond"/>
          <w:color w:val="000000"/>
          <w:szCs w:val="24"/>
        </w:rPr>
        <w:t>orrik 2015, për miratimin e një udhëzimi mbi ndarjen e kapaciteteve dhe menaxhimin e mbingarkesës) dhe është në përputhje me vendimet e Këshillit Ministror të Komunitetit të Energjisë, duke synuar integrimin e tregjeve të energjisë elektrike të Ballkanit Perëndimor me ato të Bashkimit Evropian.</w:t>
      </w:r>
    </w:p>
    <w:p w14:paraId="78C8A95B" w14:textId="670FBF87"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Qëllimi i rregullores është të krijojë kushtet për lehtësimin e tregtimit të energjisë elektrike në të gjithë Bashkimin Evropian dhe tashmë edhe në vendet e Komunitetit të Energjisë, të mundësojë përdorimin më efikas të rrjeti</w:t>
      </w:r>
      <w:r w:rsidR="00F61C1E">
        <w:rPr>
          <w:rFonts w:ascii="Garamond" w:hAnsi="Garamond"/>
          <w:color w:val="000000"/>
          <w:szCs w:val="24"/>
        </w:rPr>
        <w:t>t</w:t>
      </w:r>
      <w:r w:rsidRPr="005415BF">
        <w:rPr>
          <w:rFonts w:ascii="Garamond" w:hAnsi="Garamond"/>
          <w:color w:val="000000"/>
          <w:szCs w:val="24"/>
        </w:rPr>
        <w:t xml:space="preserve"> dhe të ndikojë në rritjen e konkurrencës në përfitim të konsumatorëve të të gjitha kategorive.</w:t>
      </w:r>
    </w:p>
    <w:p w14:paraId="45160869" w14:textId="40C0BF7C"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xml:space="preserve">- Objektivat e </w:t>
      </w:r>
      <w:r w:rsidR="00595160">
        <w:rPr>
          <w:rFonts w:ascii="Garamond" w:hAnsi="Garamond"/>
          <w:color w:val="000000"/>
          <w:szCs w:val="24"/>
        </w:rPr>
        <w:t>“</w:t>
      </w:r>
      <w:r w:rsidRPr="005415BF">
        <w:rPr>
          <w:rFonts w:ascii="Garamond" w:hAnsi="Garamond"/>
          <w:color w:val="000000"/>
          <w:szCs w:val="24"/>
        </w:rPr>
        <w:t xml:space="preserve">Rregullores së </w:t>
      </w:r>
      <w:r w:rsidR="00595160" w:rsidRPr="005415BF">
        <w:rPr>
          <w:rFonts w:ascii="Garamond" w:hAnsi="Garamond"/>
          <w:color w:val="000000"/>
          <w:szCs w:val="24"/>
        </w:rPr>
        <w:t>alokimit të kapaciteteve dhe menaxhimit të kongjestioneve</w:t>
      </w:r>
      <w:r w:rsidR="00595160">
        <w:rPr>
          <w:rFonts w:ascii="Garamond" w:hAnsi="Garamond"/>
          <w:color w:val="000000"/>
          <w:szCs w:val="24"/>
        </w:rPr>
        <w:t>”</w:t>
      </w:r>
      <w:r w:rsidR="00595160" w:rsidRPr="005415BF">
        <w:rPr>
          <w:rFonts w:ascii="Garamond" w:hAnsi="Garamond"/>
          <w:color w:val="000000"/>
          <w:szCs w:val="24"/>
        </w:rPr>
        <w:t xml:space="preserve"> </w:t>
      </w:r>
      <w:r w:rsidRPr="005415BF">
        <w:rPr>
          <w:rFonts w:ascii="Garamond" w:hAnsi="Garamond"/>
          <w:color w:val="000000"/>
          <w:szCs w:val="24"/>
        </w:rPr>
        <w:t xml:space="preserve">janë të përshkruara në </w:t>
      </w:r>
      <w:r w:rsidR="00595160">
        <w:rPr>
          <w:rFonts w:ascii="Garamond" w:hAnsi="Garamond"/>
          <w:color w:val="000000"/>
          <w:szCs w:val="24"/>
        </w:rPr>
        <w:t>n</w:t>
      </w:r>
      <w:r w:rsidRPr="005415BF">
        <w:rPr>
          <w:rFonts w:ascii="Garamond" w:hAnsi="Garamond"/>
          <w:color w:val="000000"/>
          <w:szCs w:val="24"/>
        </w:rPr>
        <w:t>enin 3 të saj. At</w:t>
      </w:r>
      <w:r w:rsidR="00AA7614">
        <w:rPr>
          <w:rFonts w:ascii="Garamond" w:hAnsi="Garamond"/>
          <w:color w:val="000000"/>
          <w:szCs w:val="24"/>
        </w:rPr>
        <w:t>a</w:t>
      </w:r>
      <w:r w:rsidRPr="005415BF">
        <w:rPr>
          <w:rFonts w:ascii="Garamond" w:hAnsi="Garamond"/>
          <w:color w:val="000000"/>
          <w:szCs w:val="24"/>
        </w:rPr>
        <w:t xml:space="preserve"> përfshijnë: </w:t>
      </w:r>
    </w:p>
    <w:p w14:paraId="794D83D3" w14:textId="04EE0CB2"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xml:space="preserve">- </w:t>
      </w:r>
      <w:r w:rsidR="00CB2C8F" w:rsidRPr="005415BF">
        <w:rPr>
          <w:rFonts w:ascii="Garamond" w:hAnsi="Garamond"/>
          <w:color w:val="000000"/>
          <w:szCs w:val="24"/>
        </w:rPr>
        <w:t xml:space="preserve">promovimi </w:t>
      </w:r>
      <w:r w:rsidRPr="005415BF">
        <w:rPr>
          <w:rFonts w:ascii="Garamond" w:hAnsi="Garamond"/>
          <w:color w:val="000000"/>
          <w:szCs w:val="24"/>
        </w:rPr>
        <w:t xml:space="preserve">i konkurrencës efektive në prodhimin, tregtimin dhe furnizimin me energji elektrike; </w:t>
      </w:r>
    </w:p>
    <w:p w14:paraId="2DC73422" w14:textId="0B52DAF6"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xml:space="preserve">- </w:t>
      </w:r>
      <w:r w:rsidR="00CB2C8F" w:rsidRPr="005415BF">
        <w:rPr>
          <w:rFonts w:ascii="Garamond" w:hAnsi="Garamond"/>
          <w:color w:val="000000"/>
          <w:szCs w:val="24"/>
        </w:rPr>
        <w:t xml:space="preserve">sigurimi </w:t>
      </w:r>
      <w:r w:rsidRPr="005415BF">
        <w:rPr>
          <w:rFonts w:ascii="Garamond" w:hAnsi="Garamond"/>
          <w:color w:val="000000"/>
          <w:szCs w:val="24"/>
        </w:rPr>
        <w:t xml:space="preserve">i përdorimit optimal të infrastrukturës së transmetimit. Garancia për sigurinë e operimit të rrjetit elektroenergjetik; </w:t>
      </w:r>
    </w:p>
    <w:p w14:paraId="4E27C734" w14:textId="2A4DDD49"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xml:space="preserve">- </w:t>
      </w:r>
      <w:r w:rsidR="00CB2C8F" w:rsidRPr="005415BF">
        <w:rPr>
          <w:rFonts w:ascii="Garamond" w:hAnsi="Garamond"/>
          <w:color w:val="000000"/>
          <w:szCs w:val="24"/>
        </w:rPr>
        <w:t xml:space="preserve">optimizimi </w:t>
      </w:r>
      <w:r w:rsidRPr="005415BF">
        <w:rPr>
          <w:rFonts w:ascii="Garamond" w:hAnsi="Garamond"/>
          <w:color w:val="000000"/>
          <w:szCs w:val="24"/>
        </w:rPr>
        <w:t xml:space="preserve">i llogaritjes dhe alokimit të kapacitetit ndërzonal; </w:t>
      </w:r>
    </w:p>
    <w:p w14:paraId="67120156" w14:textId="5B9FA9BE"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xml:space="preserve">- </w:t>
      </w:r>
      <w:r w:rsidR="00CB2C8F" w:rsidRPr="005415BF">
        <w:rPr>
          <w:rFonts w:ascii="Garamond" w:hAnsi="Garamond"/>
          <w:color w:val="000000"/>
          <w:szCs w:val="24"/>
        </w:rPr>
        <w:t xml:space="preserve">sigurimi </w:t>
      </w:r>
      <w:r w:rsidRPr="005415BF">
        <w:rPr>
          <w:rFonts w:ascii="Garamond" w:hAnsi="Garamond"/>
          <w:color w:val="000000"/>
          <w:szCs w:val="24"/>
        </w:rPr>
        <w:t>i trajtimit të barabartë dhe mosdiskriminues për të gjithë operatorët e sistemit të transmetimit (OST), tregtarët e energjisë (NEMO-t), rregullatorët dhe pjesëmarrësit e tregut;</w:t>
      </w:r>
    </w:p>
    <w:p w14:paraId="38CA2C37" w14:textId="7D240307"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xml:space="preserve">- </w:t>
      </w:r>
      <w:r w:rsidR="00CB2C8F" w:rsidRPr="005415BF">
        <w:rPr>
          <w:rFonts w:ascii="Garamond" w:hAnsi="Garamond"/>
          <w:color w:val="000000"/>
          <w:szCs w:val="24"/>
        </w:rPr>
        <w:t xml:space="preserve">rritja </w:t>
      </w:r>
      <w:r w:rsidRPr="005415BF">
        <w:rPr>
          <w:rFonts w:ascii="Garamond" w:hAnsi="Garamond"/>
          <w:color w:val="000000"/>
          <w:szCs w:val="24"/>
        </w:rPr>
        <w:t xml:space="preserve">e transparencës dhe besueshmërisë së informacionit; </w:t>
      </w:r>
    </w:p>
    <w:p w14:paraId="3F0F0A01" w14:textId="4AEB7C7D"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lastRenderedPageBreak/>
        <w:t xml:space="preserve">- </w:t>
      </w:r>
      <w:r w:rsidR="00CB2C8F" w:rsidRPr="005415BF">
        <w:rPr>
          <w:rFonts w:ascii="Garamond" w:hAnsi="Garamond"/>
          <w:color w:val="000000"/>
          <w:szCs w:val="24"/>
        </w:rPr>
        <w:t xml:space="preserve">mbështetja </w:t>
      </w:r>
      <w:r w:rsidRPr="005415BF">
        <w:rPr>
          <w:rFonts w:ascii="Garamond" w:hAnsi="Garamond"/>
          <w:color w:val="000000"/>
          <w:szCs w:val="24"/>
        </w:rPr>
        <w:t xml:space="preserve">për zhvillimin afatgjatë të sektorit të energjisë në Komunitetin e Energjisë; </w:t>
      </w:r>
    </w:p>
    <w:p w14:paraId="3EFFA1E7" w14:textId="7D1691AE"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xml:space="preserve">- </w:t>
      </w:r>
      <w:r w:rsidR="00CB2C8F" w:rsidRPr="005415BF">
        <w:rPr>
          <w:rFonts w:ascii="Garamond" w:hAnsi="Garamond"/>
          <w:color w:val="000000"/>
          <w:szCs w:val="24"/>
        </w:rPr>
        <w:t xml:space="preserve">respektimi </w:t>
      </w:r>
      <w:r w:rsidRPr="005415BF">
        <w:rPr>
          <w:rFonts w:ascii="Garamond" w:hAnsi="Garamond"/>
          <w:color w:val="000000"/>
          <w:szCs w:val="24"/>
        </w:rPr>
        <w:t xml:space="preserve">i kërkesave për një treg të drejtë dhe të rregullt për formimin e çmimeve të energjisë; </w:t>
      </w:r>
    </w:p>
    <w:p w14:paraId="6FF2F714" w14:textId="25EC3496"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xml:space="preserve">- </w:t>
      </w:r>
      <w:r w:rsidR="00CB2C8F" w:rsidRPr="005415BF">
        <w:rPr>
          <w:rFonts w:ascii="Garamond" w:hAnsi="Garamond"/>
          <w:color w:val="000000"/>
          <w:szCs w:val="24"/>
        </w:rPr>
        <w:t>ofri</w:t>
      </w:r>
      <w:bookmarkStart w:id="0" w:name="_GoBack"/>
      <w:bookmarkEnd w:id="0"/>
      <w:r w:rsidR="00CB2C8F" w:rsidRPr="005415BF">
        <w:rPr>
          <w:rFonts w:ascii="Garamond" w:hAnsi="Garamond"/>
          <w:color w:val="000000"/>
          <w:szCs w:val="24"/>
        </w:rPr>
        <w:t xml:space="preserve">mi </w:t>
      </w:r>
      <w:r w:rsidRPr="005415BF">
        <w:rPr>
          <w:rFonts w:ascii="Garamond" w:hAnsi="Garamond"/>
          <w:color w:val="000000"/>
          <w:szCs w:val="24"/>
        </w:rPr>
        <w:t>i kushteve mosdiskriminuese për aksesin në kapacitetin ndërzonal</w:t>
      </w:r>
      <w:r w:rsidR="00C64F35">
        <w:rPr>
          <w:rFonts w:ascii="Garamond" w:hAnsi="Garamond"/>
          <w:color w:val="000000"/>
          <w:szCs w:val="24"/>
        </w:rPr>
        <w:t>;</w:t>
      </w:r>
    </w:p>
    <w:p w14:paraId="5B8EC5E1" w14:textId="04C95F17"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Rezulton se rregullorja parashikon detyra për pjesëmarrësit e tregut, duke përfshirë llogaritjen e kapacitetit, menaxhimin e kufizimeve të alokimit, implementimin e metodologjive për bashkimin e tregjeve të energjisë dhe ofrimin e transparencës së informacionit.</w:t>
      </w:r>
    </w:p>
    <w:p w14:paraId="2B28AD69" w14:textId="32101C47"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Për sa më sipër</w:t>
      </w:r>
      <w:r w:rsidR="00C64F35">
        <w:rPr>
          <w:rFonts w:ascii="Garamond" w:hAnsi="Garamond"/>
          <w:color w:val="000000"/>
          <w:szCs w:val="24"/>
        </w:rPr>
        <w:t>,</w:t>
      </w:r>
      <w:r w:rsidRPr="005415BF">
        <w:rPr>
          <w:rFonts w:ascii="Garamond" w:hAnsi="Garamond"/>
          <w:color w:val="000000"/>
          <w:szCs w:val="24"/>
        </w:rPr>
        <w:t xml:space="preserve"> vlerësohet që ERE të zhvillojë seanca dëgjimore për të sqaruar arsyen e këtij propozimi dhe shqyrtimin e kërkesës për miratimin e rregullores</w:t>
      </w:r>
      <w:r w:rsidR="00C64F35">
        <w:rPr>
          <w:rFonts w:ascii="Garamond" w:hAnsi="Garamond"/>
          <w:color w:val="000000"/>
          <w:szCs w:val="24"/>
        </w:rPr>
        <w:t>,</w:t>
      </w:r>
      <w:r w:rsidRPr="005415BF">
        <w:rPr>
          <w:rFonts w:ascii="Garamond" w:hAnsi="Garamond"/>
          <w:color w:val="000000"/>
          <w:szCs w:val="24"/>
        </w:rPr>
        <w:t xml:space="preserve"> duke përfshirë dhe konsultimin publik me palët e interesuara.</w:t>
      </w:r>
    </w:p>
    <w:p w14:paraId="3058AB59" w14:textId="38733A04"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xml:space="preserve">Për gjithë sa më sipër, </w:t>
      </w:r>
      <w:r w:rsidR="00C64F35" w:rsidRPr="005415BF">
        <w:rPr>
          <w:rFonts w:ascii="Garamond" w:hAnsi="Garamond"/>
          <w:color w:val="000000"/>
          <w:szCs w:val="24"/>
        </w:rPr>
        <w:t xml:space="preserve">Bordi </w:t>
      </w:r>
      <w:r w:rsidRPr="005415BF">
        <w:rPr>
          <w:rFonts w:ascii="Garamond" w:hAnsi="Garamond"/>
          <w:color w:val="000000"/>
          <w:szCs w:val="24"/>
        </w:rPr>
        <w:t xml:space="preserve">i ERE-s </w:t>
      </w:r>
    </w:p>
    <w:p w14:paraId="111850E9" w14:textId="77777777" w:rsidR="00B2064C" w:rsidRPr="005415BF" w:rsidRDefault="00B2064C" w:rsidP="003B735C">
      <w:pPr>
        <w:autoSpaceDE w:val="0"/>
        <w:autoSpaceDN w:val="0"/>
        <w:adjustRightInd w:val="0"/>
        <w:spacing w:after="0" w:line="240" w:lineRule="auto"/>
        <w:ind w:firstLine="284"/>
        <w:jc w:val="center"/>
        <w:rPr>
          <w:rFonts w:ascii="Garamond" w:hAnsi="Garamond"/>
          <w:bCs/>
          <w:color w:val="000000"/>
          <w:szCs w:val="24"/>
        </w:rPr>
      </w:pPr>
    </w:p>
    <w:p w14:paraId="54B252D7" w14:textId="77F8711D" w:rsidR="003B735C" w:rsidRPr="005415BF" w:rsidRDefault="003B735C" w:rsidP="003B735C">
      <w:pPr>
        <w:autoSpaceDE w:val="0"/>
        <w:autoSpaceDN w:val="0"/>
        <w:adjustRightInd w:val="0"/>
        <w:spacing w:after="0" w:line="240" w:lineRule="auto"/>
        <w:ind w:firstLine="284"/>
        <w:jc w:val="center"/>
        <w:rPr>
          <w:rFonts w:ascii="Garamond" w:hAnsi="Garamond"/>
          <w:bCs/>
          <w:color w:val="000000"/>
          <w:szCs w:val="24"/>
        </w:rPr>
      </w:pPr>
      <w:r w:rsidRPr="005415BF">
        <w:rPr>
          <w:rFonts w:ascii="Garamond" w:hAnsi="Garamond"/>
          <w:bCs/>
          <w:color w:val="000000"/>
          <w:szCs w:val="24"/>
        </w:rPr>
        <w:t>VENDOSI:</w:t>
      </w:r>
    </w:p>
    <w:p w14:paraId="5820F651" w14:textId="77777777" w:rsidR="003B735C" w:rsidRPr="005415BF" w:rsidRDefault="003B735C" w:rsidP="003B735C">
      <w:pPr>
        <w:autoSpaceDE w:val="0"/>
        <w:autoSpaceDN w:val="0"/>
        <w:adjustRightInd w:val="0"/>
        <w:spacing w:after="0" w:line="240" w:lineRule="auto"/>
        <w:ind w:firstLine="284"/>
        <w:rPr>
          <w:rFonts w:ascii="Garamond" w:hAnsi="Garamond"/>
          <w:b/>
          <w:bCs/>
          <w:color w:val="000000"/>
          <w:szCs w:val="24"/>
        </w:rPr>
      </w:pPr>
    </w:p>
    <w:p w14:paraId="03967711" w14:textId="5C91D8EB"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1. Fillimin e procedurës për miratimin e “Rregullores për alokimin e kapaciteteve dhe menaxhimin e kongjestioneve”.</w:t>
      </w:r>
    </w:p>
    <w:p w14:paraId="640ADEB3" w14:textId="68E2757B"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xml:space="preserve">2. Drejtoria Juridike dhe Zgjidhjes së Mosmarrëveshjeve të njoftojë shoqërinë OST sh.a. dhe palët e interesit për vendimin e </w:t>
      </w:r>
      <w:r w:rsidR="00C64F35" w:rsidRPr="005415BF">
        <w:rPr>
          <w:rFonts w:ascii="Garamond" w:hAnsi="Garamond"/>
          <w:color w:val="000000"/>
          <w:szCs w:val="24"/>
        </w:rPr>
        <w:t xml:space="preserve">Bordit </w:t>
      </w:r>
      <w:r w:rsidRPr="005415BF">
        <w:rPr>
          <w:rFonts w:ascii="Garamond" w:hAnsi="Garamond"/>
          <w:color w:val="000000"/>
          <w:szCs w:val="24"/>
        </w:rPr>
        <w:t>të ERE-s.</w:t>
      </w:r>
    </w:p>
    <w:p w14:paraId="290FAB31" w14:textId="77777777"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Ky vendim hyn në fuqi menjëherë.</w:t>
      </w:r>
    </w:p>
    <w:p w14:paraId="59274074" w14:textId="49BF8B17"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 xml:space="preserve">Çdo palë e përfshirë në këtë procedurë mund t’i kërkojë ERE-s, brenda 7 ditëve kalendarike nga data e marrjes së vendimit, rishikimin e vendimit të </w:t>
      </w:r>
      <w:r w:rsidR="00C64F35" w:rsidRPr="005415BF">
        <w:rPr>
          <w:rFonts w:ascii="Garamond" w:hAnsi="Garamond"/>
          <w:color w:val="000000"/>
          <w:szCs w:val="24"/>
        </w:rPr>
        <w:t xml:space="preserve">Bordit </w:t>
      </w:r>
      <w:r w:rsidRPr="005415BF">
        <w:rPr>
          <w:rFonts w:ascii="Garamond" w:hAnsi="Garamond"/>
          <w:color w:val="000000"/>
          <w:szCs w:val="24"/>
        </w:rPr>
        <w:t xml:space="preserve">në rast se ka siguruar prova të reja që mund ta çojnë </w:t>
      </w:r>
      <w:r w:rsidR="00C64F35" w:rsidRPr="005415BF">
        <w:rPr>
          <w:rFonts w:ascii="Garamond" w:hAnsi="Garamond"/>
          <w:color w:val="000000"/>
          <w:szCs w:val="24"/>
        </w:rPr>
        <w:t xml:space="preserve">Bordin </w:t>
      </w:r>
      <w:r w:rsidRPr="005415BF">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1E0912F" w14:textId="77777777" w:rsidR="003B735C" w:rsidRPr="005415BF" w:rsidRDefault="003B735C" w:rsidP="003B735C">
      <w:pPr>
        <w:autoSpaceDE w:val="0"/>
        <w:autoSpaceDN w:val="0"/>
        <w:adjustRightInd w:val="0"/>
        <w:spacing w:after="0" w:line="240" w:lineRule="auto"/>
        <w:ind w:firstLine="284"/>
        <w:rPr>
          <w:rFonts w:ascii="Garamond" w:hAnsi="Garamond"/>
          <w:color w:val="000000"/>
          <w:szCs w:val="24"/>
        </w:rPr>
      </w:pPr>
      <w:r w:rsidRPr="005415BF">
        <w:rPr>
          <w:rFonts w:ascii="Garamond" w:hAnsi="Garamond"/>
          <w:color w:val="000000"/>
          <w:szCs w:val="24"/>
        </w:rPr>
        <w:t>Ky vendim botohet në Fletoren Zyrtare.</w:t>
      </w:r>
    </w:p>
    <w:p w14:paraId="2F2E9942" w14:textId="77777777" w:rsidR="003B735C" w:rsidRPr="005415BF" w:rsidRDefault="003B735C" w:rsidP="003B735C">
      <w:pPr>
        <w:autoSpaceDE w:val="0"/>
        <w:autoSpaceDN w:val="0"/>
        <w:adjustRightInd w:val="0"/>
        <w:spacing w:after="0" w:line="240" w:lineRule="auto"/>
        <w:ind w:firstLine="284"/>
        <w:rPr>
          <w:rFonts w:ascii="Garamond" w:hAnsi="Garamond"/>
          <w:color w:val="000000"/>
          <w:szCs w:val="24"/>
        </w:rPr>
      </w:pPr>
    </w:p>
    <w:p w14:paraId="69A968E2" w14:textId="6CE4B95B" w:rsidR="003B735C" w:rsidRPr="005415BF" w:rsidRDefault="003B735C" w:rsidP="003B735C">
      <w:pPr>
        <w:tabs>
          <w:tab w:val="left" w:pos="7580"/>
        </w:tabs>
        <w:autoSpaceDE w:val="0"/>
        <w:autoSpaceDN w:val="0"/>
        <w:adjustRightInd w:val="0"/>
        <w:spacing w:after="0" w:line="240" w:lineRule="auto"/>
        <w:ind w:firstLine="284"/>
        <w:jc w:val="right"/>
        <w:rPr>
          <w:rFonts w:ascii="Garamond" w:hAnsi="Garamond"/>
          <w:bCs/>
          <w:color w:val="000000"/>
          <w:szCs w:val="24"/>
        </w:rPr>
      </w:pPr>
      <w:r w:rsidRPr="005415BF">
        <w:rPr>
          <w:rFonts w:ascii="Garamond" w:hAnsi="Garamond"/>
          <w:bCs/>
          <w:color w:val="000000"/>
          <w:szCs w:val="24"/>
        </w:rPr>
        <w:t>KRYETAR</w:t>
      </w:r>
    </w:p>
    <w:p w14:paraId="2329990B" w14:textId="405E253D" w:rsidR="003B735C" w:rsidRPr="005415BF" w:rsidRDefault="003B735C" w:rsidP="003B735C">
      <w:pPr>
        <w:tabs>
          <w:tab w:val="left" w:pos="7580"/>
        </w:tabs>
        <w:autoSpaceDE w:val="0"/>
        <w:autoSpaceDN w:val="0"/>
        <w:adjustRightInd w:val="0"/>
        <w:spacing w:after="0" w:line="240" w:lineRule="auto"/>
        <w:ind w:firstLine="284"/>
        <w:jc w:val="right"/>
        <w:rPr>
          <w:rFonts w:ascii="Garamond" w:hAnsi="Garamond"/>
          <w:b/>
          <w:bCs/>
          <w:color w:val="000000"/>
          <w:szCs w:val="24"/>
        </w:rPr>
      </w:pPr>
      <w:r w:rsidRPr="005415BF">
        <w:rPr>
          <w:rFonts w:ascii="Garamond" w:hAnsi="Garamond"/>
          <w:b/>
          <w:bCs/>
          <w:color w:val="000000"/>
          <w:szCs w:val="24"/>
        </w:rPr>
        <w:t>Petrit Ahmeti</w:t>
      </w:r>
    </w:p>
    <w:p w14:paraId="136706C6" w14:textId="0680EF61" w:rsidR="00786FCD" w:rsidRPr="005415BF" w:rsidRDefault="00786FCD" w:rsidP="003B735C">
      <w:pPr>
        <w:spacing w:after="0" w:line="240" w:lineRule="auto"/>
        <w:ind w:firstLine="284"/>
        <w:rPr>
          <w:rFonts w:ascii="Garamond" w:hAnsi="Garamond"/>
          <w:szCs w:val="24"/>
        </w:rPr>
      </w:pPr>
    </w:p>
    <w:sectPr w:rsidR="00786FCD" w:rsidRPr="005415BF" w:rsidSect="005415B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54D05" w14:textId="77777777" w:rsidR="007F4FCE" w:rsidRDefault="007F4FCE">
      <w:pPr>
        <w:spacing w:after="0" w:line="240" w:lineRule="auto"/>
      </w:pPr>
      <w:r>
        <w:separator/>
      </w:r>
    </w:p>
  </w:endnote>
  <w:endnote w:type="continuationSeparator" w:id="0">
    <w:p w14:paraId="5EF776CD" w14:textId="77777777" w:rsidR="007F4FCE" w:rsidRDefault="007F4FCE">
      <w:pPr>
        <w:spacing w:after="0" w:line="240" w:lineRule="auto"/>
      </w:pPr>
      <w:r>
        <w:continuationSeparator/>
      </w:r>
    </w:p>
  </w:endnote>
  <w:endnote w:type="continuationNotice" w:id="1">
    <w:p w14:paraId="427D6B22" w14:textId="77777777" w:rsidR="007F4FCE" w:rsidRDefault="007F4F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91E815" w14:textId="77777777" w:rsidR="007F4FCE" w:rsidRDefault="007F4FCE">
      <w:pPr>
        <w:spacing w:after="0" w:line="240" w:lineRule="auto"/>
      </w:pPr>
      <w:r>
        <w:separator/>
      </w:r>
    </w:p>
  </w:footnote>
  <w:footnote w:type="continuationSeparator" w:id="0">
    <w:p w14:paraId="3FE412A2" w14:textId="77777777" w:rsidR="007F4FCE" w:rsidRDefault="007F4FCE">
      <w:pPr>
        <w:spacing w:after="0" w:line="240" w:lineRule="auto"/>
      </w:pPr>
      <w:r>
        <w:continuationSeparator/>
      </w:r>
    </w:p>
  </w:footnote>
  <w:footnote w:type="continuationNotice" w:id="1">
    <w:p w14:paraId="72308BF2" w14:textId="77777777" w:rsidR="007F4FCE" w:rsidRDefault="007F4FC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FD0AFFE"/>
    <w:lvl w:ilvl="0" w:tplc="57E0A49C">
      <w:start w:val="1"/>
      <w:numFmt w:val="bullet"/>
      <w:lvlText w:val="-"/>
      <w:lvlJc w:val="left"/>
      <w:pPr>
        <w:ind w:left="36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6B08B48E"/>
    <w:lvl w:ilvl="0" w:tplc="8BF8439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hybridMultilevel"/>
    <w:tmpl w:val="5F86F3F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00000004"/>
    <w:multiLevelType w:val="hybridMultilevel"/>
    <w:tmpl w:val="41167C26"/>
    <w:lvl w:ilvl="0" w:tplc="8BF8439E">
      <w:start w:val="1"/>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4" w15:restartNumberingAfterBreak="0">
    <w:nsid w:val="00000005"/>
    <w:multiLevelType w:val="hybridMultilevel"/>
    <w:tmpl w:val="75B058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0000006"/>
    <w:multiLevelType w:val="hybridMultilevel"/>
    <w:tmpl w:val="173CDC0A"/>
    <w:lvl w:ilvl="0" w:tplc="710AE93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0000007"/>
    <w:multiLevelType w:val="hybridMultilevel"/>
    <w:tmpl w:val="79E6131C"/>
    <w:lvl w:ilvl="0" w:tplc="996C6160">
      <w:start w:val="1"/>
      <w:numFmt w:val="decimal"/>
      <w:lvlText w:val="%1."/>
      <w:lvlJc w:val="left"/>
      <w:pPr>
        <w:ind w:left="360" w:hanging="360"/>
      </w:pPr>
      <w:rPr>
        <w:rFonts w:hint="default"/>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0000008"/>
    <w:multiLevelType w:val="hybridMultilevel"/>
    <w:tmpl w:val="6F9C3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337AF0"/>
    <w:multiLevelType w:val="hybridMultilevel"/>
    <w:tmpl w:val="BEF8CB94"/>
    <w:lvl w:ilvl="0" w:tplc="79BE0744">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8"/>
  </w:num>
  <w:num w:numId="3">
    <w:abstractNumId w:val="7"/>
  </w:num>
  <w:num w:numId="4">
    <w:abstractNumId w:val="4"/>
  </w:num>
  <w:num w:numId="5">
    <w:abstractNumId w:val="1"/>
  </w:num>
  <w:num w:numId="6">
    <w:abstractNumId w:val="2"/>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45F"/>
    <w:rsid w:val="0008345F"/>
    <w:rsid w:val="00094176"/>
    <w:rsid w:val="001237A8"/>
    <w:rsid w:val="00195638"/>
    <w:rsid w:val="001B39D5"/>
    <w:rsid w:val="002F5AD8"/>
    <w:rsid w:val="003B735C"/>
    <w:rsid w:val="00454176"/>
    <w:rsid w:val="00466DD0"/>
    <w:rsid w:val="00482A2F"/>
    <w:rsid w:val="00502935"/>
    <w:rsid w:val="005415BF"/>
    <w:rsid w:val="00595160"/>
    <w:rsid w:val="00773B62"/>
    <w:rsid w:val="00786FCD"/>
    <w:rsid w:val="007F4FCE"/>
    <w:rsid w:val="0092074C"/>
    <w:rsid w:val="00A2064F"/>
    <w:rsid w:val="00A211FB"/>
    <w:rsid w:val="00AA7614"/>
    <w:rsid w:val="00B2064C"/>
    <w:rsid w:val="00C64F35"/>
    <w:rsid w:val="00CB2C8F"/>
    <w:rsid w:val="00D105F3"/>
    <w:rsid w:val="00EC63E4"/>
    <w:rsid w:val="00ED46C4"/>
    <w:rsid w:val="00F61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A1A75"/>
  <w15:docId w15:val="{D2796F8E-0981-4B5D-BF16-13FE5151F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4"/>
        <w:szCs w:val="22"/>
        <w:lang w:val="en-GB"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jc w:val="left"/>
    </w:pPr>
    <w:rPr>
      <w:rFonts w:ascii="Calibri" w:hAnsi="Calibri" w:cs="SimSun"/>
      <w:sz w:val="22"/>
    </w:rPr>
  </w:style>
  <w:style w:type="character" w:customStyle="1" w:styleId="FooterChar">
    <w:name w:val="Footer Char"/>
    <w:basedOn w:val="DefaultParagraphFont"/>
    <w:link w:val="Footer"/>
    <w:uiPriority w:val="99"/>
    <w:rPr>
      <w:rFonts w:ascii="Calibri" w:hAnsi="Calibri" w:cs="SimSun"/>
      <w:sz w:val="22"/>
      <w:lang w:val="sq-AL"/>
    </w:rPr>
  </w:style>
  <w:style w:type="character" w:styleId="Hyperlink">
    <w:name w:val="Hyperlink"/>
    <w:uiPriority w:val="99"/>
    <w:rPr>
      <w:color w:val="0563C1"/>
      <w:u w:val="single"/>
    </w:rPr>
  </w:style>
  <w:style w:type="paragraph" w:styleId="ListParagraph">
    <w:name w:val="List Paragraph"/>
    <w:basedOn w:val="Normal"/>
    <w:link w:val="ListParagraphChar"/>
    <w:uiPriority w:val="34"/>
    <w:qFormat/>
    <w:pPr>
      <w:spacing w:after="0" w:line="240" w:lineRule="auto"/>
      <w:ind w:left="720"/>
      <w:contextualSpacing/>
      <w:jc w:val="left"/>
    </w:pPr>
    <w:rPr>
      <w:rFonts w:eastAsia="Times New Roman"/>
      <w:szCs w:val="24"/>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NormalWeb">
    <w:name w:val="Normal (Web)"/>
    <w:basedOn w:val="Normal"/>
    <w:uiPriority w:val="99"/>
    <w:pPr>
      <w:spacing w:before="100" w:beforeAutospacing="1" w:after="100" w:afterAutospacing="1" w:line="240" w:lineRule="auto"/>
      <w:jc w:val="left"/>
    </w:pPr>
    <w:rPr>
      <w:rFonts w:eastAsia="Times New Roman"/>
      <w:szCs w:val="24"/>
      <w:lang w:val="en-US"/>
    </w:rPr>
  </w:style>
  <w:style w:type="character" w:customStyle="1" w:styleId="ListParagraphChar">
    <w:name w:val="List Paragraph Char"/>
    <w:link w:val="ListParagraph"/>
    <w:rPr>
      <w:rFonts w:eastAsia="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251</Nr_x002e__x0020_akti>
    <Data_x0020_e_x0020_Krijimit xmlns="0e656187-b300-4fb0-8bf4-3a50f872073c">2024-12-17T09:58:08Z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2024-12-16T00:00:00Z</Date_x0020_protokolli>
    <Titulli xmlns="0e656187-b300-4fb0-8bf4-3a50f872073c">Mbi fillimin e procedurës për shqyrtimin e kërkesës së OST sh.a. për miratimin e rregullores së alokimit të kapaciteteve dhe menaxhimit të kongjestioneve</Titulli>
    <Modifikuesi xmlns="0e656187-b300-4fb0-8bf4-3a50f872073c">jorina.kryeziu</Modifikuesi>
    <Nr_x002e__x0020_prot_x0020_QBZ xmlns="0e656187-b300-4fb0-8bf4-3a50f872073c">2103/3</Nr_x002e__x0020_prot_x0020_QBZ>
    <Data_x0020_e_x0020_Modifikimit xmlns="0e656187-b300-4fb0-8bf4-3a50f872073c">2024-12-17T15:03:20Z</Data_x0020_e_x0020_Modifikimit>
    <Dekretuar xmlns="0e656187-b300-4fb0-8bf4-3a50f872073c">false</Dekretuar>
    <Data xmlns="0e656187-b300-4fb0-8bf4-3a50f872073c">2024-11-25T00:00:00Z</Data>
    <Nr_x002e__x0020_protokolli_x0020_i_x0020_aktit xmlns="0e656187-b300-4fb0-8bf4-3a50f872073c">2544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F3B51BE76024F15A3A60E97E628E8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F3B51BE76024F15A3A60E97E628E8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33B72F3-A0A4-482A-B990-2282428979D2}">
  <ds:schemaRefs>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purl.org/dc/dcmitype/"/>
    <ds:schemaRef ds:uri="http://purl.org/dc/terms/"/>
    <ds:schemaRef ds:uri="0e656187-b300-4fb0-8bf4-3a50f872073c"/>
    <ds:schemaRef ds:uri="http://www.w3.org/XML/1998/namespace"/>
  </ds:schemaRefs>
</ds:datastoreItem>
</file>

<file path=customXml/itemProps2.xml><?xml version="1.0" encoding="utf-8"?>
<ds:datastoreItem xmlns:ds="http://schemas.openxmlformats.org/officeDocument/2006/customXml" ds:itemID="{AE71726B-3ECF-4C84-9381-BBA5F6F5D443}">
  <ds:schemaRefs>
    <ds:schemaRef ds:uri="http://schemas.microsoft.com/sharepoint/v3/contenttype/forms"/>
  </ds:schemaRefs>
</ds:datastoreItem>
</file>

<file path=customXml/itemProps3.xml><?xml version="1.0" encoding="utf-8"?>
<ds:datastoreItem xmlns:ds="http://schemas.openxmlformats.org/officeDocument/2006/customXml" ds:itemID="{4EEC973D-CE08-4ACA-A6ED-B2126D0C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938B74C-4790-4364-B7AE-AB25436924E2}">
  <ds:schemaRefs>
    <ds:schemaRef ds:uri="http://schemas.microsoft.com/sharepoint/v3/contenttype/forms"/>
  </ds:schemaRefs>
</ds:datastoreItem>
</file>

<file path=customXml/itemProps5.xml><?xml version="1.0" encoding="utf-8"?>
<ds:datastoreItem xmlns:ds="http://schemas.openxmlformats.org/officeDocument/2006/customXml" ds:itemID="{8DB4AF66-8717-4C4C-BD81-6F547CA8A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Mbi fillimin e procedurës për shqyrtimin e kërkesës së OST sh.a. për miratimin e rregullores së alokimit të kapaciteteve dhe menaxhimit të kongjestioneve</vt:lpstr>
    </vt:vector>
  </TitlesOfParts>
  <Company>Hewlett-Packard Company</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shqyrtimin e kërkesës së OST sh.a. për miratimin e rregullores së alokimit të kapaciteteve dhe menaxhimit të kongjestioneve</dc:title>
  <dc:creator>Ajlin</dc:creator>
  <cp:lastModifiedBy>Amarilda Muja</cp:lastModifiedBy>
  <cp:revision>18</cp:revision>
  <dcterms:created xsi:type="dcterms:W3CDTF">2024-12-06T15:03:00Z</dcterms:created>
  <dcterms:modified xsi:type="dcterms:W3CDTF">2024-12-18T08:23:00Z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601728834c354d10b32b7bdd4c440675</vt:lpwstr>
  </property>
</Properties>
</file>