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E6A64" w14:textId="7777777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VENDIM</w:t>
      </w:r>
    </w:p>
    <w:p w14:paraId="42845C83" w14:textId="5041DFFC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Nr. 256, datë 2.12.2024</w:t>
      </w:r>
    </w:p>
    <w:p w14:paraId="60030887" w14:textId="7777777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5FDE834B" w14:textId="0CA75A8D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MBI FILLIMIN E PROCEDURËS PËR MIRATIMIN E METODOLOGJISË PËR VLERËSIMIN E GATISHMËRISË SË TREGUT SHQIPTAR TË ENERGJISË TË DITËS NË AVANCË</w:t>
      </w:r>
    </w:p>
    <w:p w14:paraId="0B498581" w14:textId="77777777" w:rsidR="00C32E4A" w:rsidRPr="00DE4F5D" w:rsidRDefault="00C32E4A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765FB846" w14:textId="385F7795" w:rsidR="00A85544" w:rsidRPr="001305D7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Në mbështetje të nenit 16 të ligjit nr. 43/2015</w:t>
      </w:r>
      <w:r w:rsidR="00DE4F5D" w:rsidRPr="001305D7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 “</w:t>
      </w:r>
      <w:r w:rsidRPr="001305D7">
        <w:rPr>
          <w:rFonts w:ascii="Garamond" w:eastAsiaTheme="minorHAnsi" w:hAnsi="Garamond" w:cs="Garamond"/>
          <w:iCs/>
          <w:color w:val="000000"/>
          <w:sz w:val="24"/>
          <w:szCs w:val="24"/>
        </w:rPr>
        <w:t>Për sektorin e energjisë elektrike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”, i ndryshuar; nenit 30, pika 5 e ligjit nr. 24/2023</w:t>
      </w:r>
      <w:r w:rsidR="00DE4F5D" w:rsidRPr="001305D7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1305D7">
        <w:rPr>
          <w:rFonts w:ascii="Garamond" w:eastAsiaTheme="minorHAnsi" w:hAnsi="Garamond" w:cs="Garamond"/>
          <w:color w:val="000000"/>
          <w:spacing w:val="-15"/>
          <w:sz w:val="24"/>
          <w:szCs w:val="24"/>
        </w:rPr>
        <w:t>“</w:t>
      </w:r>
      <w:r w:rsidRPr="001305D7">
        <w:rPr>
          <w:rFonts w:ascii="Garamond" w:eastAsiaTheme="minorHAnsi" w:hAnsi="Garamond" w:cs="Garamond"/>
          <w:iCs/>
          <w:color w:val="000000"/>
          <w:sz w:val="24"/>
          <w:szCs w:val="24"/>
        </w:rPr>
        <w:t xml:space="preserve">Për nxitjen e përdorimit të energjisë nga burimet e </w:t>
      </w:r>
      <w:proofErr w:type="spellStart"/>
      <w:r w:rsidRPr="001305D7">
        <w:rPr>
          <w:rFonts w:ascii="Garamond" w:eastAsiaTheme="minorHAnsi" w:hAnsi="Garamond" w:cs="Garamond"/>
          <w:iCs/>
          <w:color w:val="000000"/>
          <w:sz w:val="24"/>
          <w:szCs w:val="24"/>
        </w:rPr>
        <w:t>rinovueshme</w:t>
      </w:r>
      <w:proofErr w:type="spellEnd"/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”;</w:t>
      </w:r>
      <w:r w:rsidRPr="001305D7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 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 neneve 15 dhe 26 të </w:t>
      </w:r>
      <w:r w:rsidR="001305D7" w:rsidRPr="001305D7"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Pr="001305D7">
        <w:rPr>
          <w:rFonts w:ascii="Garamond" w:eastAsiaTheme="minorHAnsi" w:hAnsi="Garamond" w:cs="Garamond"/>
          <w:iCs/>
          <w:color w:val="000000"/>
          <w:sz w:val="24"/>
          <w:szCs w:val="24"/>
        </w:rPr>
        <w:t>Rregullores për organizimin, funksionimin dhe procedurat e ERE-s</w:t>
      </w:r>
      <w:r w:rsidR="001305D7" w:rsidRPr="001305D7">
        <w:rPr>
          <w:rFonts w:ascii="Garamond" w:eastAsiaTheme="minorHAnsi" w:hAnsi="Garamond" w:cs="Garamond"/>
          <w:iCs/>
          <w:color w:val="000000"/>
          <w:sz w:val="24"/>
          <w:szCs w:val="24"/>
        </w:rPr>
        <w:t>”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, miratuar me vendimin e </w:t>
      </w:r>
      <w:r w:rsidR="00DE4F5D"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Bordit 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të Entit Rregullator të Energjisë (ERE) nr. 96, datë 17.6.2016; Bordi i ERE-s, në mbledhjen e tij të datës 2.12.2024, pasi shqyrtoi relacionin me nr. 2473 </w:t>
      </w:r>
      <w:proofErr w:type="spellStart"/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prot</w:t>
      </w:r>
      <w:proofErr w:type="spellEnd"/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., datë 2.12.2024</w:t>
      </w:r>
      <w:r w:rsidR="001305D7" w:rsidRPr="001305D7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 të përgatitur nga Drejtoria e Zhvillimit të Politikave dhe Mbikëqyrjes së Burimeve të </w:t>
      </w:r>
      <w:proofErr w:type="spellStart"/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Rinovueshme</w:t>
      </w:r>
      <w:proofErr w:type="spellEnd"/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 xml:space="preserve"> “</w:t>
      </w:r>
      <w:r w:rsidRPr="001305D7">
        <w:rPr>
          <w:rFonts w:ascii="Garamond" w:eastAsiaTheme="minorHAnsi" w:hAnsi="Garamond" w:cs="Garamond"/>
          <w:iCs/>
          <w:color w:val="000000"/>
          <w:sz w:val="24"/>
          <w:szCs w:val="24"/>
        </w:rPr>
        <w:t>Mbi fillimin e procedurës për miratimin e metodologjisë për vlerësimin e gatishmërisë së tregut shqiptar të energjisë të ditës në avancë</w:t>
      </w:r>
      <w:r w:rsidRPr="001305D7">
        <w:rPr>
          <w:rFonts w:ascii="Garamond" w:eastAsiaTheme="minorHAnsi" w:hAnsi="Garamond" w:cs="Garamond"/>
          <w:color w:val="000000"/>
          <w:sz w:val="24"/>
          <w:szCs w:val="24"/>
        </w:rPr>
        <w:t>”,</w:t>
      </w:r>
    </w:p>
    <w:p w14:paraId="512D4213" w14:textId="16D1F562" w:rsidR="00A85544" w:rsidRPr="00DE4F5D" w:rsidRDefault="00C9710C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>
        <w:rPr>
          <w:rFonts w:ascii="Garamond" w:eastAsiaTheme="minorHAnsi" w:hAnsi="Garamond" w:cs="Garamond"/>
          <w:bCs/>
          <w:color w:val="000000"/>
          <w:sz w:val="24"/>
          <w:szCs w:val="24"/>
        </w:rPr>
        <w:t>k</w:t>
      </w:r>
      <w:r w:rsidR="00A85544" w:rsidRPr="00DE4F5D">
        <w:rPr>
          <w:rFonts w:ascii="Garamond" w:eastAsiaTheme="minorHAnsi" w:hAnsi="Garamond" w:cs="Garamond"/>
          <w:bCs/>
          <w:color w:val="000000"/>
          <w:sz w:val="24"/>
          <w:szCs w:val="24"/>
        </w:rPr>
        <w:t>onstatoi se:</w:t>
      </w:r>
    </w:p>
    <w:p w14:paraId="504CBB6D" w14:textId="4272AFC0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ERE, në bazë të nenit 30, pika 5, të 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>l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igjit nr. 24/2023</w:t>
      </w:r>
      <w:r w:rsidR="00A3454C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bookmarkStart w:id="0" w:name="_GoBack"/>
      <w:bookmarkEnd w:id="0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“Për nxitjen e përdorimit të energjisë nga burimet e </w:t>
      </w:r>
      <w:proofErr w:type="spellStart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rinovueshme</w:t>
      </w:r>
      <w:proofErr w:type="spellEnd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”, është ngarkuar me përgjegjësinë për të vlerësuar gatishmërinë e tregut të ditës në avancë të energjisë elektrike, duke u fokusuar veçanërisht te likuiditeti i tij pas krijimit të Bursës Shqiptare të Energjisë Elektrike.</w:t>
      </w:r>
    </w:p>
    <w:p w14:paraId="2ABF2D59" w14:textId="5F032156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Metodologjia synon të përcaktojë parimet dhe treguesit kryesorë që do të udhëzojnë vlerësimin e përgjithshëm të gatishmërisë së tregut, duke përfshirë aspekte që lidhen me funksionalitetin operacional, likuiditetin dhe integritetin e tij.</w:t>
      </w:r>
    </w:p>
    <w:p w14:paraId="033B86A1" w14:textId="1F7A9A4A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Metodologjia e hartuar përbëhet nga tr</w:t>
      </w:r>
      <w:r w:rsidR="001305D7">
        <w:rPr>
          <w:rFonts w:ascii="Garamond" w:eastAsiaTheme="minorHAnsi" w:hAnsi="Garamond" w:cs="Garamond"/>
          <w:color w:val="000000"/>
          <w:sz w:val="24"/>
          <w:szCs w:val="24"/>
        </w:rPr>
        <w:t>i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pjesë kryesore: </w:t>
      </w: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Pjesa e parë: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Përfshin dispozitat e përgjithshme, duke përfshirë qëllimin, bazën ligjore dhe përkufizimet që shërbejnë si themel për vlerësimin e gatishmërisë së tregut. </w:t>
      </w: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Pjesa e dytë: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Përcakton parimet udhëzuese, treguesit kryesorë për vlerësim, procesin e hartimit të raportit dhe kriteret për përzgjedhjen e vendeve krahasuese nga Bashkimi Evropian. Kjo pjesë synon të sigurojë një analizë gjithëpërfshirëse dhe të standardizuar për funksionalitetin e tregut. </w:t>
      </w: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Pjesa e tretë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: Trajton dispozitat përfundimtare, duke përfshirë procedurat për rishikimin dhe ndryshimin e metodologjisë, si dhe përcaktimin e datës së hyrjes në fuqi.</w:t>
      </w:r>
    </w:p>
    <w:p w14:paraId="1DA8730E" w14:textId="21074F3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ERE do të mbështetet në të dhënat e siguruara nga Bursa Shqiptare e Energjisë, autoritetet rregullatore dhe bursat e vendeve të BE-së për të vlerësuar likuiditetin, transparencën dhe harmonizimin me standardet evropiane.</w:t>
      </w:r>
    </w:p>
    <w:p w14:paraId="6252AC24" w14:textId="6F985523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ERE duhet të sigurojë përmbushjen e disa kritereve kryesore për vlerësimin e gatishmërisë, duke përfshirë: Krijimin e një burse operacionale që ofron çmime reference për një periudhë të pandërprerë 10-mujore; Zbatimin e rregullave për integritetin dhe transparencën në treg; Krahasimin e vëllimeve të tregtuara me tregje të ngjashme në vende të Bashkimit E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>v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ropian.</w:t>
      </w:r>
    </w:p>
    <w:p w14:paraId="18A2B992" w14:textId="396556CB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Ndërkohë, treguesit kryesorë për vlerësim përfshijnë: </w:t>
      </w:r>
      <w:proofErr w:type="spellStart"/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>d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isponueshmëria</w:t>
      </w:r>
      <w:proofErr w:type="spellEnd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e çmimeve: Sigurimi i një sinjali të qëndrueshëm dhe të pandërprerë për një periudhë 10-mujore dhe Faktorin e qarkullimit: Matja e sasisë së energjisë së tregtuar në raport me konsumin total, duke përdorur formulat standarde.</w:t>
      </w:r>
    </w:p>
    <w:p w14:paraId="35B5DD5F" w14:textId="3C2A5B0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Duke vlerësuar rëndësinë e këtij procesi për zhvillimin e tregut të energjisë, ky draft do të publikohet në faqen zyrtare të ERE-s, me qëllim mbledhjen e komenteve dhe sugjerimeve nga të gjithë aktorët e tregut shqiptar të energjisë.</w:t>
      </w:r>
    </w:p>
    <w:p w14:paraId="4BB5D68A" w14:textId="1C546FA2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Për gjithë sa më sipër, 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>B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ordi i ERE-s </w:t>
      </w:r>
    </w:p>
    <w:p w14:paraId="19F450EA" w14:textId="7777777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</w:p>
    <w:p w14:paraId="4CD0E03F" w14:textId="6629E8DE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bCs/>
          <w:color w:val="000000"/>
          <w:sz w:val="24"/>
          <w:szCs w:val="24"/>
        </w:rPr>
        <w:t>VENDOSI:</w:t>
      </w:r>
    </w:p>
    <w:p w14:paraId="0437B66B" w14:textId="7777777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</w:rPr>
      </w:pPr>
    </w:p>
    <w:p w14:paraId="685DDF11" w14:textId="519E29F6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1. Fillimin e procedurës për miratimin e “Metodologjisë për vlerësimin e gatishmërisë së tregut shqiptar të energjisë të ditës në avancë”. </w:t>
      </w:r>
    </w:p>
    <w:p w14:paraId="5A73C0DD" w14:textId="116EE77C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2. Drejtoria e Zhvillimit të Politikave dhe Mbikëqyrjes së Burimeve të </w:t>
      </w:r>
      <w:proofErr w:type="spellStart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Rinovueshme</w:t>
      </w:r>
      <w:proofErr w:type="spellEnd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të njoftojë Ministrinë e Infrastrukturës dhe Energjisë, Bursën Shqiptare të Energjisë (</w:t>
      </w:r>
      <w:proofErr w:type="spellStart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ALPEX</w:t>
      </w:r>
      <w:proofErr w:type="spellEnd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) </w:t>
      </w:r>
      <w:proofErr w:type="spellStart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sh.a</w:t>
      </w:r>
      <w:proofErr w:type="spellEnd"/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.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>,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si dhe palët e tjera të interesit për vendimin e 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Bordit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të ERE-s.</w:t>
      </w:r>
    </w:p>
    <w:p w14:paraId="0902609C" w14:textId="7777777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Ky vendim hyn në fuqi menjëherë.</w:t>
      </w:r>
    </w:p>
    <w:p w14:paraId="3B40EC81" w14:textId="50810BEA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lastRenderedPageBreak/>
        <w:t xml:space="preserve">Çdo palë e përfshirë në këtë procedurë mund t’i kërkojë ERE-s, brenda 7 ditëve kalendarike nga data e marrjes dijeni, rishikimin e vendimit të 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Bordit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në rast se ka siguruar prova të reja që mund ta çojnë </w:t>
      </w:r>
      <w:r w:rsidR="00DE4F5D"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Bordin </w:t>
      </w: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4BDF4AB" w14:textId="77777777" w:rsidR="00A85544" w:rsidRPr="00DE4F5D" w:rsidRDefault="00A85544" w:rsidP="00A855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>Ky vendim botohet në Fletoren Zyrtare.</w:t>
      </w:r>
    </w:p>
    <w:p w14:paraId="223FFAE0" w14:textId="77777777" w:rsidR="00A85544" w:rsidRPr="00DE4F5D" w:rsidRDefault="00A85544" w:rsidP="00A85544">
      <w:pPr>
        <w:tabs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color w:val="000000"/>
          <w:sz w:val="24"/>
          <w:szCs w:val="24"/>
        </w:rPr>
      </w:pPr>
    </w:p>
    <w:p w14:paraId="46601BDD" w14:textId="078774A0" w:rsidR="00A85544" w:rsidRPr="00DE4F5D" w:rsidRDefault="00A85544" w:rsidP="00A85544">
      <w:pPr>
        <w:tabs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color w:val="000000"/>
          <w:sz w:val="24"/>
          <w:szCs w:val="24"/>
        </w:rPr>
        <w:t xml:space="preserve"> </w:t>
      </w:r>
      <w:r w:rsidRPr="00DE4F5D">
        <w:rPr>
          <w:rFonts w:ascii="Garamond" w:eastAsiaTheme="minorHAnsi" w:hAnsi="Garamond" w:cs="Garamond"/>
          <w:bCs/>
          <w:color w:val="000000"/>
          <w:sz w:val="24"/>
          <w:szCs w:val="24"/>
        </w:rPr>
        <w:t>KRYETAR</w:t>
      </w:r>
    </w:p>
    <w:p w14:paraId="7019BBA8" w14:textId="3A5FC7F9" w:rsidR="00A85544" w:rsidRPr="00DE4F5D" w:rsidRDefault="00A85544" w:rsidP="00A85544">
      <w:pPr>
        <w:tabs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</w:rPr>
      </w:pPr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DE4F5D">
        <w:rPr>
          <w:rFonts w:ascii="Garamond" w:eastAsiaTheme="minorHAnsi" w:hAnsi="Garamond" w:cs="Garamond"/>
          <w:b/>
          <w:bCs/>
          <w:color w:val="000000"/>
          <w:sz w:val="24"/>
          <w:szCs w:val="24"/>
        </w:rPr>
        <w:t>Ahmeti</w:t>
      </w:r>
      <w:proofErr w:type="spellEnd"/>
    </w:p>
    <w:p w14:paraId="26411C16" w14:textId="77777777" w:rsidR="00A85544" w:rsidRPr="00DE4F5D" w:rsidRDefault="00A85544" w:rsidP="00A85544">
      <w:pPr>
        <w:tabs>
          <w:tab w:val="left" w:pos="77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color w:val="000000"/>
          <w:sz w:val="24"/>
          <w:szCs w:val="24"/>
        </w:rPr>
      </w:pPr>
    </w:p>
    <w:sectPr w:rsidR="00A85544" w:rsidRPr="00DE4F5D" w:rsidSect="009D0C51">
      <w:footerReference w:type="default" r:id="rId12"/>
      <w:pgSz w:w="12240" w:h="15840"/>
      <w:pgMar w:top="180" w:right="1440" w:bottom="1080" w:left="1440" w:header="708" w:footer="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E4EE5" w14:textId="77777777" w:rsidR="00DE4F5D" w:rsidRDefault="00DE4F5D">
      <w:pPr>
        <w:spacing w:after="0" w:line="240" w:lineRule="auto"/>
      </w:pPr>
      <w:r>
        <w:separator/>
      </w:r>
    </w:p>
  </w:endnote>
  <w:endnote w:type="continuationSeparator" w:id="0">
    <w:p w14:paraId="3EBA02BE" w14:textId="77777777" w:rsidR="00DE4F5D" w:rsidRDefault="00DE4F5D">
      <w:pPr>
        <w:spacing w:after="0" w:line="240" w:lineRule="auto"/>
      </w:pPr>
      <w:r>
        <w:continuationSeparator/>
      </w:r>
    </w:p>
  </w:endnote>
  <w:endnote w:type="continuationNotice" w:id="1">
    <w:p w14:paraId="6F838AFF" w14:textId="77777777" w:rsidR="00AD6078" w:rsidRDefault="00AD60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571076548"/>
      <w:docPartObj>
        <w:docPartGallery w:val="Page Numbers (Bottom of Page)"/>
        <w:docPartUnique/>
      </w:docPartObj>
    </w:sdtPr>
    <w:sdtContent>
      <w:p w14:paraId="7D1355A6" w14:textId="77777777" w:rsidR="00DE4F5D" w:rsidRPr="009D0C51" w:rsidRDefault="00DE4F5D" w:rsidP="009D0C51">
        <w:pPr>
          <w:pStyle w:val="Footer"/>
          <w:rPr>
            <w:rFonts w:ascii="Times New Roman" w:hAnsi="Times New Roman" w:cs="Times New Roman"/>
            <w:sz w:val="20"/>
            <w:szCs w:val="20"/>
          </w:rPr>
        </w:pPr>
      </w:p>
      <w:p w14:paraId="26272ED0" w14:textId="0F87A7BB" w:rsidR="00DE4F5D" w:rsidRPr="009D0C51" w:rsidRDefault="00DE4F5D" w:rsidP="009D0C51">
        <w:pPr>
          <w:tabs>
            <w:tab w:val="center" w:pos="4680"/>
            <w:tab w:val="right" w:pos="9360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8FF7B" w14:textId="77777777" w:rsidR="00DE4F5D" w:rsidRDefault="00DE4F5D">
      <w:pPr>
        <w:spacing w:after="0" w:line="240" w:lineRule="auto"/>
      </w:pPr>
      <w:r>
        <w:separator/>
      </w:r>
    </w:p>
  </w:footnote>
  <w:footnote w:type="continuationSeparator" w:id="0">
    <w:p w14:paraId="4FE1FDCB" w14:textId="77777777" w:rsidR="00DE4F5D" w:rsidRDefault="00DE4F5D">
      <w:pPr>
        <w:spacing w:after="0" w:line="240" w:lineRule="auto"/>
      </w:pPr>
      <w:r>
        <w:continuationSeparator/>
      </w:r>
    </w:p>
  </w:footnote>
  <w:footnote w:type="continuationNotice" w:id="1">
    <w:p w14:paraId="5657ED72" w14:textId="77777777" w:rsidR="00AD6078" w:rsidRDefault="00AD60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619DC"/>
    <w:multiLevelType w:val="multilevel"/>
    <w:tmpl w:val="7F0E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C61FB"/>
    <w:multiLevelType w:val="hybridMultilevel"/>
    <w:tmpl w:val="4612B6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CF559E"/>
    <w:multiLevelType w:val="hybridMultilevel"/>
    <w:tmpl w:val="759A2640"/>
    <w:lvl w:ilvl="0" w:tplc="B0FAD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40F02"/>
    <w:multiLevelType w:val="hybridMultilevel"/>
    <w:tmpl w:val="E7D436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06E7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37F54"/>
    <w:multiLevelType w:val="multilevel"/>
    <w:tmpl w:val="F66C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D36DF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1A4933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6A44C9"/>
    <w:multiLevelType w:val="hybridMultilevel"/>
    <w:tmpl w:val="1B3290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BF52F2"/>
    <w:multiLevelType w:val="multilevel"/>
    <w:tmpl w:val="85EA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6511DF"/>
    <w:multiLevelType w:val="hybridMultilevel"/>
    <w:tmpl w:val="0C8A8D70"/>
    <w:lvl w:ilvl="0" w:tplc="715692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671DB5"/>
    <w:multiLevelType w:val="multilevel"/>
    <w:tmpl w:val="B4F2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61841"/>
    <w:multiLevelType w:val="multilevel"/>
    <w:tmpl w:val="6506F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B2366"/>
    <w:multiLevelType w:val="hybridMultilevel"/>
    <w:tmpl w:val="060A0D42"/>
    <w:lvl w:ilvl="0" w:tplc="CD0A7B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1261F5"/>
    <w:multiLevelType w:val="hybridMultilevel"/>
    <w:tmpl w:val="A002DD52"/>
    <w:lvl w:ilvl="0" w:tplc="2A9866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14"/>
  </w:num>
  <w:num w:numId="6">
    <w:abstractNumId w:val="3"/>
  </w:num>
  <w:num w:numId="7">
    <w:abstractNumId w:val="2"/>
  </w:num>
  <w:num w:numId="8">
    <w:abstractNumId w:val="13"/>
  </w:num>
  <w:num w:numId="9">
    <w:abstractNumId w:val="1"/>
  </w:num>
  <w:num w:numId="10">
    <w:abstractNumId w:val="8"/>
  </w:num>
  <w:num w:numId="11">
    <w:abstractNumId w:val="12"/>
  </w:num>
  <w:num w:numId="12">
    <w:abstractNumId w:val="11"/>
  </w:num>
  <w:num w:numId="13">
    <w:abstractNumId w:val="0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41"/>
    <w:rsid w:val="00001D26"/>
    <w:rsid w:val="00005B1D"/>
    <w:rsid w:val="00031DCB"/>
    <w:rsid w:val="00034989"/>
    <w:rsid w:val="000517EF"/>
    <w:rsid w:val="000F4310"/>
    <w:rsid w:val="001067CA"/>
    <w:rsid w:val="001305D7"/>
    <w:rsid w:val="001360AC"/>
    <w:rsid w:val="00173DA9"/>
    <w:rsid w:val="001B182B"/>
    <w:rsid w:val="001F3C92"/>
    <w:rsid w:val="001F551D"/>
    <w:rsid w:val="00240A66"/>
    <w:rsid w:val="002526F0"/>
    <w:rsid w:val="00256763"/>
    <w:rsid w:val="002A61E9"/>
    <w:rsid w:val="002C6B5F"/>
    <w:rsid w:val="002C7AB6"/>
    <w:rsid w:val="002D7313"/>
    <w:rsid w:val="002E0D42"/>
    <w:rsid w:val="002E7535"/>
    <w:rsid w:val="002F4CCF"/>
    <w:rsid w:val="003369BF"/>
    <w:rsid w:val="003636D9"/>
    <w:rsid w:val="00367B27"/>
    <w:rsid w:val="0038106B"/>
    <w:rsid w:val="00383A35"/>
    <w:rsid w:val="003C28C5"/>
    <w:rsid w:val="003E15DD"/>
    <w:rsid w:val="00404B41"/>
    <w:rsid w:val="00406C3D"/>
    <w:rsid w:val="00463910"/>
    <w:rsid w:val="00474C11"/>
    <w:rsid w:val="00477E3E"/>
    <w:rsid w:val="004E775C"/>
    <w:rsid w:val="004F35FF"/>
    <w:rsid w:val="00502C16"/>
    <w:rsid w:val="00512515"/>
    <w:rsid w:val="00534508"/>
    <w:rsid w:val="0054503C"/>
    <w:rsid w:val="005513E7"/>
    <w:rsid w:val="00574403"/>
    <w:rsid w:val="00577442"/>
    <w:rsid w:val="005A1EB4"/>
    <w:rsid w:val="006B37AE"/>
    <w:rsid w:val="006C56F6"/>
    <w:rsid w:val="006D193E"/>
    <w:rsid w:val="006D646F"/>
    <w:rsid w:val="006F3B17"/>
    <w:rsid w:val="00704BA2"/>
    <w:rsid w:val="00710197"/>
    <w:rsid w:val="00750B57"/>
    <w:rsid w:val="00774A51"/>
    <w:rsid w:val="00786022"/>
    <w:rsid w:val="007A096D"/>
    <w:rsid w:val="007D3321"/>
    <w:rsid w:val="007D34BF"/>
    <w:rsid w:val="007E65A1"/>
    <w:rsid w:val="007F2115"/>
    <w:rsid w:val="008305E4"/>
    <w:rsid w:val="00835766"/>
    <w:rsid w:val="00846DA5"/>
    <w:rsid w:val="00893D12"/>
    <w:rsid w:val="00893F7B"/>
    <w:rsid w:val="00895937"/>
    <w:rsid w:val="008B6797"/>
    <w:rsid w:val="008B695B"/>
    <w:rsid w:val="008E453A"/>
    <w:rsid w:val="008F2E22"/>
    <w:rsid w:val="00911EFD"/>
    <w:rsid w:val="009465D7"/>
    <w:rsid w:val="009A511C"/>
    <w:rsid w:val="009C2A56"/>
    <w:rsid w:val="009C79CD"/>
    <w:rsid w:val="009D0C51"/>
    <w:rsid w:val="00A048A6"/>
    <w:rsid w:val="00A3454C"/>
    <w:rsid w:val="00A401B5"/>
    <w:rsid w:val="00A42ECC"/>
    <w:rsid w:val="00A85544"/>
    <w:rsid w:val="00A91D70"/>
    <w:rsid w:val="00AA0E43"/>
    <w:rsid w:val="00AD3EC2"/>
    <w:rsid w:val="00AD41B0"/>
    <w:rsid w:val="00AD6078"/>
    <w:rsid w:val="00B10933"/>
    <w:rsid w:val="00B177B5"/>
    <w:rsid w:val="00B46161"/>
    <w:rsid w:val="00B53894"/>
    <w:rsid w:val="00B62D56"/>
    <w:rsid w:val="00BB43B7"/>
    <w:rsid w:val="00BC7A69"/>
    <w:rsid w:val="00BD2E4C"/>
    <w:rsid w:val="00BF771D"/>
    <w:rsid w:val="00C32E4A"/>
    <w:rsid w:val="00C54AB8"/>
    <w:rsid w:val="00C9710C"/>
    <w:rsid w:val="00CE7CA7"/>
    <w:rsid w:val="00D03C8D"/>
    <w:rsid w:val="00D12ABB"/>
    <w:rsid w:val="00D9325E"/>
    <w:rsid w:val="00DC18BB"/>
    <w:rsid w:val="00DC5226"/>
    <w:rsid w:val="00DD0B1A"/>
    <w:rsid w:val="00DE4F5D"/>
    <w:rsid w:val="00E0704A"/>
    <w:rsid w:val="00E1321E"/>
    <w:rsid w:val="00E34E2A"/>
    <w:rsid w:val="00E36243"/>
    <w:rsid w:val="00E92D83"/>
    <w:rsid w:val="00EC6A00"/>
    <w:rsid w:val="00F13D65"/>
    <w:rsid w:val="00F15D02"/>
    <w:rsid w:val="00F729E4"/>
    <w:rsid w:val="00F75575"/>
    <w:rsid w:val="00FA1BCB"/>
    <w:rsid w:val="00FD042B"/>
    <w:rsid w:val="00FF01FA"/>
    <w:rsid w:val="00F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B9CEC5"/>
  <w15:chartTrackingRefBased/>
  <w15:docId w15:val="{5EC502DC-05BA-4138-BE14-0BF0790A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4B41"/>
    <w:pPr>
      <w:spacing w:line="256" w:lineRule="auto"/>
    </w:pPr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404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B4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,Dot pt"/>
    <w:basedOn w:val="Normal"/>
    <w:link w:val="ListParagraphChar"/>
    <w:uiPriority w:val="34"/>
    <w:qFormat/>
    <w:rsid w:val="00404B4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04B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B41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semiHidden/>
    <w:unhideWhenUsed/>
    <w:rsid w:val="00404B41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,Dot pt Char"/>
    <w:link w:val="ListParagraph"/>
    <w:uiPriority w:val="34"/>
    <w:qFormat/>
    <w:locked/>
    <w:rsid w:val="00404B41"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unhideWhenUsed/>
    <w:rsid w:val="00106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CA"/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AB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019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197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197"/>
    <w:rPr>
      <w:rFonts w:ascii="Calibri" w:eastAsia="Calibri" w:hAnsi="Calibri" w:cs="SimSun"/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0F4310"/>
    <w:rPr>
      <w:rFonts w:ascii="Courier" w:hAnsi="Courier" w:hint="default"/>
      <w:b w:val="0"/>
      <w:bCs w:val="0"/>
      <w:i w:val="0"/>
      <w:iCs w:val="0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36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362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2024-12-19T09:40:29Z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fillimin e procedurës për miratimin e metodologjisë për vlerësimin e gatishmërisë së tregut shqiptar të energjisë të ditës në avancë</Titulli>
    <Modifikuesi xmlns="0e656187-b300-4fb0-8bf4-3a50f872073c">Suada.Daci</Modifikuesi>
    <Nr_x002e__x0020_prot_x0020_QBZ xmlns="0e656187-b300-4fb0-8bf4-3a50f872073c">2122/1</Nr_x002e__x0020_prot_x0020_QBZ>
    <Data_x0020_e_x0020_Modifikimit xmlns="0e656187-b300-4fb0-8bf4-3a50f872073c">2024-12-19T11:35:42Z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2551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18578FB3BE471596FDFFA649D31B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18578FB3BE471596FDFFA649D31B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B5EC87-5BF2-4895-9C67-D49515F1F36D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4F225C-C8D2-403A-B0C9-D4F6D18D8B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E83C9-35F2-4D38-B444-E060F13B1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683214-217C-4337-98BD-BBBA4A481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7B6EF0-CCBA-4944-97D5-A63E0C657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Jorina Kryeziu</cp:lastModifiedBy>
  <cp:revision>11</cp:revision>
  <dcterms:created xsi:type="dcterms:W3CDTF">2024-12-11T12:37:00Z</dcterms:created>
  <dcterms:modified xsi:type="dcterms:W3CDTF">2024-12-19T11:20:00Z</dcterms:modified>
</cp:coreProperties>
</file>