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D7870C" w14:textId="77777777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8021ED">
        <w:rPr>
          <w:rFonts w:ascii="Garamond" w:hAnsi="Garamond"/>
          <w:b/>
          <w:bCs/>
          <w:color w:val="000000"/>
          <w:szCs w:val="24"/>
        </w:rPr>
        <w:t>VENDIM</w:t>
      </w:r>
    </w:p>
    <w:p w14:paraId="6764824B" w14:textId="799528EE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8021ED">
        <w:rPr>
          <w:rFonts w:ascii="Garamond" w:hAnsi="Garamond"/>
          <w:b/>
          <w:bCs/>
          <w:color w:val="000000"/>
          <w:szCs w:val="24"/>
        </w:rPr>
        <w:t>Nr. 275, datë 13.12.2024</w:t>
      </w:r>
    </w:p>
    <w:p w14:paraId="257AEB1C" w14:textId="77777777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669470D3" w14:textId="38D81F21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8021ED">
        <w:rPr>
          <w:rFonts w:ascii="Garamond" w:hAnsi="Garamond"/>
          <w:b/>
          <w:bCs/>
          <w:color w:val="000000"/>
          <w:szCs w:val="24"/>
        </w:rPr>
        <w:t>MBI NJË NDRYSHIM NË VENDIMIN E BORDIT TË ERE</w:t>
      </w:r>
      <w:r w:rsidR="008021ED">
        <w:rPr>
          <w:rFonts w:ascii="Garamond" w:hAnsi="Garamond"/>
          <w:b/>
          <w:bCs/>
          <w:color w:val="000000"/>
          <w:szCs w:val="24"/>
        </w:rPr>
        <w:t>-s</w:t>
      </w:r>
      <w:r w:rsidRPr="008021ED">
        <w:rPr>
          <w:rFonts w:ascii="Garamond" w:hAnsi="Garamond"/>
          <w:b/>
          <w:bCs/>
          <w:color w:val="000000"/>
          <w:szCs w:val="24"/>
        </w:rPr>
        <w:t xml:space="preserve"> NR. 206, DATË 7.10.2024</w:t>
      </w:r>
    </w:p>
    <w:p w14:paraId="21D5D0D3" w14:textId="77777777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67B936E0" w14:textId="2BFE0C9C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Në mbështetje të neneve 16 dhe 87, pika 4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të ligjit nr. 43/2015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“</w:t>
      </w:r>
      <w:r w:rsidRPr="008021ED">
        <w:rPr>
          <w:rFonts w:ascii="Garamond" w:hAnsi="Garamond"/>
          <w:iCs/>
          <w:color w:val="000000"/>
          <w:szCs w:val="24"/>
        </w:rPr>
        <w:t>Për sektorin e energjisë elektrike</w:t>
      </w:r>
      <w:r w:rsidRPr="008021ED">
        <w:rPr>
          <w:rFonts w:ascii="Garamond" w:hAnsi="Garamond"/>
          <w:color w:val="000000"/>
          <w:szCs w:val="24"/>
        </w:rPr>
        <w:t xml:space="preserve">” </w:t>
      </w:r>
      <w:r w:rsidR="008021ED" w:rsidRPr="008021ED">
        <w:rPr>
          <w:rFonts w:ascii="Garamond" w:hAnsi="Garamond"/>
          <w:color w:val="000000"/>
          <w:szCs w:val="24"/>
        </w:rPr>
        <w:t>të</w:t>
      </w:r>
      <w:r w:rsidRPr="008021ED">
        <w:rPr>
          <w:rFonts w:ascii="Garamond" w:hAnsi="Garamond"/>
          <w:color w:val="000000"/>
          <w:szCs w:val="24"/>
        </w:rPr>
        <w:t xml:space="preserve"> ndryshuar; </w:t>
      </w:r>
      <w:r w:rsidR="008021ED" w:rsidRPr="008021ED">
        <w:rPr>
          <w:rFonts w:ascii="Garamond" w:hAnsi="Garamond"/>
          <w:color w:val="000000"/>
          <w:szCs w:val="24"/>
        </w:rPr>
        <w:t xml:space="preserve">të </w:t>
      </w:r>
      <w:r w:rsidRPr="008021ED">
        <w:rPr>
          <w:rFonts w:ascii="Garamond" w:hAnsi="Garamond"/>
          <w:color w:val="000000"/>
          <w:szCs w:val="24"/>
        </w:rPr>
        <w:t xml:space="preserve">nenit 105, </w:t>
      </w:r>
      <w:r w:rsidR="008021ED" w:rsidRPr="008021ED">
        <w:rPr>
          <w:rFonts w:ascii="Garamond" w:hAnsi="Garamond"/>
          <w:color w:val="000000"/>
          <w:szCs w:val="24"/>
        </w:rPr>
        <w:t>germa</w:t>
      </w:r>
      <w:r w:rsidRPr="008021ED">
        <w:rPr>
          <w:rFonts w:ascii="Garamond" w:hAnsi="Garamond"/>
          <w:color w:val="000000"/>
          <w:szCs w:val="24"/>
        </w:rPr>
        <w:t xml:space="preserve"> “c”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të ligjit nr. 44/2015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</w:t>
      </w:r>
      <w:r w:rsidRPr="008021ED">
        <w:rPr>
          <w:rFonts w:ascii="Garamond" w:hAnsi="Garamond"/>
          <w:iCs/>
          <w:color w:val="000000"/>
          <w:szCs w:val="24"/>
        </w:rPr>
        <w:t>“Kodi i Procedurave Administrative të Republikës së Shqipërisë”</w:t>
      </w:r>
      <w:r w:rsidRPr="008021ED">
        <w:rPr>
          <w:rFonts w:ascii="Garamond" w:hAnsi="Garamond"/>
          <w:color w:val="000000"/>
          <w:szCs w:val="24"/>
        </w:rPr>
        <w:t xml:space="preserve">; </w:t>
      </w:r>
      <w:r w:rsidR="008021ED" w:rsidRPr="008021ED">
        <w:rPr>
          <w:rFonts w:ascii="Garamond" w:hAnsi="Garamond"/>
          <w:color w:val="000000"/>
          <w:szCs w:val="24"/>
        </w:rPr>
        <w:t>të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 </w:t>
      </w:r>
      <w:r w:rsidRPr="008021ED">
        <w:rPr>
          <w:rFonts w:ascii="Garamond" w:hAnsi="Garamond"/>
          <w:iCs/>
          <w:color w:val="000000"/>
          <w:szCs w:val="24"/>
        </w:rPr>
        <w:t xml:space="preserve">Metodologjisë së përcaktimit të çmimit të shitjes së energjisë elektrike nga 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Furnizuesi </w:t>
      </w:r>
      <w:r w:rsidRPr="008021ED">
        <w:rPr>
          <w:rFonts w:ascii="Garamond" w:hAnsi="Garamond"/>
          <w:iCs/>
          <w:color w:val="000000"/>
          <w:szCs w:val="24"/>
        </w:rPr>
        <w:t xml:space="preserve">i 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Mundësisë </w:t>
      </w:r>
      <w:r w:rsidRPr="008021ED">
        <w:rPr>
          <w:rFonts w:ascii="Garamond" w:hAnsi="Garamond"/>
          <w:iCs/>
          <w:color w:val="000000"/>
          <w:szCs w:val="24"/>
        </w:rPr>
        <w:t xml:space="preserve">së </w:t>
      </w:r>
      <w:r w:rsidR="008021ED" w:rsidRPr="008021ED">
        <w:rPr>
          <w:rFonts w:ascii="Garamond" w:hAnsi="Garamond"/>
          <w:iCs/>
          <w:color w:val="000000"/>
          <w:szCs w:val="24"/>
        </w:rPr>
        <w:t>Fundit</w:t>
      </w:r>
      <w:r w:rsidR="008021ED">
        <w:rPr>
          <w:rFonts w:ascii="Garamond" w:hAnsi="Garamond"/>
          <w:iCs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, miratuar me vendimin e </w:t>
      </w:r>
      <w:r w:rsidR="008021ED" w:rsidRPr="008021ED">
        <w:rPr>
          <w:rFonts w:ascii="Garamond" w:hAnsi="Garamond"/>
          <w:color w:val="000000"/>
          <w:szCs w:val="24"/>
        </w:rPr>
        <w:t xml:space="preserve">Bordit </w:t>
      </w:r>
      <w:r w:rsidRPr="008021ED">
        <w:rPr>
          <w:rFonts w:ascii="Garamond" w:hAnsi="Garamond"/>
          <w:color w:val="000000"/>
          <w:szCs w:val="24"/>
        </w:rPr>
        <w:t xml:space="preserve">të Entit Rregullator të Energjisë (ERE) nr. 201, datë 4.12.2017, </w:t>
      </w:r>
      <w:r w:rsidR="008021ED" w:rsidRPr="008021ED">
        <w:rPr>
          <w:rFonts w:ascii="Garamond" w:hAnsi="Garamond"/>
          <w:color w:val="000000"/>
          <w:szCs w:val="24"/>
        </w:rPr>
        <w:t>të</w:t>
      </w:r>
      <w:r w:rsidRPr="008021ED">
        <w:rPr>
          <w:rFonts w:ascii="Garamond" w:hAnsi="Garamond"/>
          <w:color w:val="000000"/>
          <w:szCs w:val="24"/>
        </w:rPr>
        <w:t xml:space="preserve"> ndryshuar; dhe </w:t>
      </w:r>
      <w:r w:rsidR="008021ED" w:rsidRPr="008021ED">
        <w:rPr>
          <w:rFonts w:ascii="Garamond" w:hAnsi="Garamond"/>
          <w:color w:val="000000"/>
          <w:szCs w:val="24"/>
        </w:rPr>
        <w:t xml:space="preserve">të </w:t>
      </w:r>
      <w:r w:rsidRPr="008021ED">
        <w:rPr>
          <w:rFonts w:ascii="Garamond" w:hAnsi="Garamond"/>
          <w:color w:val="000000"/>
          <w:szCs w:val="24"/>
        </w:rPr>
        <w:t xml:space="preserve">nenit </w:t>
      </w:r>
      <w:r w:rsidR="008021ED" w:rsidRPr="008021ED">
        <w:rPr>
          <w:rFonts w:ascii="Garamond" w:hAnsi="Garamond"/>
          <w:color w:val="000000"/>
          <w:szCs w:val="24"/>
        </w:rPr>
        <w:t>15</w:t>
      </w:r>
      <w:r w:rsidR="008021ED">
        <w:rPr>
          <w:rFonts w:ascii="Garamond" w:hAnsi="Garamond"/>
          <w:color w:val="000000"/>
          <w:szCs w:val="24"/>
        </w:rPr>
        <w:t>,</w:t>
      </w:r>
      <w:r w:rsidR="008021ED" w:rsidRPr="008021ED">
        <w:rPr>
          <w:rFonts w:ascii="Garamond" w:hAnsi="Garamond"/>
          <w:color w:val="000000"/>
          <w:szCs w:val="24"/>
        </w:rPr>
        <w:t xml:space="preserve"> </w:t>
      </w:r>
      <w:r w:rsidRPr="008021ED">
        <w:rPr>
          <w:rFonts w:ascii="Garamond" w:hAnsi="Garamond"/>
          <w:color w:val="000000"/>
          <w:szCs w:val="24"/>
        </w:rPr>
        <w:t xml:space="preserve">të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8021ED">
        <w:rPr>
          <w:rFonts w:ascii="Garamond" w:hAnsi="Garamond"/>
          <w:iCs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, miratuar me vendimin e </w:t>
      </w:r>
      <w:r w:rsidR="008021ED" w:rsidRPr="008021ED">
        <w:rPr>
          <w:rFonts w:ascii="Garamond" w:hAnsi="Garamond"/>
          <w:color w:val="000000"/>
          <w:szCs w:val="24"/>
        </w:rPr>
        <w:t xml:space="preserve">Bordit </w:t>
      </w:r>
      <w:r w:rsidRPr="008021ED">
        <w:rPr>
          <w:rFonts w:ascii="Garamond" w:hAnsi="Garamond"/>
          <w:color w:val="000000"/>
          <w:szCs w:val="24"/>
        </w:rPr>
        <w:t>të ERE-s nr. 96, datë 17.6.2016; Bordi i ERE-s, në mbledhjen e tij të datës 13.12.2024, pasi shqyrtoi relacionin me nr. 249/1 prot., datë 11.12.2024, të përgatitur nga Drejtoritë Teknike “</w:t>
      </w:r>
      <w:r w:rsidRPr="008021ED">
        <w:rPr>
          <w:rFonts w:ascii="Garamond" w:hAnsi="Garamond"/>
          <w:iCs/>
          <w:color w:val="000000"/>
          <w:szCs w:val="24"/>
        </w:rPr>
        <w:t xml:space="preserve">Mbi një ndryshim në vendimin e 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Bordit </w:t>
      </w:r>
      <w:r w:rsidRPr="008021ED">
        <w:rPr>
          <w:rFonts w:ascii="Garamond" w:hAnsi="Garamond"/>
          <w:iCs/>
          <w:color w:val="000000"/>
          <w:szCs w:val="24"/>
        </w:rPr>
        <w:t>të ERE</w:t>
      </w:r>
      <w:r w:rsidR="008021ED">
        <w:rPr>
          <w:rFonts w:ascii="Garamond" w:hAnsi="Garamond"/>
          <w:iCs/>
          <w:color w:val="000000"/>
          <w:szCs w:val="24"/>
        </w:rPr>
        <w:t>-s</w:t>
      </w:r>
      <w:r w:rsidRPr="008021ED">
        <w:rPr>
          <w:rFonts w:ascii="Garamond" w:hAnsi="Garamond"/>
          <w:iCs/>
          <w:color w:val="000000"/>
          <w:szCs w:val="24"/>
        </w:rPr>
        <w:t xml:space="preserve"> nr. 206, datë 7.10.2024 dhe mbi përcaktimin e çmimit të shitjes së energjisë elektrike nga 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Furnizuesi </w:t>
      </w:r>
      <w:r w:rsidRPr="008021ED">
        <w:rPr>
          <w:rFonts w:ascii="Garamond" w:hAnsi="Garamond"/>
          <w:iCs/>
          <w:color w:val="000000"/>
          <w:szCs w:val="24"/>
        </w:rPr>
        <w:t xml:space="preserve">i 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Mundësisë </w:t>
      </w:r>
      <w:r w:rsidRPr="008021ED">
        <w:rPr>
          <w:rFonts w:ascii="Garamond" w:hAnsi="Garamond"/>
          <w:iCs/>
          <w:color w:val="000000"/>
          <w:szCs w:val="24"/>
        </w:rPr>
        <w:t xml:space="preserve">së </w:t>
      </w:r>
      <w:r w:rsidR="008021ED" w:rsidRPr="008021ED">
        <w:rPr>
          <w:rFonts w:ascii="Garamond" w:hAnsi="Garamond"/>
          <w:iCs/>
          <w:color w:val="000000"/>
          <w:szCs w:val="24"/>
        </w:rPr>
        <w:t xml:space="preserve">Fundit </w:t>
      </w:r>
      <w:r w:rsidRPr="008021ED">
        <w:rPr>
          <w:rFonts w:ascii="Garamond" w:hAnsi="Garamond"/>
          <w:iCs/>
          <w:color w:val="000000"/>
          <w:szCs w:val="24"/>
        </w:rPr>
        <w:t xml:space="preserve">për muajin nëntor 2024 për klientët e lidhur në nivelin e tensionit 35 kV”, </w:t>
      </w:r>
    </w:p>
    <w:p w14:paraId="477B229D" w14:textId="649AD85F" w:rsidR="005C132B" w:rsidRPr="008021ED" w:rsidRDefault="008021ED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>
        <w:rPr>
          <w:rFonts w:ascii="Garamond" w:hAnsi="Garamond"/>
          <w:bCs/>
          <w:color w:val="000000"/>
          <w:szCs w:val="24"/>
        </w:rPr>
        <w:t>k</w:t>
      </w:r>
      <w:r w:rsidR="005C132B" w:rsidRPr="008021ED">
        <w:rPr>
          <w:rFonts w:ascii="Garamond" w:hAnsi="Garamond"/>
          <w:bCs/>
          <w:color w:val="000000"/>
          <w:szCs w:val="24"/>
        </w:rPr>
        <w:t>onstatoi se:</w:t>
      </w:r>
    </w:p>
    <w:p w14:paraId="59EBC8CF" w14:textId="06A5403C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- Bordi i ERE-s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me vendimin nr. 206, datë 7.10.2024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vendosi përcaktimin e çmimit të shitjes së energjisë elektrike të furnizuar nga Furnizuesi i Mundësisë së Fundit për muajin </w:t>
      </w:r>
      <w:r w:rsidR="008021ED">
        <w:rPr>
          <w:rFonts w:ascii="Garamond" w:hAnsi="Garamond"/>
          <w:color w:val="000000"/>
          <w:szCs w:val="24"/>
        </w:rPr>
        <w:t>s</w:t>
      </w:r>
      <w:r w:rsidRPr="008021ED">
        <w:rPr>
          <w:rFonts w:ascii="Garamond" w:hAnsi="Garamond"/>
          <w:color w:val="000000"/>
          <w:szCs w:val="24"/>
        </w:rPr>
        <w:t xml:space="preserve">htator 2024 prej 16.86 </w:t>
      </w:r>
      <w:r w:rsidR="008021ED">
        <w:rPr>
          <w:rFonts w:ascii="Garamond" w:hAnsi="Garamond"/>
          <w:color w:val="000000"/>
          <w:szCs w:val="24"/>
        </w:rPr>
        <w:t>l</w:t>
      </w:r>
      <w:r w:rsidRPr="008021ED">
        <w:rPr>
          <w:rFonts w:ascii="Garamond" w:hAnsi="Garamond"/>
          <w:color w:val="000000"/>
          <w:szCs w:val="24"/>
        </w:rPr>
        <w:t>ekë/k</w:t>
      </w:r>
      <w:r w:rsidR="008021ED">
        <w:rPr>
          <w:rFonts w:ascii="Garamond" w:hAnsi="Garamond"/>
          <w:color w:val="000000"/>
          <w:szCs w:val="24"/>
        </w:rPr>
        <w:t>w</w:t>
      </w:r>
      <w:r w:rsidRPr="008021ED">
        <w:rPr>
          <w:rFonts w:ascii="Garamond" w:hAnsi="Garamond"/>
          <w:color w:val="000000"/>
          <w:szCs w:val="24"/>
        </w:rPr>
        <w:t>h për klientët e lidhur në nivelin e tensionit 35 kV.</w:t>
      </w:r>
    </w:p>
    <w:p w14:paraId="45839CFE" w14:textId="505ED215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- Në vijim të këtij vendimi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ju kërkua</w:t>
      </w:r>
      <w:r w:rsidR="00830C58">
        <w:rPr>
          <w:rFonts w:ascii="Garamond" w:hAnsi="Garamond"/>
          <w:color w:val="000000"/>
          <w:szCs w:val="24"/>
        </w:rPr>
        <w:t xml:space="preserve"> </w:t>
      </w:r>
      <w:bookmarkStart w:id="0" w:name="_GoBack"/>
      <w:bookmarkEnd w:id="0"/>
      <w:r w:rsidRPr="008021ED">
        <w:rPr>
          <w:rFonts w:ascii="Garamond" w:hAnsi="Garamond"/>
          <w:color w:val="000000"/>
          <w:szCs w:val="24"/>
        </w:rPr>
        <w:t xml:space="preserve">shoqërisë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 të paraqesë faturat dhe dokumentacionin për energjinë elektrike të prokuruar në Bursën Shqiptare të Energjisë (ALPEX) për muajin shtator 2024, me qëllim vlerësimin dhe transparencën në përllogaritjen e kostos mesatare të ponderuar të blerjes së energjisë elektrike (ÇBEt).</w:t>
      </w:r>
    </w:p>
    <w:p w14:paraId="652A9669" w14:textId="737C90DA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Në përgjigje, më datë 14.10.2024,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 përcolli dokumentacionin e kërkuar, duke përfshirë: </w:t>
      </w:r>
      <w:r w:rsidR="008021ED">
        <w:rPr>
          <w:rFonts w:ascii="Garamond" w:hAnsi="Garamond"/>
          <w:color w:val="000000"/>
          <w:szCs w:val="24"/>
        </w:rPr>
        <w:t>f</w:t>
      </w:r>
      <w:r w:rsidRPr="008021ED">
        <w:rPr>
          <w:rFonts w:ascii="Garamond" w:hAnsi="Garamond"/>
          <w:color w:val="000000"/>
          <w:szCs w:val="24"/>
        </w:rPr>
        <w:t xml:space="preserve">aturat e blerjes së energjisë elektrike për muajin shtator 2024; </w:t>
      </w:r>
      <w:r w:rsidR="008021ED">
        <w:rPr>
          <w:rFonts w:ascii="Garamond" w:hAnsi="Garamond"/>
          <w:color w:val="000000"/>
          <w:szCs w:val="24"/>
        </w:rPr>
        <w:t>t</w:t>
      </w:r>
      <w:r w:rsidRPr="008021ED">
        <w:rPr>
          <w:rFonts w:ascii="Garamond" w:hAnsi="Garamond"/>
          <w:color w:val="000000"/>
          <w:szCs w:val="24"/>
        </w:rPr>
        <w:t xml:space="preserve">abelat përmbledhëse ditore; </w:t>
      </w:r>
      <w:r w:rsidR="008021ED">
        <w:rPr>
          <w:rFonts w:ascii="Garamond" w:hAnsi="Garamond"/>
          <w:color w:val="000000"/>
          <w:szCs w:val="24"/>
        </w:rPr>
        <w:t>t</w:t>
      </w:r>
      <w:r w:rsidRPr="008021ED">
        <w:rPr>
          <w:rFonts w:ascii="Garamond" w:hAnsi="Garamond"/>
          <w:color w:val="000000"/>
          <w:szCs w:val="24"/>
        </w:rPr>
        <w:t>abelat e përllogaritjes për aplikimin e çmimit të shitjes së energjisë elektrike për klientët 35 kV.</w:t>
      </w:r>
    </w:p>
    <w:p w14:paraId="2DD927B1" w14:textId="758DF522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Pas shqyrtimit të materialeve të përcjella nga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sh.a., me shkresën nr. 2024/4 prot., datë 11.11.2024, ERE i kërkoi shoqërisë informacion dhe sqarime mbi dy çështje kryesore:</w:t>
      </w:r>
    </w:p>
    <w:p w14:paraId="7ED47A34" w14:textId="3C28067C" w:rsidR="005C132B" w:rsidRPr="008021ED" w:rsidRDefault="005C132B" w:rsidP="008021E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1. Diferencat e konstatuara ndërmjet çmimeve orare të blerjes së energjisë në tregun ALPEX për muajin shtator 2024 dhe çmimeve orare të paraqitura në aplikimin për miratimin e çmimit FMF 35 kV, të cilat reflektohen edhe në përllogaritjen e çmimit mesatar të ponderuar ditor.</w:t>
      </w:r>
    </w:p>
    <w:p w14:paraId="386112FA" w14:textId="638BCDD5" w:rsidR="005C132B" w:rsidRPr="008021ED" w:rsidRDefault="005C132B" w:rsidP="008021E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2. Profilin e pandryshuar të sasive të nominuara për nivelin e tensionit 35 kV gjatë çdo ore të ditës në ALPEX, në krahasim me profilet e ndryshme të përdorura për tensionin 20/10/6 kV gjatë </w:t>
      </w:r>
      <w:r w:rsidR="008021ED">
        <w:rPr>
          <w:rFonts w:ascii="Garamond" w:hAnsi="Garamond"/>
          <w:color w:val="000000"/>
          <w:szCs w:val="24"/>
        </w:rPr>
        <w:t>t</w:t>
      </w:r>
      <w:r w:rsidRPr="008021ED">
        <w:rPr>
          <w:rFonts w:ascii="Garamond" w:hAnsi="Garamond"/>
          <w:color w:val="000000"/>
          <w:szCs w:val="24"/>
        </w:rPr>
        <w:t>ë njëjtës periudhë.</w:t>
      </w:r>
    </w:p>
    <w:p w14:paraId="7F21E4D9" w14:textId="69D08665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Me shkresën nr. 7110/1 prot., datë 25.11.2024 (protokolluar në ERE me nr. 2024/7 </w:t>
      </w:r>
      <w:r w:rsidR="008021ED">
        <w:rPr>
          <w:rFonts w:ascii="Garamond" w:hAnsi="Garamond"/>
          <w:color w:val="000000"/>
          <w:szCs w:val="24"/>
        </w:rPr>
        <w:t>p</w:t>
      </w:r>
      <w:r w:rsidRPr="008021ED">
        <w:rPr>
          <w:rFonts w:ascii="Garamond" w:hAnsi="Garamond"/>
          <w:color w:val="000000"/>
          <w:szCs w:val="24"/>
        </w:rPr>
        <w:t xml:space="preserve">rot., datë 25.11.2024),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 ofroi sqarimet e kërkuara mbi këto çështje: “1. </w:t>
      </w:r>
      <w:r w:rsidRPr="008021ED">
        <w:rPr>
          <w:rFonts w:ascii="Garamond" w:hAnsi="Garamond"/>
          <w:iCs/>
          <w:color w:val="000000"/>
          <w:szCs w:val="24"/>
        </w:rPr>
        <w:t xml:space="preserve">Për sa konstatuar nga ana juaj dhe analizuar nga ana jonë, rezulton se diferenca në përllogaritje ka ardhur si rezultat i rrumbullakosjes së sasisë orare të nominuar, </w:t>
      </w:r>
      <w:r w:rsidR="008021ED" w:rsidRPr="008021ED">
        <w:rPr>
          <w:rFonts w:ascii="Garamond" w:hAnsi="Garamond"/>
          <w:iCs/>
          <w:color w:val="000000"/>
          <w:szCs w:val="24"/>
        </w:rPr>
        <w:t>përkatësisht</w:t>
      </w:r>
      <w:r w:rsidRPr="008021ED">
        <w:rPr>
          <w:rFonts w:ascii="Garamond" w:hAnsi="Garamond"/>
          <w:iCs/>
          <w:color w:val="000000"/>
          <w:szCs w:val="24"/>
        </w:rPr>
        <w:t xml:space="preserve">: Nga parashikimi për blerjen e energjisë për klientët e kategorisë FMF 35 kV, sasia orare që do të nominohej në platformën e tregtimit të ALPEX nga </w:t>
      </w:r>
      <w:r w:rsidR="008021ED">
        <w:rPr>
          <w:rFonts w:ascii="Garamond" w:hAnsi="Garamond"/>
          <w:iCs/>
          <w:color w:val="000000"/>
          <w:szCs w:val="24"/>
        </w:rPr>
        <w:t>“</w:t>
      </w:r>
      <w:r w:rsidRPr="008021ED">
        <w:rPr>
          <w:rFonts w:ascii="Garamond" w:hAnsi="Garamond"/>
          <w:iCs/>
          <w:color w:val="000000"/>
          <w:szCs w:val="24"/>
        </w:rPr>
        <w:t>FSHU</w:t>
      </w:r>
      <w:r w:rsidR="008021ED">
        <w:rPr>
          <w:rFonts w:ascii="Garamond" w:hAnsi="Garamond"/>
          <w:iCs/>
          <w:color w:val="000000"/>
          <w:szCs w:val="24"/>
        </w:rPr>
        <w:t>”</w:t>
      </w:r>
      <w:r w:rsidRPr="008021ED">
        <w:rPr>
          <w:rFonts w:ascii="Garamond" w:hAnsi="Garamond"/>
          <w:iCs/>
          <w:color w:val="000000"/>
          <w:szCs w:val="24"/>
        </w:rPr>
        <w:t xml:space="preserve"> sh.a. ka </w:t>
      </w:r>
      <w:r w:rsidR="008021ED" w:rsidRPr="008021ED">
        <w:rPr>
          <w:rFonts w:ascii="Garamond" w:hAnsi="Garamond"/>
          <w:iCs/>
          <w:color w:val="000000"/>
          <w:szCs w:val="24"/>
        </w:rPr>
        <w:t>qenë</w:t>
      </w:r>
      <w:r w:rsidRPr="008021ED">
        <w:rPr>
          <w:rFonts w:ascii="Garamond" w:hAnsi="Garamond"/>
          <w:iCs/>
          <w:color w:val="000000"/>
          <w:szCs w:val="24"/>
        </w:rPr>
        <w:t xml:space="preserve"> 0.16919 </w:t>
      </w:r>
      <w:r w:rsidR="008021ED">
        <w:rPr>
          <w:rFonts w:ascii="Garamond" w:hAnsi="Garamond"/>
          <w:iCs/>
          <w:color w:val="000000"/>
          <w:szCs w:val="24"/>
        </w:rPr>
        <w:t>mw</w:t>
      </w:r>
      <w:r w:rsidRPr="008021ED">
        <w:rPr>
          <w:rFonts w:ascii="Garamond" w:hAnsi="Garamond"/>
          <w:iCs/>
          <w:color w:val="000000"/>
          <w:szCs w:val="24"/>
        </w:rPr>
        <w:t xml:space="preserve">h. Duke </w:t>
      </w:r>
      <w:r w:rsidR="008021ED" w:rsidRPr="008021ED">
        <w:rPr>
          <w:rFonts w:ascii="Garamond" w:hAnsi="Garamond"/>
          <w:iCs/>
          <w:color w:val="000000"/>
          <w:szCs w:val="24"/>
        </w:rPr>
        <w:t>qenë</w:t>
      </w:r>
      <w:r w:rsidRPr="008021ED">
        <w:rPr>
          <w:rFonts w:ascii="Garamond" w:hAnsi="Garamond"/>
          <w:iCs/>
          <w:color w:val="000000"/>
          <w:szCs w:val="24"/>
        </w:rPr>
        <w:t xml:space="preserve"> se bazuar në “Procedurat e tregtimit” në sistemin e ALPEX</w:t>
      </w:r>
      <w:r w:rsidR="008021ED">
        <w:rPr>
          <w:rFonts w:ascii="Garamond" w:hAnsi="Garamond"/>
          <w:iCs/>
          <w:color w:val="000000"/>
          <w:szCs w:val="24"/>
        </w:rPr>
        <w:t>-it</w:t>
      </w:r>
      <w:r w:rsidRPr="008021ED">
        <w:rPr>
          <w:rFonts w:ascii="Garamond" w:hAnsi="Garamond"/>
          <w:iCs/>
          <w:color w:val="000000"/>
          <w:szCs w:val="24"/>
        </w:rPr>
        <w:t xml:space="preserve"> mund të nominohet deri në 2 (dy) shifra pas presjes dhjetore, kjo sasi është rrumbullakosur në 0.17 </w:t>
      </w:r>
      <w:r w:rsidR="008021ED">
        <w:rPr>
          <w:rFonts w:ascii="Garamond" w:hAnsi="Garamond"/>
          <w:iCs/>
          <w:color w:val="000000"/>
          <w:szCs w:val="24"/>
        </w:rPr>
        <w:t>mw</w:t>
      </w:r>
      <w:r w:rsidRPr="008021ED">
        <w:rPr>
          <w:rFonts w:ascii="Garamond" w:hAnsi="Garamond"/>
          <w:iCs/>
          <w:color w:val="000000"/>
          <w:szCs w:val="24"/>
        </w:rPr>
        <w:t>h.</w:t>
      </w:r>
    </w:p>
    <w:p w14:paraId="5255457A" w14:textId="581D38D1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Cs w:val="24"/>
        </w:rPr>
      </w:pPr>
      <w:r w:rsidRPr="008021ED">
        <w:rPr>
          <w:rFonts w:ascii="Garamond" w:hAnsi="Garamond"/>
          <w:iCs/>
          <w:color w:val="000000"/>
          <w:szCs w:val="24"/>
        </w:rPr>
        <w:t>Në kërkesën për miratimin e çmimit dhe tabelën e përllogaritjeve pranë ERE, formula e ka llogaritur çmimin me sasinë 0.16919...</w:t>
      </w:r>
      <w:r w:rsidR="008021ED">
        <w:rPr>
          <w:rFonts w:ascii="Garamond" w:hAnsi="Garamond"/>
          <w:iCs/>
          <w:color w:val="000000"/>
          <w:szCs w:val="24"/>
        </w:rPr>
        <w:t xml:space="preserve"> mw</w:t>
      </w:r>
      <w:r w:rsidRPr="008021ED">
        <w:rPr>
          <w:rFonts w:ascii="Garamond" w:hAnsi="Garamond"/>
          <w:iCs/>
          <w:color w:val="000000"/>
          <w:szCs w:val="24"/>
        </w:rPr>
        <w:t xml:space="preserve">h (pra 5 shifra pas presjes), dhe jo 0.17 </w:t>
      </w:r>
      <w:r w:rsidR="008021ED">
        <w:rPr>
          <w:rFonts w:ascii="Garamond" w:hAnsi="Garamond"/>
          <w:iCs/>
          <w:color w:val="000000"/>
          <w:szCs w:val="24"/>
        </w:rPr>
        <w:t>mw</w:t>
      </w:r>
      <w:r w:rsidRPr="008021ED">
        <w:rPr>
          <w:rFonts w:ascii="Garamond" w:hAnsi="Garamond"/>
          <w:iCs/>
          <w:color w:val="000000"/>
          <w:szCs w:val="24"/>
        </w:rPr>
        <w:t xml:space="preserve">h. Si rezultat çmimi orar, i llogaritur si: vlera e faturës mbi bazë orare rezultuar nga blerja në ALPEX/sasinë orare (0.16919 </w:t>
      </w:r>
      <w:r w:rsidR="008021ED">
        <w:rPr>
          <w:rFonts w:ascii="Garamond" w:hAnsi="Garamond"/>
          <w:iCs/>
          <w:color w:val="000000"/>
          <w:szCs w:val="24"/>
        </w:rPr>
        <w:t>mw</w:t>
      </w:r>
      <w:r w:rsidRPr="008021ED">
        <w:rPr>
          <w:rFonts w:ascii="Garamond" w:hAnsi="Garamond"/>
          <w:iCs/>
          <w:color w:val="000000"/>
          <w:szCs w:val="24"/>
        </w:rPr>
        <w:t xml:space="preserve">h dhe jo 0.17 </w:t>
      </w:r>
      <w:r w:rsidR="008021ED">
        <w:rPr>
          <w:rFonts w:ascii="Garamond" w:hAnsi="Garamond"/>
          <w:iCs/>
          <w:color w:val="000000"/>
          <w:szCs w:val="24"/>
        </w:rPr>
        <w:t>mw</w:t>
      </w:r>
      <w:r w:rsidRPr="008021ED">
        <w:rPr>
          <w:rFonts w:ascii="Garamond" w:hAnsi="Garamond"/>
          <w:iCs/>
          <w:color w:val="000000"/>
          <w:szCs w:val="24"/>
        </w:rPr>
        <w:t xml:space="preserve">h), ka rezultuar me një diferencë të vogël, e cila reflektohet edhe në </w:t>
      </w:r>
      <w:r w:rsidRPr="008021ED">
        <w:rPr>
          <w:rFonts w:ascii="Garamond" w:hAnsi="Garamond"/>
          <w:iCs/>
          <w:color w:val="000000"/>
          <w:szCs w:val="24"/>
        </w:rPr>
        <w:lastRenderedPageBreak/>
        <w:t>koston mesatare të ponderuar të blerjes së energjisë për këtë muaj. Çmimi mesatar i ponderuar ka rezultuar 13.01 lekë/kwh dhe çmimi i shitjes së energjisë aktive 16.86 lekë/kwh.</w:t>
      </w:r>
    </w:p>
    <w:p w14:paraId="2C5741D9" w14:textId="7A5575B9" w:rsidR="005C132B" w:rsidRPr="008021ED" w:rsidRDefault="008021ED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Cs w:val="24"/>
        </w:rPr>
      </w:pPr>
      <w:r>
        <w:rPr>
          <w:rFonts w:ascii="Garamond" w:hAnsi="Garamond"/>
          <w:iCs/>
          <w:color w:val="000000"/>
          <w:szCs w:val="24"/>
        </w:rPr>
        <w:t>“</w:t>
      </w:r>
      <w:r w:rsidR="005C132B" w:rsidRPr="008021ED">
        <w:rPr>
          <w:rFonts w:ascii="Garamond" w:hAnsi="Garamond"/>
          <w:iCs/>
          <w:color w:val="000000"/>
          <w:szCs w:val="24"/>
        </w:rPr>
        <w:t>FSHU</w:t>
      </w:r>
      <w:r>
        <w:rPr>
          <w:rFonts w:ascii="Garamond" w:hAnsi="Garamond"/>
          <w:iCs/>
          <w:color w:val="000000"/>
          <w:szCs w:val="24"/>
        </w:rPr>
        <w:t>”</w:t>
      </w:r>
      <w:r w:rsidR="005C132B" w:rsidRPr="008021ED">
        <w:rPr>
          <w:rFonts w:ascii="Garamond" w:hAnsi="Garamond"/>
          <w:iCs/>
          <w:color w:val="000000"/>
          <w:szCs w:val="24"/>
        </w:rPr>
        <w:t xml:space="preserve"> sh.a. ka kryer sërish përllogaritjet duke marrë parasysh sasitë orare të nominuara në ALPEX prej 0.17 </w:t>
      </w:r>
      <w:r>
        <w:rPr>
          <w:rFonts w:ascii="Garamond" w:hAnsi="Garamond"/>
          <w:iCs/>
          <w:color w:val="000000"/>
          <w:szCs w:val="24"/>
        </w:rPr>
        <w:t>mw</w:t>
      </w:r>
      <w:r w:rsidR="005C132B" w:rsidRPr="008021ED">
        <w:rPr>
          <w:rFonts w:ascii="Garamond" w:hAnsi="Garamond"/>
          <w:iCs/>
          <w:color w:val="000000"/>
          <w:szCs w:val="24"/>
        </w:rPr>
        <w:t xml:space="preserve">h, çmimet orare, dhe vlerat orare të faturave, dhe rezulton se çmimi mesatar i ponderuar për muajin shtator 2024 është 12.95 lekë/kwh. Duke i shtuar edhe kostot e tjera për sa parashikohet në “Metodologjinë e përcaktimit të çmimit të shitjes së energjisë elektrike nga </w:t>
      </w:r>
      <w:r w:rsidRPr="008021ED">
        <w:rPr>
          <w:rFonts w:ascii="Garamond" w:hAnsi="Garamond"/>
          <w:iCs/>
          <w:color w:val="000000"/>
          <w:szCs w:val="24"/>
        </w:rPr>
        <w:t xml:space="preserve">Furnizuesi </w:t>
      </w:r>
      <w:r w:rsidR="005C132B" w:rsidRPr="008021ED">
        <w:rPr>
          <w:rFonts w:ascii="Garamond" w:hAnsi="Garamond"/>
          <w:iCs/>
          <w:color w:val="000000"/>
          <w:szCs w:val="24"/>
        </w:rPr>
        <w:t xml:space="preserve">i </w:t>
      </w:r>
      <w:r w:rsidRPr="008021ED">
        <w:rPr>
          <w:rFonts w:ascii="Garamond" w:hAnsi="Garamond"/>
          <w:iCs/>
          <w:color w:val="000000"/>
          <w:szCs w:val="24"/>
        </w:rPr>
        <w:t xml:space="preserve">Mundësisë </w:t>
      </w:r>
      <w:r w:rsidR="005C132B" w:rsidRPr="008021ED">
        <w:rPr>
          <w:rFonts w:ascii="Garamond" w:hAnsi="Garamond"/>
          <w:iCs/>
          <w:color w:val="000000"/>
          <w:szCs w:val="24"/>
        </w:rPr>
        <w:t xml:space="preserve">së </w:t>
      </w:r>
      <w:r w:rsidRPr="008021ED">
        <w:rPr>
          <w:rFonts w:ascii="Garamond" w:hAnsi="Garamond"/>
          <w:iCs/>
          <w:color w:val="000000"/>
          <w:szCs w:val="24"/>
        </w:rPr>
        <w:t>Fundit</w:t>
      </w:r>
      <w:r w:rsidR="005C132B" w:rsidRPr="008021ED">
        <w:rPr>
          <w:rFonts w:ascii="Garamond" w:hAnsi="Garamond"/>
          <w:iCs/>
          <w:color w:val="000000"/>
          <w:szCs w:val="24"/>
        </w:rPr>
        <w:t>” miratuar me vendimin nr. 201 datë 4.12.2017</w:t>
      </w:r>
      <w:r>
        <w:rPr>
          <w:rFonts w:ascii="Garamond" w:hAnsi="Garamond"/>
          <w:iCs/>
          <w:color w:val="000000"/>
          <w:szCs w:val="24"/>
        </w:rPr>
        <w:t>,</w:t>
      </w:r>
      <w:r w:rsidR="005C132B" w:rsidRPr="008021ED">
        <w:rPr>
          <w:rFonts w:ascii="Garamond" w:hAnsi="Garamond"/>
          <w:iCs/>
          <w:color w:val="000000"/>
          <w:szCs w:val="24"/>
        </w:rPr>
        <w:t xml:space="preserve"> të Bordit të ERE-s, </w:t>
      </w:r>
      <w:r w:rsidRPr="008021ED">
        <w:rPr>
          <w:rFonts w:ascii="Garamond" w:hAnsi="Garamond"/>
          <w:color w:val="000000"/>
          <w:szCs w:val="24"/>
        </w:rPr>
        <w:t>të</w:t>
      </w:r>
      <w:r w:rsidR="005C132B" w:rsidRPr="008021ED">
        <w:rPr>
          <w:rFonts w:ascii="Garamond" w:hAnsi="Garamond"/>
          <w:iCs/>
          <w:color w:val="000000"/>
          <w:szCs w:val="24"/>
        </w:rPr>
        <w:t xml:space="preserve"> ndryshuar, çmimi i energjisë aktive rezulton prej 16.80 lekë/kwh.</w:t>
      </w:r>
    </w:p>
    <w:p w14:paraId="2A85E438" w14:textId="241201A2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Cs w:val="24"/>
        </w:rPr>
      </w:pPr>
      <w:r w:rsidRPr="008021ED">
        <w:rPr>
          <w:rFonts w:ascii="Garamond" w:hAnsi="Garamond"/>
          <w:iCs/>
          <w:color w:val="000000"/>
          <w:szCs w:val="24"/>
        </w:rPr>
        <w:t xml:space="preserve">Diferenca me çmimin e përcaktuar në kërkesën për miratimin nga ana e </w:t>
      </w:r>
      <w:r w:rsidR="008021ED">
        <w:rPr>
          <w:rFonts w:ascii="Garamond" w:hAnsi="Garamond"/>
          <w:iCs/>
          <w:color w:val="000000"/>
          <w:szCs w:val="24"/>
        </w:rPr>
        <w:t>“</w:t>
      </w:r>
      <w:r w:rsidRPr="008021ED">
        <w:rPr>
          <w:rFonts w:ascii="Garamond" w:hAnsi="Garamond"/>
          <w:iCs/>
          <w:color w:val="000000"/>
          <w:szCs w:val="24"/>
        </w:rPr>
        <w:t>FSHU</w:t>
      </w:r>
      <w:r w:rsidR="008021ED">
        <w:rPr>
          <w:rFonts w:ascii="Garamond" w:hAnsi="Garamond"/>
          <w:iCs/>
          <w:color w:val="000000"/>
          <w:szCs w:val="24"/>
        </w:rPr>
        <w:t>”</w:t>
      </w:r>
      <w:r w:rsidRPr="008021ED">
        <w:rPr>
          <w:rFonts w:ascii="Garamond" w:hAnsi="Garamond"/>
          <w:iCs/>
          <w:color w:val="000000"/>
          <w:szCs w:val="24"/>
        </w:rPr>
        <w:t xml:space="preserve"> sh.a.</w:t>
      </w:r>
      <w:r w:rsidR="008021ED">
        <w:rPr>
          <w:rFonts w:ascii="Garamond" w:hAnsi="Garamond"/>
          <w:iCs/>
          <w:color w:val="000000"/>
          <w:szCs w:val="24"/>
        </w:rPr>
        <w:t>,</w:t>
      </w:r>
      <w:r w:rsidRPr="008021ED">
        <w:rPr>
          <w:rFonts w:ascii="Garamond" w:hAnsi="Garamond"/>
          <w:iCs/>
          <w:color w:val="000000"/>
          <w:szCs w:val="24"/>
        </w:rPr>
        <w:t xml:space="preserve"> si dhe miratuar nga ERE me vendimin nr. 206, datë 7.10.2014 është 0.06 lekë/kwh. Sqarojmë se </w:t>
      </w:r>
      <w:r w:rsidR="008021ED">
        <w:rPr>
          <w:rFonts w:ascii="Garamond" w:hAnsi="Garamond"/>
          <w:iCs/>
          <w:color w:val="000000"/>
          <w:szCs w:val="24"/>
        </w:rPr>
        <w:t>“</w:t>
      </w:r>
      <w:r w:rsidRPr="008021ED">
        <w:rPr>
          <w:rFonts w:ascii="Garamond" w:hAnsi="Garamond"/>
          <w:iCs/>
          <w:color w:val="000000"/>
          <w:szCs w:val="24"/>
        </w:rPr>
        <w:t>FSHU</w:t>
      </w:r>
      <w:r w:rsidR="008021ED">
        <w:rPr>
          <w:rFonts w:ascii="Garamond" w:hAnsi="Garamond"/>
          <w:iCs/>
          <w:color w:val="000000"/>
          <w:szCs w:val="24"/>
        </w:rPr>
        <w:t>”</w:t>
      </w:r>
      <w:r w:rsidRPr="008021ED">
        <w:rPr>
          <w:rFonts w:ascii="Garamond" w:hAnsi="Garamond"/>
          <w:iCs/>
          <w:color w:val="000000"/>
          <w:szCs w:val="24"/>
        </w:rPr>
        <w:t xml:space="preserve"> sh.a</w:t>
      </w:r>
      <w:r w:rsidR="008021ED">
        <w:rPr>
          <w:rFonts w:ascii="Garamond" w:hAnsi="Garamond"/>
          <w:iCs/>
          <w:color w:val="000000"/>
          <w:szCs w:val="24"/>
        </w:rPr>
        <w:t>.</w:t>
      </w:r>
      <w:r w:rsidRPr="008021ED">
        <w:rPr>
          <w:rFonts w:ascii="Garamond" w:hAnsi="Garamond"/>
          <w:iCs/>
          <w:color w:val="000000"/>
          <w:szCs w:val="24"/>
        </w:rPr>
        <w:t xml:space="preserve"> do të marrë të gjitha masat për </w:t>
      </w:r>
      <w:r w:rsidR="008021ED" w:rsidRPr="008021ED">
        <w:rPr>
          <w:rFonts w:ascii="Garamond" w:hAnsi="Garamond"/>
          <w:iCs/>
          <w:color w:val="000000"/>
          <w:szCs w:val="24"/>
        </w:rPr>
        <w:t>kompensimin</w:t>
      </w:r>
      <w:r w:rsidRPr="008021ED">
        <w:rPr>
          <w:rFonts w:ascii="Garamond" w:hAnsi="Garamond"/>
          <w:iCs/>
          <w:color w:val="000000"/>
          <w:szCs w:val="24"/>
        </w:rPr>
        <w:t xml:space="preserve"> e kësaj diference për klientët FMF të lidhur në 35 kV. 2. Për</w:t>
      </w:r>
      <w:r w:rsidR="008021ED">
        <w:rPr>
          <w:rFonts w:ascii="Garamond" w:hAnsi="Garamond"/>
          <w:iCs/>
          <w:color w:val="000000"/>
          <w:szCs w:val="24"/>
        </w:rPr>
        <w:t xml:space="preserve"> </w:t>
      </w:r>
      <w:r w:rsidRPr="008021ED">
        <w:rPr>
          <w:rFonts w:ascii="Garamond" w:hAnsi="Garamond"/>
          <w:iCs/>
          <w:color w:val="000000"/>
          <w:szCs w:val="24"/>
        </w:rPr>
        <w:t>sa i përket konstatimit tuaj që sasitë e nominuara të energjisë elektrike për nivelin e tensionit 35 kV mbeten të pandryshuara, sqarojmë se kërkesat për blerjen në “Tregun e Ditës në Avancë” (ALPEX) bazohen në vlera të parashikuara që rrjedhin nga të dhëna historike të disponueshme.”</w:t>
      </w:r>
      <w:r w:rsidR="008021ED">
        <w:rPr>
          <w:rFonts w:ascii="Garamond" w:hAnsi="Garamond"/>
          <w:iCs/>
          <w:color w:val="000000"/>
          <w:szCs w:val="24"/>
        </w:rPr>
        <w:t>.</w:t>
      </w:r>
    </w:p>
    <w:p w14:paraId="7111AB24" w14:textId="0B491121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Gjithashtu,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sh.a., me anë të shkresës së sipërcituar, na informoi se duke filluar nga data 1 nëntor 2024, sasitë e energjisë për këtë kategori klientësh po nominohen me profile të ndryshme ngarkese për çdo orë të ditës.</w:t>
      </w:r>
    </w:p>
    <w:p w14:paraId="10D1A7B4" w14:textId="3C544FA1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- Për sa më sipër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vlerësohet se për shkak të rrumbullakosjes së sasisë orare të nominuar, konsumatorët e tensionit 35 kV gjatë shtatorit 2024 janë furnizuar me energji me një çmim 0.06 lekë/k</w:t>
      </w:r>
      <w:r w:rsidR="008021ED">
        <w:rPr>
          <w:rFonts w:ascii="Garamond" w:hAnsi="Garamond"/>
          <w:color w:val="000000"/>
          <w:szCs w:val="24"/>
        </w:rPr>
        <w:t>w</w:t>
      </w:r>
      <w:r w:rsidRPr="008021ED">
        <w:rPr>
          <w:rFonts w:ascii="Garamond" w:hAnsi="Garamond"/>
          <w:color w:val="000000"/>
          <w:szCs w:val="24"/>
        </w:rPr>
        <w:t xml:space="preserve">h më të lartë se kostoja reale, duke </w:t>
      </w:r>
      <w:r w:rsidR="008021ED" w:rsidRPr="008021ED">
        <w:rPr>
          <w:rFonts w:ascii="Garamond" w:hAnsi="Garamond"/>
          <w:color w:val="000000"/>
          <w:szCs w:val="24"/>
        </w:rPr>
        <w:t>cenuar</w:t>
      </w:r>
      <w:r w:rsidRPr="008021ED">
        <w:rPr>
          <w:rFonts w:ascii="Garamond" w:hAnsi="Garamond"/>
          <w:color w:val="000000"/>
          <w:szCs w:val="24"/>
        </w:rPr>
        <w:t xml:space="preserve"> përputhshmërinë me kostot aktuale.</w:t>
      </w:r>
    </w:p>
    <w:p w14:paraId="71A7D596" w14:textId="711E76B3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Bazuar në parashikimet e “Kodit të Procedurave Administrative të Republikës së Shqipërisë”, në mbështetje të nenit 105, </w:t>
      </w:r>
      <w:r w:rsidR="008021ED" w:rsidRPr="008021ED">
        <w:rPr>
          <w:rFonts w:ascii="Garamond" w:hAnsi="Garamond"/>
          <w:color w:val="000000"/>
          <w:szCs w:val="24"/>
        </w:rPr>
        <w:t>germa</w:t>
      </w:r>
      <w:r w:rsidRPr="008021ED">
        <w:rPr>
          <w:rFonts w:ascii="Garamond" w:hAnsi="Garamond"/>
          <w:color w:val="000000"/>
          <w:szCs w:val="24"/>
        </w:rPr>
        <w:t xml:space="preserve"> “c”, citojmë se: </w:t>
      </w:r>
      <w:r w:rsidRPr="008021ED">
        <w:rPr>
          <w:rFonts w:ascii="Garamond" w:hAnsi="Garamond"/>
          <w:bCs/>
          <w:iCs/>
          <w:color w:val="000000"/>
          <w:szCs w:val="24"/>
        </w:rPr>
        <w:t>Aktet administrative kanë fuqi prapavepruese në rastin kur organi kompetent mund t</w:t>
      </w:r>
      <w:r w:rsidR="008021ED">
        <w:rPr>
          <w:rFonts w:ascii="Garamond" w:hAnsi="Garamond"/>
          <w:bCs/>
          <w:iCs/>
          <w:color w:val="000000"/>
          <w:szCs w:val="24"/>
        </w:rPr>
        <w:t>’</w:t>
      </w:r>
      <w:r w:rsidRPr="008021ED">
        <w:rPr>
          <w:rFonts w:ascii="Garamond" w:hAnsi="Garamond"/>
          <w:bCs/>
          <w:iCs/>
          <w:color w:val="000000"/>
          <w:szCs w:val="24"/>
        </w:rPr>
        <w:t>i jap fuqi prapavepruese aktit kur kjo lejohet nga ligji dhe është në favor të palëve të interesuara dhe nuk dëmton të drejtat e një pale të tretë.</w:t>
      </w:r>
    </w:p>
    <w:p w14:paraId="487F0C3F" w14:textId="79A7FD3F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Në këtë rast, ndryshimi i çmimit të përcaktuar me vendimin nr. 206/2024 të ERE-s, i bazuar në të dhënat e sakta dhe të përditësuara mbi kostot reale të blerjes së energjisë elektrike nga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sh.a., përmbush parimet ligjore, që çmimi të reflektojë kostot.</w:t>
      </w:r>
    </w:p>
    <w:p w14:paraId="6AE8B59D" w14:textId="1211141C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Ky ndryshim është në favor të konsumatorëve, duke garantuar një transparencë më të lartë dhe një përputhshmëri më të saktë me kostot aktuale, ndërsa nuk </w:t>
      </w:r>
      <w:r w:rsidR="008021ED" w:rsidRPr="008021ED">
        <w:rPr>
          <w:rFonts w:ascii="Garamond" w:hAnsi="Garamond"/>
          <w:color w:val="000000"/>
          <w:szCs w:val="24"/>
        </w:rPr>
        <w:t>cenon</w:t>
      </w:r>
      <w:r w:rsidRPr="008021ED">
        <w:rPr>
          <w:rFonts w:ascii="Garamond" w:hAnsi="Garamond"/>
          <w:color w:val="000000"/>
          <w:szCs w:val="24"/>
        </w:rPr>
        <w:t xml:space="preserve"> të drejtat e ndonjë pale të tretë. Për më tepër, rillogaritja e çmimit përmbush parimet e metodologjisë, pasi këto veprime synojnë një përmirësim të përllogaritjeve bazuar në të dhëna të sakta, duke respektuar rregullat e metodologjisë pa ndryshuar apo devijuar nga parimet e saj themelore.</w:t>
      </w:r>
    </w:p>
    <w:p w14:paraId="7C8C37D3" w14:textId="5ABD755F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Bazuar në nenin 105, </w:t>
      </w:r>
      <w:r w:rsidR="008021ED" w:rsidRPr="008021ED">
        <w:rPr>
          <w:rFonts w:ascii="Garamond" w:hAnsi="Garamond"/>
          <w:color w:val="000000"/>
          <w:szCs w:val="24"/>
        </w:rPr>
        <w:t>germa</w:t>
      </w:r>
      <w:r w:rsidRPr="008021ED">
        <w:rPr>
          <w:rFonts w:ascii="Garamond" w:hAnsi="Garamond"/>
          <w:color w:val="000000"/>
          <w:szCs w:val="24"/>
        </w:rPr>
        <w:t xml:space="preserve"> “c”, të Kodit të Procedurave Administrative, i cili lejon efektin prapaveprues të një akti administrativ kur është në favor të palëve të interesuara dhe nuk </w:t>
      </w:r>
      <w:r w:rsidR="008021ED" w:rsidRPr="008021ED">
        <w:rPr>
          <w:rFonts w:ascii="Garamond" w:hAnsi="Garamond"/>
          <w:color w:val="000000"/>
          <w:szCs w:val="24"/>
        </w:rPr>
        <w:t>cenon</w:t>
      </w:r>
      <w:r w:rsidRPr="008021ED">
        <w:rPr>
          <w:rFonts w:ascii="Garamond" w:hAnsi="Garamond"/>
          <w:color w:val="000000"/>
          <w:szCs w:val="24"/>
        </w:rPr>
        <w:t xml:space="preserve"> të drejtat e palëve të treta, rillogaritja dhe përcaktimi i çmimit të korrigjuar konsiderohet i justifikuar dhe në përputhje me parimet ligjore dhe aktet nënligjore të ERE-s.</w:t>
      </w:r>
    </w:p>
    <w:p w14:paraId="2A469A28" w14:textId="46F9E179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iCs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- Për këtë arsye, vlerësohet ndryshimi i pikës 1 të dispozitivit të vendimit nr. 206, datë 7.10.2024, nga</w:t>
      </w:r>
      <w:r w:rsidRPr="008021ED">
        <w:rPr>
          <w:rFonts w:ascii="Garamond" w:hAnsi="Garamond"/>
          <w:iCs/>
          <w:color w:val="000000"/>
          <w:szCs w:val="24"/>
        </w:rPr>
        <w:t xml:space="preserve">: 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“Përcaktimin e çmimit të shitjes së energjisë elektrike për muajin </w:t>
      </w:r>
      <w:r w:rsidR="008021ED">
        <w:rPr>
          <w:rFonts w:ascii="Garamond" w:hAnsi="Garamond"/>
          <w:bCs/>
          <w:iCs/>
          <w:color w:val="000000"/>
          <w:szCs w:val="24"/>
        </w:rPr>
        <w:t>s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htator 2024 prej 16.86 </w:t>
      </w:r>
      <w:r w:rsidR="008021ED" w:rsidRPr="008021ED">
        <w:rPr>
          <w:rFonts w:ascii="Garamond" w:hAnsi="Garamond"/>
          <w:bCs/>
          <w:iCs/>
          <w:color w:val="000000"/>
          <w:szCs w:val="24"/>
        </w:rPr>
        <w:t>lekë/kwh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 për klientët e lidhur në nivelin e tensionit 35 kV</w:t>
      </w:r>
      <w:r w:rsidR="008021ED">
        <w:rPr>
          <w:rFonts w:ascii="Garamond" w:hAnsi="Garamond"/>
          <w:bCs/>
          <w:iCs/>
          <w:color w:val="000000"/>
          <w:szCs w:val="24"/>
        </w:rPr>
        <w:t>.</w:t>
      </w:r>
      <w:r w:rsidRPr="008021ED">
        <w:rPr>
          <w:rFonts w:ascii="Garamond" w:hAnsi="Garamond"/>
          <w:bCs/>
          <w:iCs/>
          <w:color w:val="000000"/>
          <w:szCs w:val="24"/>
        </w:rPr>
        <w:t>”</w:t>
      </w:r>
      <w:r w:rsidR="008021ED">
        <w:rPr>
          <w:rFonts w:ascii="Garamond" w:hAnsi="Garamond"/>
          <w:bCs/>
          <w:iCs/>
          <w:color w:val="000000"/>
          <w:szCs w:val="24"/>
        </w:rPr>
        <w:t>,</w:t>
      </w:r>
      <w:r w:rsidRPr="008021ED">
        <w:rPr>
          <w:rFonts w:ascii="Garamond" w:hAnsi="Garamond"/>
          <w:iCs/>
          <w:color w:val="000000"/>
          <w:szCs w:val="24"/>
        </w:rPr>
        <w:t xml:space="preserve"> </w:t>
      </w:r>
      <w:r w:rsidR="008021ED">
        <w:rPr>
          <w:rFonts w:ascii="Garamond" w:hAnsi="Garamond"/>
          <w:color w:val="000000"/>
          <w:szCs w:val="24"/>
        </w:rPr>
        <w:t>n</w:t>
      </w:r>
      <w:r w:rsidRPr="008021ED">
        <w:rPr>
          <w:rFonts w:ascii="Garamond" w:hAnsi="Garamond"/>
          <w:color w:val="000000"/>
          <w:szCs w:val="24"/>
        </w:rPr>
        <w:t>ë:</w:t>
      </w:r>
      <w:r w:rsidRPr="008021ED">
        <w:rPr>
          <w:rFonts w:ascii="Garamond" w:hAnsi="Garamond"/>
          <w:iCs/>
          <w:color w:val="000000"/>
          <w:szCs w:val="24"/>
        </w:rPr>
        <w:t xml:space="preserve"> 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“Përcaktimin e çmimit të shitjes së energjisë elektrike për muajin </w:t>
      </w:r>
      <w:r w:rsidR="008021ED">
        <w:rPr>
          <w:rFonts w:ascii="Garamond" w:hAnsi="Garamond"/>
          <w:bCs/>
          <w:iCs/>
          <w:color w:val="000000"/>
          <w:szCs w:val="24"/>
        </w:rPr>
        <w:t>s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htator 2024 prej 16.80 </w:t>
      </w:r>
      <w:r w:rsidR="008021ED" w:rsidRPr="008021ED">
        <w:rPr>
          <w:rFonts w:ascii="Garamond" w:hAnsi="Garamond"/>
          <w:bCs/>
          <w:iCs/>
          <w:color w:val="000000"/>
          <w:szCs w:val="24"/>
        </w:rPr>
        <w:t xml:space="preserve">lekë/kwh </w:t>
      </w:r>
      <w:r w:rsidRPr="008021ED">
        <w:rPr>
          <w:rFonts w:ascii="Garamond" w:hAnsi="Garamond"/>
          <w:bCs/>
          <w:iCs/>
          <w:color w:val="000000"/>
          <w:szCs w:val="24"/>
        </w:rPr>
        <w:t>për klientët e lidhur në nivelin e tensionit 35 kV.”</w:t>
      </w:r>
      <w:r w:rsidR="008021ED">
        <w:rPr>
          <w:rFonts w:ascii="Garamond" w:hAnsi="Garamond"/>
          <w:bCs/>
          <w:iCs/>
          <w:color w:val="000000"/>
          <w:szCs w:val="24"/>
        </w:rPr>
        <w:t>.</w:t>
      </w:r>
    </w:p>
    <w:p w14:paraId="7194B7C9" w14:textId="6F54302C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- Gjithashtu, shoqëria </w:t>
      </w:r>
      <w:r w:rsid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color w:val="000000"/>
          <w:szCs w:val="24"/>
        </w:rPr>
        <w:t>FSHU</w:t>
      </w:r>
      <w:r w:rsidR="008021ED">
        <w:rPr>
          <w:rFonts w:ascii="Garamond" w:hAnsi="Garamond"/>
          <w:color w:val="000000"/>
          <w:szCs w:val="24"/>
        </w:rPr>
        <w:t>”</w:t>
      </w:r>
      <w:r w:rsidRPr="008021ED">
        <w:rPr>
          <w:rFonts w:ascii="Garamond" w:hAnsi="Garamond"/>
          <w:color w:val="000000"/>
          <w:szCs w:val="24"/>
        </w:rPr>
        <w:t xml:space="preserve"> sh.a. duhet të korrigjojë dhe kompensojë diferencat e rezultateve të muajit </w:t>
      </w:r>
      <w:r w:rsidR="008021ED">
        <w:rPr>
          <w:rFonts w:ascii="Garamond" w:hAnsi="Garamond"/>
          <w:color w:val="000000"/>
          <w:szCs w:val="24"/>
        </w:rPr>
        <w:t>s</w:t>
      </w:r>
      <w:r w:rsidRPr="008021ED">
        <w:rPr>
          <w:rFonts w:ascii="Garamond" w:hAnsi="Garamond"/>
          <w:color w:val="000000"/>
          <w:szCs w:val="24"/>
        </w:rPr>
        <w:t xml:space="preserve">htator 2024 në faturat e muajit </w:t>
      </w:r>
      <w:r w:rsidR="008021ED">
        <w:rPr>
          <w:rFonts w:ascii="Garamond" w:hAnsi="Garamond"/>
          <w:color w:val="000000"/>
          <w:szCs w:val="24"/>
        </w:rPr>
        <w:t>d</w:t>
      </w:r>
      <w:r w:rsidRPr="008021ED">
        <w:rPr>
          <w:rFonts w:ascii="Garamond" w:hAnsi="Garamond"/>
          <w:color w:val="000000"/>
          <w:szCs w:val="24"/>
        </w:rPr>
        <w:t>hjetor 2024.</w:t>
      </w:r>
    </w:p>
    <w:p w14:paraId="715B9041" w14:textId="0969C652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Për gjithë sa më sipër, </w:t>
      </w:r>
      <w:r w:rsidR="008021ED" w:rsidRPr="008021ED">
        <w:rPr>
          <w:rFonts w:ascii="Garamond" w:hAnsi="Garamond"/>
          <w:color w:val="000000"/>
          <w:szCs w:val="24"/>
        </w:rPr>
        <w:t xml:space="preserve">Bordi </w:t>
      </w:r>
      <w:r w:rsidRPr="008021ED">
        <w:rPr>
          <w:rFonts w:ascii="Garamond" w:hAnsi="Garamond"/>
          <w:color w:val="000000"/>
          <w:szCs w:val="24"/>
        </w:rPr>
        <w:t>i ERE-s</w:t>
      </w:r>
    </w:p>
    <w:p w14:paraId="5E8BC507" w14:textId="77777777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Cs w:val="24"/>
        </w:rPr>
      </w:pPr>
    </w:p>
    <w:p w14:paraId="60B9FFBA" w14:textId="669101CE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8021ED">
        <w:rPr>
          <w:rFonts w:ascii="Garamond" w:hAnsi="Garamond"/>
          <w:bCs/>
          <w:color w:val="000000"/>
          <w:szCs w:val="24"/>
        </w:rPr>
        <w:t>VENDOSI:</w:t>
      </w:r>
    </w:p>
    <w:p w14:paraId="6A1852A1" w14:textId="77777777" w:rsidR="005C132B" w:rsidRPr="008021ED" w:rsidRDefault="005C132B" w:rsidP="005C132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5A9474FC" w14:textId="7C6CBC99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lastRenderedPageBreak/>
        <w:t>1. Pika 1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e vendimit nr. 206, datë 7.10.2024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e </w:t>
      </w:r>
      <w:r w:rsidR="008021ED" w:rsidRPr="008021ED">
        <w:rPr>
          <w:rFonts w:ascii="Garamond" w:hAnsi="Garamond"/>
          <w:color w:val="000000"/>
          <w:szCs w:val="24"/>
        </w:rPr>
        <w:t xml:space="preserve">Bordit </w:t>
      </w:r>
      <w:r w:rsidRPr="008021ED">
        <w:rPr>
          <w:rFonts w:ascii="Garamond" w:hAnsi="Garamond"/>
          <w:color w:val="000000"/>
          <w:szCs w:val="24"/>
        </w:rPr>
        <w:t>të ERE</w:t>
      </w:r>
      <w:r w:rsidR="008021ED">
        <w:rPr>
          <w:rFonts w:ascii="Garamond" w:hAnsi="Garamond"/>
          <w:color w:val="000000"/>
          <w:szCs w:val="24"/>
        </w:rPr>
        <w:t>-s</w:t>
      </w:r>
      <w:r w:rsidRPr="008021ED">
        <w:rPr>
          <w:rFonts w:ascii="Garamond" w:hAnsi="Garamond"/>
          <w:color w:val="000000"/>
          <w:szCs w:val="24"/>
        </w:rPr>
        <w:t xml:space="preserve"> ndryshon dhe bëhet:</w:t>
      </w:r>
      <w:r w:rsidRPr="008021ED">
        <w:rPr>
          <w:rFonts w:ascii="Garamond" w:hAnsi="Garamond"/>
          <w:bCs/>
          <w:color w:val="000000"/>
          <w:szCs w:val="24"/>
        </w:rPr>
        <w:t xml:space="preserve"> </w:t>
      </w:r>
      <w:r w:rsidRPr="008021ED">
        <w:rPr>
          <w:rFonts w:ascii="Garamond" w:hAnsi="Garamond"/>
          <w:color w:val="000000"/>
          <w:szCs w:val="24"/>
        </w:rPr>
        <w:t>“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Përcaktimin e çmimit të shitjes së energjisë elektrike të furnizuar nga Furnizuesi i Mundësisë së Fundit për muajin </w:t>
      </w:r>
      <w:r w:rsidR="008021ED">
        <w:rPr>
          <w:rFonts w:ascii="Garamond" w:hAnsi="Garamond"/>
          <w:bCs/>
          <w:iCs/>
          <w:color w:val="000000"/>
          <w:szCs w:val="24"/>
        </w:rPr>
        <w:t>s</w:t>
      </w:r>
      <w:r w:rsidRPr="008021ED">
        <w:rPr>
          <w:rFonts w:ascii="Garamond" w:hAnsi="Garamond"/>
          <w:bCs/>
          <w:iCs/>
          <w:color w:val="000000"/>
          <w:szCs w:val="24"/>
        </w:rPr>
        <w:t xml:space="preserve">htator 2024 prej 16.80 </w:t>
      </w:r>
      <w:r w:rsidR="008021ED" w:rsidRPr="008021ED">
        <w:rPr>
          <w:rFonts w:ascii="Garamond" w:hAnsi="Garamond"/>
          <w:bCs/>
          <w:iCs/>
          <w:color w:val="000000"/>
          <w:szCs w:val="24"/>
        </w:rPr>
        <w:t xml:space="preserve">lekë/kwh për </w:t>
      </w:r>
      <w:r w:rsidRPr="008021ED">
        <w:rPr>
          <w:rFonts w:ascii="Garamond" w:hAnsi="Garamond"/>
          <w:bCs/>
          <w:iCs/>
          <w:color w:val="000000"/>
          <w:szCs w:val="24"/>
        </w:rPr>
        <w:t>klientët e lidhur në nivelin e tensionit 35 kV.</w:t>
      </w:r>
      <w:r w:rsidRPr="008021ED">
        <w:rPr>
          <w:rFonts w:ascii="Garamond" w:hAnsi="Garamond"/>
          <w:bCs/>
          <w:color w:val="000000"/>
          <w:szCs w:val="24"/>
        </w:rPr>
        <w:t>”</w:t>
      </w:r>
      <w:r w:rsidR="008021ED">
        <w:rPr>
          <w:rFonts w:ascii="Garamond" w:hAnsi="Garamond"/>
          <w:bCs/>
          <w:color w:val="000000"/>
          <w:szCs w:val="24"/>
        </w:rPr>
        <w:t>.</w:t>
      </w:r>
    </w:p>
    <w:p w14:paraId="46194C74" w14:textId="4D2B85FC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2. Pika 2</w:t>
      </w:r>
      <w:r w:rsidR="008021ED">
        <w:rPr>
          <w:rFonts w:ascii="Garamond" w:hAnsi="Garamond"/>
          <w:color w:val="000000"/>
          <w:szCs w:val="24"/>
        </w:rPr>
        <w:t>,</w:t>
      </w:r>
      <w:r w:rsidRPr="008021ED">
        <w:rPr>
          <w:rFonts w:ascii="Garamond" w:hAnsi="Garamond"/>
          <w:color w:val="000000"/>
          <w:szCs w:val="24"/>
        </w:rPr>
        <w:t xml:space="preserve"> e vendimit nr. 206, datë 7.10.2024, e </w:t>
      </w:r>
      <w:r w:rsidR="008021ED" w:rsidRPr="008021ED">
        <w:rPr>
          <w:rFonts w:ascii="Garamond" w:hAnsi="Garamond"/>
          <w:color w:val="000000"/>
          <w:szCs w:val="24"/>
        </w:rPr>
        <w:t xml:space="preserve">Bordit </w:t>
      </w:r>
      <w:r w:rsidRPr="008021ED">
        <w:rPr>
          <w:rFonts w:ascii="Garamond" w:hAnsi="Garamond"/>
          <w:color w:val="000000"/>
          <w:szCs w:val="24"/>
        </w:rPr>
        <w:t>të ERE</w:t>
      </w:r>
      <w:r w:rsidR="008021ED">
        <w:rPr>
          <w:rFonts w:ascii="Garamond" w:hAnsi="Garamond"/>
          <w:color w:val="000000"/>
          <w:szCs w:val="24"/>
        </w:rPr>
        <w:t>-s</w:t>
      </w:r>
      <w:r w:rsidRPr="008021ED">
        <w:rPr>
          <w:rFonts w:ascii="Garamond" w:hAnsi="Garamond"/>
          <w:color w:val="000000"/>
          <w:szCs w:val="24"/>
        </w:rPr>
        <w:t xml:space="preserve"> ndryshon dhe bëhet: “</w:t>
      </w:r>
      <w:r w:rsidRPr="008021ED">
        <w:rPr>
          <w:rFonts w:ascii="Garamond" w:hAnsi="Garamond"/>
          <w:iCs/>
          <w:color w:val="000000"/>
          <w:szCs w:val="24"/>
        </w:rPr>
        <w:t xml:space="preserve">Shoqëria të korrigjojë dhe </w:t>
      </w:r>
      <w:r w:rsidR="008021ED" w:rsidRPr="008021ED">
        <w:rPr>
          <w:rFonts w:ascii="Garamond" w:hAnsi="Garamond"/>
          <w:iCs/>
          <w:color w:val="000000"/>
          <w:szCs w:val="24"/>
        </w:rPr>
        <w:t>kompensojë</w:t>
      </w:r>
      <w:r w:rsidRPr="008021ED">
        <w:rPr>
          <w:rFonts w:ascii="Garamond" w:hAnsi="Garamond"/>
          <w:iCs/>
          <w:color w:val="000000"/>
          <w:szCs w:val="24"/>
        </w:rPr>
        <w:t xml:space="preserve"> diferencat rezultuese të muajit shtator 2024, në faturat e muajit dhjetor</w:t>
      </w:r>
      <w:r w:rsidRPr="008021ED">
        <w:rPr>
          <w:rFonts w:ascii="Garamond" w:hAnsi="Garamond"/>
          <w:color w:val="000000"/>
          <w:szCs w:val="24"/>
        </w:rPr>
        <w:t xml:space="preserve"> </w:t>
      </w:r>
      <w:r w:rsidRPr="008021ED">
        <w:rPr>
          <w:rFonts w:ascii="Garamond" w:hAnsi="Garamond"/>
          <w:iCs/>
          <w:color w:val="000000"/>
          <w:szCs w:val="24"/>
        </w:rPr>
        <w:t>2024</w:t>
      </w:r>
      <w:r w:rsidRPr="008021ED">
        <w:rPr>
          <w:rFonts w:ascii="Garamond" w:hAnsi="Garamond"/>
          <w:color w:val="000000"/>
          <w:szCs w:val="24"/>
        </w:rPr>
        <w:t>.</w:t>
      </w:r>
      <w:r w:rsidR="008021ED">
        <w:rPr>
          <w:rFonts w:ascii="Garamond" w:hAnsi="Garamond"/>
          <w:color w:val="000000"/>
          <w:szCs w:val="24"/>
        </w:rPr>
        <w:t>”.</w:t>
      </w:r>
    </w:p>
    <w:p w14:paraId="5C55F073" w14:textId="77777777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Ky vendim hyn në fuqi menjëherë.</w:t>
      </w:r>
    </w:p>
    <w:p w14:paraId="67F65786" w14:textId="69383AED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021ED" w:rsidRPr="008021ED">
        <w:rPr>
          <w:rFonts w:ascii="Garamond" w:hAnsi="Garamond"/>
          <w:color w:val="000000"/>
          <w:szCs w:val="24"/>
        </w:rPr>
        <w:t xml:space="preserve">Bordit </w:t>
      </w:r>
      <w:r w:rsidRPr="008021ED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8021ED" w:rsidRPr="008021ED">
        <w:rPr>
          <w:rFonts w:ascii="Garamond" w:hAnsi="Garamond"/>
          <w:color w:val="000000"/>
          <w:szCs w:val="24"/>
        </w:rPr>
        <w:t xml:space="preserve">Bordin </w:t>
      </w:r>
      <w:r w:rsidRPr="008021ED">
        <w:rPr>
          <w:rFonts w:ascii="Garamond" w:hAnsi="Garamond"/>
          <w:color w:val="000000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0889129" w14:textId="77777777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8021ED">
        <w:rPr>
          <w:rFonts w:ascii="Garamond" w:hAnsi="Garamond"/>
          <w:color w:val="000000"/>
          <w:szCs w:val="24"/>
        </w:rPr>
        <w:t>Ky vendim botohet në Fletoren Zyrtare.</w:t>
      </w:r>
    </w:p>
    <w:p w14:paraId="4235B7CC" w14:textId="77777777" w:rsidR="005C132B" w:rsidRPr="008021ED" w:rsidRDefault="005C132B" w:rsidP="008021E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</w:p>
    <w:p w14:paraId="21D8E826" w14:textId="27A4B337" w:rsidR="005C132B" w:rsidRPr="008021ED" w:rsidRDefault="005C132B" w:rsidP="005C132B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8021ED">
        <w:rPr>
          <w:rFonts w:ascii="Garamond" w:hAnsi="Garamond"/>
          <w:bCs/>
          <w:color w:val="000000"/>
          <w:szCs w:val="24"/>
        </w:rPr>
        <w:t>KRYETAR</w:t>
      </w:r>
    </w:p>
    <w:p w14:paraId="194EC7E2" w14:textId="5D307BE5" w:rsidR="005C132B" w:rsidRPr="008021ED" w:rsidRDefault="005C132B" w:rsidP="005C132B">
      <w:pPr>
        <w:tabs>
          <w:tab w:val="left" w:pos="82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8021ED">
        <w:rPr>
          <w:rFonts w:ascii="Garamond" w:hAnsi="Garamond"/>
          <w:b/>
          <w:bCs/>
          <w:color w:val="000000"/>
          <w:szCs w:val="24"/>
        </w:rPr>
        <w:t>Petrit Ahmeti</w:t>
      </w:r>
    </w:p>
    <w:p w14:paraId="0ABA5A75" w14:textId="36A76EEF" w:rsidR="00003DF7" w:rsidRPr="008021ED" w:rsidRDefault="00003DF7" w:rsidP="005C132B">
      <w:pPr>
        <w:spacing w:after="0" w:line="240" w:lineRule="auto"/>
        <w:ind w:firstLine="284"/>
        <w:rPr>
          <w:rFonts w:ascii="Garamond" w:hAnsi="Garamond"/>
          <w:szCs w:val="24"/>
        </w:rPr>
      </w:pPr>
    </w:p>
    <w:sectPr w:rsidR="00003DF7" w:rsidRPr="008021ED" w:rsidSect="008021E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66DA07" w14:textId="77777777" w:rsidR="008021ED" w:rsidRDefault="008021ED">
      <w:pPr>
        <w:spacing w:after="0" w:line="240" w:lineRule="auto"/>
      </w:pPr>
      <w:r>
        <w:separator/>
      </w:r>
    </w:p>
  </w:endnote>
  <w:endnote w:type="continuationSeparator" w:id="0">
    <w:p w14:paraId="7FA6F6D4" w14:textId="77777777" w:rsidR="008021ED" w:rsidRDefault="008021ED">
      <w:pPr>
        <w:spacing w:after="0" w:line="240" w:lineRule="auto"/>
      </w:pPr>
      <w:r>
        <w:continuationSeparator/>
      </w:r>
    </w:p>
  </w:endnote>
  <w:endnote w:type="continuationNotice" w:id="1">
    <w:p w14:paraId="255EE15C" w14:textId="77777777" w:rsidR="005272B4" w:rsidRDefault="005272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A5AC7" w14:textId="77777777" w:rsidR="008021ED" w:rsidRDefault="008021ED">
      <w:pPr>
        <w:spacing w:after="0" w:line="240" w:lineRule="auto"/>
      </w:pPr>
      <w:r>
        <w:separator/>
      </w:r>
    </w:p>
  </w:footnote>
  <w:footnote w:type="continuationSeparator" w:id="0">
    <w:p w14:paraId="18047CB7" w14:textId="77777777" w:rsidR="008021ED" w:rsidRDefault="008021ED">
      <w:pPr>
        <w:spacing w:after="0" w:line="240" w:lineRule="auto"/>
      </w:pPr>
      <w:r>
        <w:continuationSeparator/>
      </w:r>
    </w:p>
  </w:footnote>
  <w:footnote w:type="continuationNotice" w:id="1">
    <w:p w14:paraId="536A9D84" w14:textId="77777777" w:rsidR="005272B4" w:rsidRDefault="005272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1C4E5B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6A397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00000003"/>
    <w:multiLevelType w:val="hybridMultilevel"/>
    <w:tmpl w:val="D8748DD4"/>
    <w:lvl w:ilvl="0" w:tplc="8BF843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547ED330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35186C2C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BEDC84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0000007"/>
    <w:multiLevelType w:val="hybridMultilevel"/>
    <w:tmpl w:val="68A2A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6B08B48E"/>
    <w:lvl w:ilvl="0" w:tplc="8BF8439E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F86F3FC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multilevel"/>
    <w:tmpl w:val="4B345B0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000000B"/>
    <w:multiLevelType w:val="hybridMultilevel"/>
    <w:tmpl w:val="75B05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C9CA07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000000D"/>
    <w:multiLevelType w:val="hybridMultilevel"/>
    <w:tmpl w:val="32DA35D2"/>
    <w:lvl w:ilvl="0" w:tplc="39724BA6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000000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E180A188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E370D6D8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multilevel"/>
    <w:tmpl w:val="62FA88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5F440359"/>
    <w:multiLevelType w:val="hybridMultilevel"/>
    <w:tmpl w:val="BEF8CB94"/>
    <w:lvl w:ilvl="0" w:tplc="79BE074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7"/>
  </w:num>
  <w:num w:numId="3">
    <w:abstractNumId w:val="13"/>
  </w:num>
  <w:num w:numId="4">
    <w:abstractNumId w:val="10"/>
  </w:num>
  <w:num w:numId="5">
    <w:abstractNumId w:val="7"/>
  </w:num>
  <w:num w:numId="6">
    <w:abstractNumId w:val="8"/>
  </w:num>
  <w:num w:numId="7">
    <w:abstractNumId w:val="6"/>
  </w:num>
  <w:num w:numId="8">
    <w:abstractNumId w:val="2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4"/>
  </w:num>
  <w:num w:numId="12">
    <w:abstractNumId w:val="9"/>
  </w:num>
  <w:num w:numId="13">
    <w:abstractNumId w:val="1"/>
  </w:num>
  <w:num w:numId="14">
    <w:abstractNumId w:val="14"/>
  </w:num>
  <w:num w:numId="15">
    <w:abstractNumId w:val="11"/>
  </w:num>
  <w:num w:numId="16">
    <w:abstractNumId w:val="15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59A"/>
    <w:rsid w:val="00003DF7"/>
    <w:rsid w:val="000C3F8F"/>
    <w:rsid w:val="0024059A"/>
    <w:rsid w:val="002F191E"/>
    <w:rsid w:val="005272B4"/>
    <w:rsid w:val="00584839"/>
    <w:rsid w:val="005C132B"/>
    <w:rsid w:val="00732E98"/>
    <w:rsid w:val="008021ED"/>
    <w:rsid w:val="00830C58"/>
    <w:rsid w:val="009B4FF0"/>
    <w:rsid w:val="00C1367E"/>
    <w:rsid w:val="00C51E2C"/>
    <w:rsid w:val="00CC1BC9"/>
    <w:rsid w:val="00D5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5399729"/>
  <w15:docId w15:val="{3673FE66-40FA-48C3-93DE-BDE6586F8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2"/>
        <w:lang w:val="en-GB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hAnsi="Calibri" w:cs="SimSun"/>
      <w:sz w:val="22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hAnsi="Calibri" w:cs="SimSun"/>
      <w:sz w:val="22"/>
      <w:lang w:val="sq-AL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  <w:jc w:val="left"/>
    </w:pPr>
    <w:rPr>
      <w:rFonts w:eastAsia="Times New Roman"/>
      <w:szCs w:val="24"/>
      <w:lang w:val="en-US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  <w:jc w:val="left"/>
    </w:pPr>
    <w:rPr>
      <w:rFonts w:eastAsia="Times New Roman"/>
      <w:szCs w:val="24"/>
      <w:lang w:val="en-US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  <w:jc w:val="left"/>
    </w:pPr>
    <w:rPr>
      <w:color w:val="000000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2025-01-09T11:51:52Z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një ndryshim në vendimin e bordit të ERE nr. 206, datë 07.10.2024</Titulli>
    <Modifikuesi xmlns="0e656187-b300-4fb0-8bf4-3a50f872073c">Suada.Daci</Modifikuesi>
    <Nr_x002e__x0020_prot_x0020_QBZ xmlns="0e656187-b300-4fb0-8bf4-3a50f872073c">14/3</Nr_x002e__x0020_prot_x0020_QBZ>
    <Data_x0020_e_x0020_Modifikimit xmlns="0e656187-b300-4fb0-8bf4-3a50f872073c">2025-01-09T13:57:14Z</Data_x0020_e_x0020_Modifikimit>
    <Dekretuar xmlns="0e656187-b300-4fb0-8bf4-3a50f872073c">false</Dekretuar>
    <Data xmlns="0e656187-b300-4fb0-8bf4-3a50f872073c">2024-12-13T00:00:00Z</Data>
    <Nr_x002e__x0020_protokolli_x0020_i_x0020_aktit xmlns="0e656187-b300-4fb0-8bf4-3a50f872073c">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7B84AD24C4AF0AED47DA9BCA29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97B84AD24C4AF0AED47DA9BCA298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21AF379-73DF-4DF4-B09A-791590EE1953}">
  <ds:schemaRefs>
    <ds:schemaRef ds:uri="http://schemas.microsoft.com/office/2006/documentManagement/types"/>
    <ds:schemaRef ds:uri="http://purl.org/dc/elements/1.1/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D544B68-9D0C-4C36-919E-56E3CB54D9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19773E-ABBB-4589-95D0-1865D3A257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6DAC3D5-25B9-4BBC-8A75-A65608CA24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FA0E08-5F41-42A0-9D96-89D74F1A05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Fjora Cahani</cp:lastModifiedBy>
  <cp:revision>5</cp:revision>
  <dcterms:created xsi:type="dcterms:W3CDTF">2024-12-30T12:52:00Z</dcterms:created>
  <dcterms:modified xsi:type="dcterms:W3CDTF">2025-01-10T09:56:00Z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40c9b5b2cc224683aaf33691e5d155d6</vt:lpwstr>
  </property>
</Properties>
</file>