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49E17" w14:textId="77777777" w:rsidR="00565083" w:rsidRPr="00B20933" w:rsidRDefault="00565083" w:rsidP="00B20933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20933">
        <w:rPr>
          <w:rFonts w:ascii="Garamond" w:hAnsi="Garamond"/>
          <w:b/>
          <w:bCs/>
          <w:sz w:val="24"/>
          <w:szCs w:val="24"/>
        </w:rPr>
        <w:t>VENDIM</w:t>
      </w:r>
    </w:p>
    <w:p w14:paraId="7AD1B231" w14:textId="3B14F033" w:rsidR="00565083" w:rsidRPr="00B20933" w:rsidRDefault="00565083" w:rsidP="00B20933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20933">
        <w:rPr>
          <w:rFonts w:ascii="Garamond" w:hAnsi="Garamond"/>
          <w:b/>
          <w:bCs/>
          <w:sz w:val="24"/>
          <w:szCs w:val="24"/>
        </w:rPr>
        <w:t>Nr. 284, datë 18.12.2024</w:t>
      </w:r>
    </w:p>
    <w:p w14:paraId="59ADF9D6" w14:textId="77777777" w:rsidR="00565083" w:rsidRPr="00B20933" w:rsidRDefault="00565083" w:rsidP="00B20933">
      <w:pPr>
        <w:pStyle w:val="BodyText"/>
        <w:ind w:firstLine="284"/>
        <w:rPr>
          <w:rFonts w:ascii="Garamond" w:hAnsi="Garamond"/>
          <w:b/>
          <w:bCs/>
        </w:rPr>
      </w:pPr>
    </w:p>
    <w:p w14:paraId="46B88651" w14:textId="59A5EDD0" w:rsidR="00565083" w:rsidRPr="00B20933" w:rsidRDefault="00565083" w:rsidP="00B20933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20933">
        <w:rPr>
          <w:rFonts w:ascii="Garamond" w:hAnsi="Garamond"/>
          <w:b/>
          <w:bCs/>
          <w:sz w:val="24"/>
          <w:szCs w:val="24"/>
        </w:rPr>
        <w:t>MBI MIRATIMIN E METODOLOGJISË SË PËRCAKTIMIT TË DETYRIMIT PËR ENERGJINË E RINOVUESHME</w:t>
      </w:r>
    </w:p>
    <w:p w14:paraId="3005BB4E" w14:textId="77777777" w:rsidR="00565083" w:rsidRPr="00B20933" w:rsidRDefault="00565083" w:rsidP="00B20933">
      <w:pPr>
        <w:pStyle w:val="BodyText"/>
        <w:ind w:firstLine="284"/>
        <w:rPr>
          <w:rFonts w:ascii="Garamond" w:hAnsi="Garamond"/>
          <w:b/>
          <w:bCs/>
        </w:rPr>
      </w:pPr>
    </w:p>
    <w:p w14:paraId="66EF5CB3" w14:textId="24A2229F" w:rsidR="00565083" w:rsidRPr="00833561" w:rsidRDefault="00565083" w:rsidP="00B20933">
      <w:pPr>
        <w:ind w:firstLine="284"/>
        <w:jc w:val="both"/>
        <w:rPr>
          <w:rFonts w:ascii="Garamond" w:hAnsi="Garamond"/>
          <w:sz w:val="24"/>
          <w:szCs w:val="24"/>
        </w:rPr>
      </w:pPr>
      <w:r w:rsidRPr="00833561">
        <w:rPr>
          <w:rFonts w:ascii="Garamond" w:hAnsi="Garamond"/>
          <w:sz w:val="24"/>
          <w:szCs w:val="24"/>
        </w:rPr>
        <w:t>Në mbështetje të neneve 16, 18, pika 1, g</w:t>
      </w:r>
      <w:r w:rsidR="00833561" w:rsidRPr="00833561">
        <w:rPr>
          <w:rFonts w:ascii="Garamond" w:hAnsi="Garamond"/>
          <w:sz w:val="24"/>
          <w:szCs w:val="24"/>
        </w:rPr>
        <w:t>e</w:t>
      </w:r>
      <w:r w:rsidRPr="00833561">
        <w:rPr>
          <w:rFonts w:ascii="Garamond" w:hAnsi="Garamond"/>
          <w:sz w:val="24"/>
          <w:szCs w:val="24"/>
        </w:rPr>
        <w:t>rma</w:t>
      </w:r>
      <w:r w:rsidR="00833561" w:rsidRPr="00833561">
        <w:rPr>
          <w:rFonts w:ascii="Garamond" w:hAnsi="Garamond"/>
          <w:sz w:val="24"/>
          <w:szCs w:val="24"/>
        </w:rPr>
        <w:t>t</w:t>
      </w:r>
      <w:r w:rsidRPr="00833561">
        <w:rPr>
          <w:rFonts w:ascii="Garamond" w:hAnsi="Garamond"/>
          <w:sz w:val="24"/>
          <w:szCs w:val="24"/>
        </w:rPr>
        <w:t xml:space="preserve"> “a” dhe “dh”; si dhe nenit 19</w:t>
      </w:r>
      <w:r w:rsidR="00833561" w:rsidRPr="00833561">
        <w:rPr>
          <w:rFonts w:ascii="Garamond" w:hAnsi="Garamond"/>
          <w:sz w:val="24"/>
          <w:szCs w:val="24"/>
        </w:rPr>
        <w:t>,</w:t>
      </w:r>
      <w:r w:rsidRPr="00833561">
        <w:rPr>
          <w:rFonts w:ascii="Garamond" w:hAnsi="Garamond"/>
          <w:sz w:val="24"/>
          <w:szCs w:val="24"/>
        </w:rPr>
        <w:t xml:space="preserve"> g</w:t>
      </w:r>
      <w:r w:rsidR="00833561" w:rsidRPr="00833561">
        <w:rPr>
          <w:rFonts w:ascii="Garamond" w:hAnsi="Garamond"/>
          <w:sz w:val="24"/>
          <w:szCs w:val="24"/>
        </w:rPr>
        <w:t>e</w:t>
      </w:r>
      <w:r w:rsidRPr="00833561">
        <w:rPr>
          <w:rFonts w:ascii="Garamond" w:hAnsi="Garamond"/>
          <w:sz w:val="24"/>
          <w:szCs w:val="24"/>
        </w:rPr>
        <w:t>rma “b”</w:t>
      </w:r>
      <w:r w:rsidR="00833561" w:rsidRPr="00833561">
        <w:rPr>
          <w:rFonts w:ascii="Garamond" w:hAnsi="Garamond"/>
          <w:sz w:val="24"/>
          <w:szCs w:val="24"/>
        </w:rPr>
        <w:t>,</w:t>
      </w:r>
      <w:r w:rsidRPr="00833561">
        <w:rPr>
          <w:rFonts w:ascii="Garamond" w:hAnsi="Garamond"/>
          <w:sz w:val="24"/>
          <w:szCs w:val="24"/>
        </w:rPr>
        <w:t xml:space="preserve"> të ligjit nr. 43/2015, </w:t>
      </w:r>
      <w:r w:rsidRPr="00833561">
        <w:rPr>
          <w:rFonts w:ascii="Garamond" w:hAnsi="Garamond"/>
          <w:iCs/>
          <w:sz w:val="24"/>
          <w:szCs w:val="24"/>
        </w:rPr>
        <w:t xml:space="preserve">“Për </w:t>
      </w:r>
      <w:r w:rsidR="00833561" w:rsidRPr="00833561">
        <w:rPr>
          <w:rFonts w:ascii="Garamond" w:hAnsi="Garamond"/>
          <w:iCs/>
          <w:sz w:val="24"/>
          <w:szCs w:val="24"/>
        </w:rPr>
        <w:t>sektorin e energjisë elektrike</w:t>
      </w:r>
      <w:r w:rsidRPr="00833561">
        <w:rPr>
          <w:rFonts w:ascii="Garamond" w:hAnsi="Garamond"/>
          <w:iCs/>
          <w:sz w:val="24"/>
          <w:szCs w:val="24"/>
        </w:rPr>
        <w:t>”</w:t>
      </w:r>
      <w:r w:rsidRPr="00833561">
        <w:rPr>
          <w:rFonts w:ascii="Garamond" w:hAnsi="Garamond"/>
          <w:sz w:val="24"/>
          <w:szCs w:val="24"/>
        </w:rPr>
        <w:t>, i ndryshuar; nenit 3, pika 8</w:t>
      </w:r>
      <w:r w:rsidR="00833561" w:rsidRPr="00833561">
        <w:rPr>
          <w:rFonts w:ascii="Garamond" w:hAnsi="Garamond"/>
          <w:sz w:val="24"/>
          <w:szCs w:val="24"/>
        </w:rPr>
        <w:t>,</w:t>
      </w:r>
      <w:r w:rsidRPr="00833561">
        <w:rPr>
          <w:rFonts w:ascii="Garamond" w:hAnsi="Garamond"/>
          <w:sz w:val="24"/>
          <w:szCs w:val="24"/>
        </w:rPr>
        <w:t xml:space="preserve"> dhe nenit 16</w:t>
      </w:r>
      <w:r w:rsidR="00833561" w:rsidRPr="00833561">
        <w:rPr>
          <w:rFonts w:ascii="Garamond" w:hAnsi="Garamond"/>
          <w:sz w:val="24"/>
          <w:szCs w:val="24"/>
        </w:rPr>
        <w:t>,</w:t>
      </w:r>
      <w:r w:rsidRPr="00833561">
        <w:rPr>
          <w:rFonts w:ascii="Garamond" w:hAnsi="Garamond"/>
          <w:sz w:val="24"/>
          <w:szCs w:val="24"/>
        </w:rPr>
        <w:t xml:space="preserve"> të ligjit nr. 24/2023</w:t>
      </w:r>
      <w:r w:rsidR="00833561" w:rsidRPr="00833561">
        <w:rPr>
          <w:rFonts w:ascii="Garamond" w:hAnsi="Garamond"/>
          <w:sz w:val="24"/>
          <w:szCs w:val="24"/>
        </w:rPr>
        <w:t>,</w:t>
      </w:r>
      <w:r w:rsidRPr="00833561">
        <w:rPr>
          <w:rFonts w:ascii="Garamond" w:hAnsi="Garamond"/>
          <w:sz w:val="24"/>
          <w:szCs w:val="24"/>
        </w:rPr>
        <w:t xml:space="preserve"> </w:t>
      </w:r>
      <w:r w:rsidRPr="00833561">
        <w:rPr>
          <w:rFonts w:ascii="Garamond" w:hAnsi="Garamond"/>
          <w:iCs/>
          <w:sz w:val="24"/>
          <w:szCs w:val="24"/>
        </w:rPr>
        <w:t xml:space="preserve">“Për </w:t>
      </w:r>
      <w:r w:rsidR="00833561" w:rsidRPr="00833561">
        <w:rPr>
          <w:rFonts w:ascii="Garamond" w:hAnsi="Garamond"/>
          <w:iCs/>
          <w:sz w:val="24"/>
          <w:szCs w:val="24"/>
        </w:rPr>
        <w:t>nxitjen e përdorimit të energjisë nga burimet e rinovueshme</w:t>
      </w:r>
      <w:r w:rsidRPr="00833561">
        <w:rPr>
          <w:rFonts w:ascii="Garamond" w:hAnsi="Garamond"/>
          <w:iCs/>
          <w:sz w:val="24"/>
          <w:szCs w:val="24"/>
        </w:rPr>
        <w:t>”</w:t>
      </w:r>
      <w:r w:rsidRPr="00833561">
        <w:rPr>
          <w:rFonts w:ascii="Garamond" w:hAnsi="Garamond"/>
          <w:sz w:val="24"/>
          <w:szCs w:val="24"/>
        </w:rPr>
        <w:t>; dhe neneve 15 dhe 26</w:t>
      </w:r>
      <w:r w:rsidR="00833561" w:rsidRPr="00833561">
        <w:rPr>
          <w:rFonts w:ascii="Garamond" w:hAnsi="Garamond"/>
          <w:sz w:val="24"/>
          <w:szCs w:val="24"/>
        </w:rPr>
        <w:t>,</w:t>
      </w:r>
      <w:r w:rsidRPr="00833561">
        <w:rPr>
          <w:rFonts w:ascii="Garamond" w:hAnsi="Garamond"/>
          <w:sz w:val="24"/>
          <w:szCs w:val="24"/>
        </w:rPr>
        <w:t xml:space="preserve"> të </w:t>
      </w:r>
      <w:r w:rsidR="00833561" w:rsidRPr="00833561">
        <w:rPr>
          <w:rFonts w:ascii="Garamond" w:hAnsi="Garamond"/>
          <w:sz w:val="24"/>
          <w:szCs w:val="24"/>
        </w:rPr>
        <w:t>“</w:t>
      </w:r>
      <w:r w:rsidRPr="00833561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833561" w:rsidRPr="00833561">
        <w:rPr>
          <w:rFonts w:ascii="Garamond" w:hAnsi="Garamond"/>
          <w:iCs/>
          <w:sz w:val="24"/>
          <w:szCs w:val="24"/>
        </w:rPr>
        <w:t>”</w:t>
      </w:r>
      <w:r w:rsidRPr="00833561">
        <w:rPr>
          <w:rFonts w:ascii="Garamond" w:hAnsi="Garamond"/>
          <w:sz w:val="24"/>
          <w:szCs w:val="24"/>
        </w:rPr>
        <w:t xml:space="preserve">, miratuar me vendimin e </w:t>
      </w:r>
      <w:r w:rsidR="00833561" w:rsidRPr="00833561">
        <w:rPr>
          <w:rFonts w:ascii="Garamond" w:hAnsi="Garamond"/>
          <w:sz w:val="24"/>
          <w:szCs w:val="24"/>
        </w:rPr>
        <w:t>B</w:t>
      </w:r>
      <w:r w:rsidRPr="00833561">
        <w:rPr>
          <w:rFonts w:ascii="Garamond" w:hAnsi="Garamond"/>
          <w:sz w:val="24"/>
          <w:szCs w:val="24"/>
        </w:rPr>
        <w:t>ordit të Entit Rregullator të Energjisë (ERE) nr. 96, datë 3.9.2016; Bordi i ERE-s</w:t>
      </w:r>
      <w:r w:rsidR="00833561" w:rsidRPr="00833561">
        <w:rPr>
          <w:rFonts w:ascii="Garamond" w:hAnsi="Garamond"/>
          <w:sz w:val="24"/>
          <w:szCs w:val="24"/>
        </w:rPr>
        <w:t>,</w:t>
      </w:r>
      <w:r w:rsidRPr="00833561">
        <w:rPr>
          <w:rFonts w:ascii="Garamond" w:hAnsi="Garamond"/>
          <w:sz w:val="24"/>
          <w:szCs w:val="24"/>
        </w:rPr>
        <w:t xml:space="preserve"> në mbledhjen e tij të datës 18.12.2024, pasi shqyrtoi relacionin me nr. 2574 prot., datë 17.12.2024 të përgatitur nga Drejtoria e Zhvillimit të Politikave dhe Mbikëqyrjes së Burimeve të Rinovueshme “</w:t>
      </w:r>
      <w:r w:rsidRPr="00833561">
        <w:rPr>
          <w:rFonts w:ascii="Garamond" w:hAnsi="Garamond"/>
          <w:iCs/>
          <w:sz w:val="24"/>
          <w:szCs w:val="24"/>
        </w:rPr>
        <w:t>Mbi miratimin e Metodologjisë së përcaktimit të detyrimit për energjinë e rinovueshme</w:t>
      </w:r>
      <w:r w:rsidRPr="00833561">
        <w:rPr>
          <w:rFonts w:ascii="Garamond" w:hAnsi="Garamond"/>
          <w:sz w:val="24"/>
          <w:szCs w:val="24"/>
        </w:rPr>
        <w:t>”,</w:t>
      </w:r>
    </w:p>
    <w:p w14:paraId="0D5EBBC2" w14:textId="03DAD8E7" w:rsidR="00565083" w:rsidRPr="00833561" w:rsidRDefault="00833561" w:rsidP="00B20933">
      <w:pPr>
        <w:pStyle w:val="Heading1"/>
        <w:ind w:left="0" w:firstLine="284"/>
        <w:jc w:val="both"/>
        <w:rPr>
          <w:rFonts w:ascii="Garamond" w:hAnsi="Garamond"/>
          <w:b w:val="0"/>
        </w:rPr>
      </w:pPr>
      <w:r w:rsidRPr="00833561">
        <w:rPr>
          <w:rFonts w:ascii="Garamond" w:hAnsi="Garamond"/>
          <w:b w:val="0"/>
        </w:rPr>
        <w:t>k</w:t>
      </w:r>
      <w:r w:rsidR="00565083" w:rsidRPr="00833561">
        <w:rPr>
          <w:rFonts w:ascii="Garamond" w:hAnsi="Garamond"/>
          <w:b w:val="0"/>
        </w:rPr>
        <w:t>onstatoi se:</w:t>
      </w:r>
    </w:p>
    <w:p w14:paraId="0655B46F" w14:textId="1018E1C4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- Bordi i ERE-s, me vendimin nr. 377, datë 26.12.2023, ka vendosur fillimin e procedurës për miratimin e Metodologjisë mbi përcaktimin e detyrimit për energjinë e rinovueshme.</w:t>
      </w:r>
    </w:p>
    <w:p w14:paraId="57D6DF37" w14:textId="7F07516D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- ERE ka njoftuar të gjithë palët e interesit për të shprehur opinionet e tyre në lidhje me këtë draft – metodologji</w:t>
      </w:r>
      <w:r w:rsidR="000B6190">
        <w:rPr>
          <w:rFonts w:ascii="Garamond" w:hAnsi="Garamond"/>
          <w:sz w:val="24"/>
          <w:szCs w:val="24"/>
        </w:rPr>
        <w:t>,</w:t>
      </w:r>
      <w:r w:rsidRPr="00B20933">
        <w:rPr>
          <w:rFonts w:ascii="Garamond" w:hAnsi="Garamond"/>
          <w:sz w:val="24"/>
          <w:szCs w:val="24"/>
        </w:rPr>
        <w:t xml:space="preserve"> si dhe ka publikuar dokumentin në faqen zyrtare të internetit të ERE-s, në seksionin “Konsultime”.</w:t>
      </w:r>
    </w:p>
    <w:p w14:paraId="12355252" w14:textId="482BE65F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- Palët e interesit të cilët kanë paraqitur komentet e tyre janë: Shoqata Shqiptare e Energjisë së Rinovueshme (AREA) me shkresën nr. l810/206 prot., datë 23.2.2024; Shoqata Shqiptare e Furnizuesve të Energjisë Elektrike (AAES) me shkresën nr. l502 prot, datë 15.2.2024 dhe shoqëria “Furnizuesi i Tregut të Lirë” (FTL) sh.a.</w:t>
      </w:r>
      <w:r w:rsidR="00833561">
        <w:rPr>
          <w:rFonts w:ascii="Garamond" w:hAnsi="Garamond"/>
          <w:sz w:val="24"/>
          <w:szCs w:val="24"/>
        </w:rPr>
        <w:t>,</w:t>
      </w:r>
      <w:r w:rsidRPr="00B20933">
        <w:rPr>
          <w:rFonts w:ascii="Garamond" w:hAnsi="Garamond"/>
          <w:sz w:val="24"/>
          <w:szCs w:val="24"/>
        </w:rPr>
        <w:t xml:space="preserve"> me shkresën nr. 384/1 prot., datë 26.3.2024. Drafti i metodologjisë është diskutuar edhe me konsulentët, të cilët kanë ofruar asistencën e tyre, me qëllim adresimin e komenteve të arsyetuara të palëve të interesit.</w:t>
      </w:r>
    </w:p>
    <w:p w14:paraId="026AB2FF" w14:textId="28AB6926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 xml:space="preserve">- Në vijim, në zbatim të </w:t>
      </w:r>
      <w:r w:rsidR="00833561" w:rsidRPr="00B20933">
        <w:rPr>
          <w:rFonts w:ascii="Garamond" w:hAnsi="Garamond"/>
          <w:sz w:val="24"/>
          <w:szCs w:val="24"/>
        </w:rPr>
        <w:t xml:space="preserve">urdhrit të kryetarit </w:t>
      </w:r>
      <w:r w:rsidRPr="00B20933">
        <w:rPr>
          <w:rFonts w:ascii="Garamond" w:hAnsi="Garamond"/>
          <w:sz w:val="24"/>
          <w:szCs w:val="24"/>
        </w:rPr>
        <w:t>të ERE-s, më datë 17.10.2024 u zhvillua një seancë dëgjimore me pjesëmarrjen e përfaqësuesve të ERE-s, FTL sh.a., AREA dhe OSHEE Group, ku u diskutuan dhe u adresuan komentet e paraqitura nga palët e interesit.</w:t>
      </w:r>
    </w:p>
    <w:p w14:paraId="526196F5" w14:textId="5905EA2E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- Komentet e palëve të interesit janë fokusuar në afatin për paraqitjen e të dhënave, parapagimin nga furnizuesit, kalimin e marrëveshjeve të blerjes së energjisë te</w:t>
      </w:r>
      <w:r w:rsidR="00833561">
        <w:rPr>
          <w:rFonts w:ascii="Garamond" w:hAnsi="Garamond"/>
          <w:sz w:val="24"/>
          <w:szCs w:val="24"/>
        </w:rPr>
        <w:t>k</w:t>
      </w:r>
      <w:r w:rsidRPr="00B20933">
        <w:rPr>
          <w:rFonts w:ascii="Garamond" w:hAnsi="Garamond"/>
          <w:sz w:val="24"/>
          <w:szCs w:val="24"/>
        </w:rPr>
        <w:t xml:space="preserve"> OER</w:t>
      </w:r>
      <w:r w:rsidR="00833561">
        <w:rPr>
          <w:rFonts w:ascii="Garamond" w:hAnsi="Garamond"/>
          <w:sz w:val="24"/>
          <w:szCs w:val="24"/>
        </w:rPr>
        <w:t>-ja</w:t>
      </w:r>
      <w:r w:rsidRPr="00B20933">
        <w:rPr>
          <w:rFonts w:ascii="Garamond" w:hAnsi="Garamond"/>
          <w:sz w:val="24"/>
          <w:szCs w:val="24"/>
        </w:rPr>
        <w:t xml:space="preserve"> pas konsolidimit të tij, përgjegjësinë balancuese, rikuperimin e pagesave nga furnizuesit e tjerë dhe hyrjen në fuqi të metodologjisë me miratimin e vendimit të Këshillit të Ministrave për detyrat dhe përgjegjësitë e Operatorit të Energjisë së Rinovueshme.</w:t>
      </w:r>
    </w:p>
    <w:p w14:paraId="7FE20F7D" w14:textId="3E276368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- Në lidhje me komentet e paraqitura nga palët e interesit, sqarojmë se ERE ka marrë parasysh pjesërisht komentet mbi afatin për paraqitjen e të dhënave dhe parapagimin nga furnizuesit, duke shtyrë afatin e dorëzimit të të dhënave nga furnizuesit dhe prodhuesit të OER</w:t>
      </w:r>
      <w:r w:rsidR="00833561">
        <w:rPr>
          <w:rFonts w:ascii="Garamond" w:hAnsi="Garamond"/>
          <w:sz w:val="24"/>
          <w:szCs w:val="24"/>
        </w:rPr>
        <w:t>-s</w:t>
      </w:r>
      <w:r w:rsidR="00833561" w:rsidRPr="00B20933">
        <w:rPr>
          <w:rFonts w:ascii="Garamond" w:hAnsi="Garamond"/>
          <w:sz w:val="24"/>
          <w:szCs w:val="24"/>
        </w:rPr>
        <w:t>ë</w:t>
      </w:r>
      <w:r w:rsidRPr="00B20933">
        <w:rPr>
          <w:rFonts w:ascii="Garamond" w:hAnsi="Garamond"/>
          <w:sz w:val="24"/>
          <w:szCs w:val="24"/>
        </w:rPr>
        <w:t>, si dhe nga OER</w:t>
      </w:r>
      <w:r w:rsidR="00833561">
        <w:rPr>
          <w:rFonts w:ascii="Garamond" w:hAnsi="Garamond"/>
          <w:sz w:val="24"/>
          <w:szCs w:val="24"/>
        </w:rPr>
        <w:t>-ja</w:t>
      </w:r>
      <w:r w:rsidRPr="00B20933">
        <w:rPr>
          <w:rFonts w:ascii="Garamond" w:hAnsi="Garamond"/>
          <w:sz w:val="24"/>
          <w:szCs w:val="24"/>
        </w:rPr>
        <w:t xml:space="preserve"> tek ERE.</w:t>
      </w:r>
    </w:p>
    <w:p w14:paraId="2906D9E8" w14:textId="1D166402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- Në lidhje me parapagimin, duke iu referuar përcaktimeve të nenit 16, pika 12</w:t>
      </w:r>
      <w:r w:rsidR="000B6190">
        <w:rPr>
          <w:rFonts w:ascii="Garamond" w:hAnsi="Garamond"/>
          <w:sz w:val="24"/>
          <w:szCs w:val="24"/>
        </w:rPr>
        <w:t>,</w:t>
      </w:r>
      <w:r w:rsidRPr="00B20933">
        <w:rPr>
          <w:rFonts w:ascii="Garamond" w:hAnsi="Garamond"/>
          <w:sz w:val="24"/>
          <w:szCs w:val="24"/>
        </w:rPr>
        <w:t xml:space="preserve"> të ligjit nr. 24/2023, ERE ka parashikuar që për tre muajt e parë OER</w:t>
      </w:r>
      <w:r w:rsidR="000B6190">
        <w:rPr>
          <w:rFonts w:ascii="Garamond" w:hAnsi="Garamond"/>
          <w:sz w:val="24"/>
          <w:szCs w:val="24"/>
        </w:rPr>
        <w:t>-ja</w:t>
      </w:r>
      <w:r w:rsidRPr="00B20933">
        <w:rPr>
          <w:rFonts w:ascii="Garamond" w:hAnsi="Garamond"/>
          <w:sz w:val="24"/>
          <w:szCs w:val="24"/>
        </w:rPr>
        <w:t xml:space="preserve"> të ketë të drejtën e parapagimit, ndërsa në çdo rast tjetër duhet t’i drejtohet ERE-s me një kërkesë. Gjithashtu, në metodologji është përfshirë koncepti i garancive bankare. Sa i përket rikuperimit të pagesave nga furnizuesit e tjerë, kjo dispozitë bazohet në përcaktimet e pikës 10</w:t>
      </w:r>
      <w:r w:rsidR="00833561">
        <w:rPr>
          <w:rFonts w:ascii="Garamond" w:hAnsi="Garamond"/>
          <w:sz w:val="24"/>
          <w:szCs w:val="24"/>
        </w:rPr>
        <w:t>,</w:t>
      </w:r>
      <w:r w:rsidRPr="00B20933">
        <w:rPr>
          <w:rFonts w:ascii="Garamond" w:hAnsi="Garamond"/>
          <w:sz w:val="24"/>
          <w:szCs w:val="24"/>
        </w:rPr>
        <w:t xml:space="preserve"> të nenit 16</w:t>
      </w:r>
      <w:r w:rsidR="00833561">
        <w:rPr>
          <w:rFonts w:ascii="Garamond" w:hAnsi="Garamond"/>
          <w:sz w:val="24"/>
          <w:szCs w:val="24"/>
        </w:rPr>
        <w:t>,</w:t>
      </w:r>
      <w:r w:rsidRPr="00B20933">
        <w:rPr>
          <w:rFonts w:ascii="Garamond" w:hAnsi="Garamond"/>
          <w:sz w:val="24"/>
          <w:szCs w:val="24"/>
        </w:rPr>
        <w:t xml:space="preserve"> të ligjit nr. 24/2023</w:t>
      </w:r>
      <w:r w:rsidR="00833561">
        <w:rPr>
          <w:rFonts w:ascii="Garamond" w:hAnsi="Garamond"/>
          <w:sz w:val="24"/>
          <w:szCs w:val="24"/>
        </w:rPr>
        <w:t>,</w:t>
      </w:r>
      <w:r w:rsidRPr="00B20933">
        <w:rPr>
          <w:rFonts w:ascii="Garamond" w:hAnsi="Garamond"/>
          <w:sz w:val="24"/>
          <w:szCs w:val="24"/>
        </w:rPr>
        <w:t xml:space="preserve"> “Për </w:t>
      </w:r>
      <w:r w:rsidR="00833561" w:rsidRPr="00B20933">
        <w:rPr>
          <w:rFonts w:ascii="Garamond" w:hAnsi="Garamond"/>
          <w:sz w:val="24"/>
          <w:szCs w:val="24"/>
        </w:rPr>
        <w:t>nxitjen e përdorimit të energjisë nga burimet e rinovueshm</w:t>
      </w:r>
      <w:r w:rsidRPr="00B20933">
        <w:rPr>
          <w:rFonts w:ascii="Garamond" w:hAnsi="Garamond"/>
          <w:sz w:val="24"/>
          <w:szCs w:val="24"/>
        </w:rPr>
        <w:t>e”.</w:t>
      </w:r>
    </w:p>
    <w:p w14:paraId="3500451F" w14:textId="142A9684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 xml:space="preserve">- Komentet mbi përgjegjësinë balancuese nuk janë reflektuar në metodologji, pasi nuk lidhen me këtë dokument. Sa i përket hyrjes në fuqi të metodologjisë, Këshilli i Ministrave, me </w:t>
      </w:r>
      <w:r w:rsidR="00833561">
        <w:rPr>
          <w:rFonts w:ascii="Garamond" w:hAnsi="Garamond"/>
          <w:sz w:val="24"/>
          <w:szCs w:val="24"/>
        </w:rPr>
        <w:t>v</w:t>
      </w:r>
      <w:r w:rsidRPr="00B20933">
        <w:rPr>
          <w:rFonts w:ascii="Garamond" w:hAnsi="Garamond"/>
          <w:sz w:val="24"/>
          <w:szCs w:val="24"/>
        </w:rPr>
        <w:t>endimin nr. 696, datë 13.11.2024, ka përcaktuar detyrat dhe përgjegjësitë e “Operatorit të Energjisë së Rinovueshme” sh.a., si dhe nga ana e ERE-s është parashikuar një dispozitë kalimtare në nenin 10 të metodologjisë, e cila përcakton se për miratimin e detyrimit të energjisë së rinovueshme për vitin 2025, OER</w:t>
      </w:r>
      <w:r w:rsidR="006F4A09">
        <w:rPr>
          <w:rFonts w:ascii="Garamond" w:hAnsi="Garamond"/>
          <w:sz w:val="24"/>
          <w:szCs w:val="24"/>
        </w:rPr>
        <w:t>-ja</w:t>
      </w:r>
      <w:r w:rsidR="000B6190">
        <w:rPr>
          <w:rFonts w:ascii="Garamond" w:hAnsi="Garamond"/>
          <w:sz w:val="24"/>
          <w:szCs w:val="24"/>
        </w:rPr>
        <w:t>,</w:t>
      </w:r>
      <w:r w:rsidRPr="00B20933">
        <w:rPr>
          <w:rFonts w:ascii="Garamond" w:hAnsi="Garamond"/>
          <w:sz w:val="24"/>
          <w:szCs w:val="24"/>
        </w:rPr>
        <w:t xml:space="preserve"> apo çdo entitet i cili kryen detyrat e tij, do të mund të paraqesë një kërkesë në ERE jo më vonë se data 31 mars 2025, pavarësisht afatit të përcaktuar në nenin 7 të metodologjisë.</w:t>
      </w:r>
    </w:p>
    <w:p w14:paraId="51C3C5C4" w14:textId="08B50E2C" w:rsidR="00565083" w:rsidRPr="00B20933" w:rsidRDefault="00565083" w:rsidP="00B20933">
      <w:pPr>
        <w:pStyle w:val="ListParagraph"/>
        <w:tabs>
          <w:tab w:val="left" w:pos="44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- Metodologjia është e strukturuar si vijon:</w:t>
      </w:r>
    </w:p>
    <w:p w14:paraId="5E86DB33" w14:textId="241084AC" w:rsidR="00565083" w:rsidRPr="00B20933" w:rsidRDefault="00565083" w:rsidP="00B20933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lastRenderedPageBreak/>
        <w:t>i</w:t>
      </w:r>
      <w:r w:rsidR="00833561">
        <w:rPr>
          <w:rFonts w:ascii="Garamond" w:hAnsi="Garamond"/>
          <w:sz w:val="24"/>
          <w:szCs w:val="24"/>
        </w:rPr>
        <w:t>.</w:t>
      </w:r>
      <w:r w:rsidRPr="00B20933">
        <w:rPr>
          <w:rFonts w:ascii="Garamond" w:hAnsi="Garamond"/>
          <w:sz w:val="24"/>
          <w:szCs w:val="24"/>
        </w:rPr>
        <w:t xml:space="preserve"> </w:t>
      </w:r>
      <w:r w:rsidR="00833561">
        <w:rPr>
          <w:rFonts w:ascii="Garamond" w:hAnsi="Garamond"/>
          <w:b/>
          <w:bCs/>
          <w:sz w:val="24"/>
          <w:szCs w:val="24"/>
        </w:rPr>
        <w:t>p</w:t>
      </w:r>
      <w:r w:rsidRPr="00B20933">
        <w:rPr>
          <w:rFonts w:ascii="Garamond" w:hAnsi="Garamond"/>
          <w:b/>
          <w:bCs/>
          <w:sz w:val="24"/>
          <w:szCs w:val="24"/>
        </w:rPr>
        <w:t>jesa e parë</w:t>
      </w:r>
      <w:r w:rsidRPr="00B20933">
        <w:rPr>
          <w:rFonts w:ascii="Garamond" w:hAnsi="Garamond"/>
          <w:sz w:val="24"/>
          <w:szCs w:val="24"/>
        </w:rPr>
        <w:t>: “Dispozita të përgjithshme” – përmban qëllimin e metodologjisë, bazën ligjore dhe përkufizimet;</w:t>
      </w:r>
    </w:p>
    <w:p w14:paraId="76941C0D" w14:textId="2C50CC4D" w:rsidR="00565083" w:rsidRPr="00B20933" w:rsidRDefault="00565083" w:rsidP="00B20933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ii</w:t>
      </w:r>
      <w:r w:rsidR="00833561">
        <w:rPr>
          <w:rFonts w:ascii="Garamond" w:hAnsi="Garamond"/>
          <w:sz w:val="24"/>
          <w:szCs w:val="24"/>
        </w:rPr>
        <w:t>.</w:t>
      </w:r>
      <w:r w:rsidRPr="00B20933">
        <w:rPr>
          <w:rFonts w:ascii="Garamond" w:hAnsi="Garamond"/>
          <w:sz w:val="24"/>
          <w:szCs w:val="24"/>
        </w:rPr>
        <w:t xml:space="preserve"> </w:t>
      </w:r>
      <w:r w:rsidR="00833561">
        <w:rPr>
          <w:rFonts w:ascii="Garamond" w:hAnsi="Garamond"/>
          <w:b/>
          <w:bCs/>
          <w:sz w:val="24"/>
          <w:szCs w:val="24"/>
        </w:rPr>
        <w:t>p</w:t>
      </w:r>
      <w:r w:rsidRPr="00B20933">
        <w:rPr>
          <w:rFonts w:ascii="Garamond" w:hAnsi="Garamond"/>
          <w:b/>
          <w:bCs/>
          <w:sz w:val="24"/>
          <w:szCs w:val="24"/>
        </w:rPr>
        <w:t>jesa e dytë</w:t>
      </w:r>
      <w:r w:rsidRPr="00B20933">
        <w:rPr>
          <w:rFonts w:ascii="Garamond" w:hAnsi="Garamond"/>
          <w:sz w:val="24"/>
          <w:szCs w:val="24"/>
        </w:rPr>
        <w:t>: “Roli dhe përgjegjësitë e palëve” – përfshin nenet 5, 6 dhe 7, ku përcaktohen roli dhe përgjegjësitë e OER</w:t>
      </w:r>
      <w:r w:rsidR="00472F79">
        <w:rPr>
          <w:rFonts w:ascii="Garamond" w:hAnsi="Garamond"/>
          <w:sz w:val="24"/>
          <w:szCs w:val="24"/>
        </w:rPr>
        <w:t>-së</w:t>
      </w:r>
      <w:r w:rsidRPr="00B20933">
        <w:rPr>
          <w:rFonts w:ascii="Garamond" w:hAnsi="Garamond"/>
          <w:sz w:val="24"/>
          <w:szCs w:val="24"/>
        </w:rPr>
        <w:t>, furnizuesve të energjisë elektrike dhe parashikimi vjetor i energjisë së prodhuar nga prodhuesit me përparësi;</w:t>
      </w:r>
    </w:p>
    <w:p w14:paraId="2B050779" w14:textId="45F6CB99" w:rsidR="00565083" w:rsidRPr="00B20933" w:rsidRDefault="00565083" w:rsidP="00B20933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iii</w:t>
      </w:r>
      <w:r w:rsidR="00833561">
        <w:rPr>
          <w:rFonts w:ascii="Garamond" w:hAnsi="Garamond"/>
          <w:sz w:val="24"/>
          <w:szCs w:val="24"/>
        </w:rPr>
        <w:t>.</w:t>
      </w:r>
      <w:r w:rsidRPr="00B20933">
        <w:rPr>
          <w:rFonts w:ascii="Garamond" w:hAnsi="Garamond"/>
          <w:sz w:val="24"/>
          <w:szCs w:val="24"/>
        </w:rPr>
        <w:t xml:space="preserve"> </w:t>
      </w:r>
      <w:r w:rsidR="00833561" w:rsidRPr="00833561">
        <w:rPr>
          <w:rFonts w:ascii="Garamond" w:hAnsi="Garamond"/>
          <w:b/>
          <w:sz w:val="24"/>
          <w:szCs w:val="24"/>
        </w:rPr>
        <w:t>p</w:t>
      </w:r>
      <w:r w:rsidRPr="00833561">
        <w:rPr>
          <w:rFonts w:ascii="Garamond" w:hAnsi="Garamond"/>
          <w:b/>
          <w:bCs/>
          <w:sz w:val="24"/>
          <w:szCs w:val="24"/>
        </w:rPr>
        <w:t>jesa</w:t>
      </w:r>
      <w:r w:rsidRPr="00B20933">
        <w:rPr>
          <w:rFonts w:ascii="Garamond" w:hAnsi="Garamond"/>
          <w:b/>
          <w:bCs/>
          <w:sz w:val="24"/>
          <w:szCs w:val="24"/>
        </w:rPr>
        <w:t xml:space="preserve"> e tretë </w:t>
      </w:r>
      <w:r w:rsidRPr="00B20933">
        <w:rPr>
          <w:rFonts w:ascii="Garamond" w:hAnsi="Garamond"/>
          <w:sz w:val="24"/>
          <w:szCs w:val="24"/>
        </w:rPr>
        <w:t>e metodologjisë: “Llogaritja e detyrimit të energjisë së rinovueshme”, përfshin metodën e llogaritjes së këtij detyrimi, duke përfshirë mbështetjen për Kpd dhe FiT, kostot e balancimit, kapitalin e punës, kostot operative dhe mirëmbajtjes, faktorin e korrigjimit dhe përcaktimin e grupeve të konsumatorëve fundorë;</w:t>
      </w:r>
    </w:p>
    <w:p w14:paraId="447015EB" w14:textId="1E582DE7" w:rsidR="00565083" w:rsidRPr="00833561" w:rsidRDefault="00565083" w:rsidP="00833561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iv</w:t>
      </w:r>
      <w:r w:rsidR="00833561">
        <w:rPr>
          <w:rFonts w:ascii="Garamond" w:hAnsi="Garamond"/>
          <w:sz w:val="24"/>
          <w:szCs w:val="24"/>
        </w:rPr>
        <w:t>.</w:t>
      </w:r>
      <w:r w:rsidRPr="00B20933">
        <w:rPr>
          <w:rFonts w:ascii="Garamond" w:hAnsi="Garamond"/>
          <w:sz w:val="24"/>
          <w:szCs w:val="24"/>
        </w:rPr>
        <w:t xml:space="preserve"> </w:t>
      </w:r>
      <w:r w:rsidR="00833561">
        <w:rPr>
          <w:rFonts w:ascii="Garamond" w:hAnsi="Garamond"/>
          <w:b/>
          <w:bCs/>
          <w:sz w:val="24"/>
          <w:szCs w:val="24"/>
        </w:rPr>
        <w:t>p</w:t>
      </w:r>
      <w:r w:rsidRPr="00B20933">
        <w:rPr>
          <w:rFonts w:ascii="Garamond" w:hAnsi="Garamond"/>
          <w:b/>
          <w:bCs/>
          <w:sz w:val="24"/>
          <w:szCs w:val="24"/>
        </w:rPr>
        <w:t xml:space="preserve">jesa e katërt </w:t>
      </w:r>
      <w:r w:rsidRPr="00B20933">
        <w:rPr>
          <w:rFonts w:ascii="Garamond" w:hAnsi="Garamond"/>
          <w:sz w:val="24"/>
          <w:szCs w:val="24"/>
        </w:rPr>
        <w:t xml:space="preserve">e metodologjisë përcakton faturimin, pagesën dhe rregullimin e detyrimit për energjinë e rinovueshme, si dhe mbështetjen për prodhuesit me përparësi. Detyrimi i energjisë së rinovueshme do të shënohet si zë i veçantë në faturën e </w:t>
      </w:r>
      <w:r w:rsidRPr="00833561">
        <w:rPr>
          <w:rFonts w:ascii="Garamond" w:hAnsi="Garamond"/>
          <w:sz w:val="24"/>
          <w:szCs w:val="24"/>
        </w:rPr>
        <w:t>konsumatorit, ndërsa prodhuesit me përparësi do të lëshojnë fatura ndaj OER</w:t>
      </w:r>
      <w:r w:rsidR="00833561">
        <w:rPr>
          <w:rFonts w:ascii="Garamond" w:hAnsi="Garamond"/>
          <w:sz w:val="24"/>
          <w:szCs w:val="24"/>
        </w:rPr>
        <w:t>-së</w:t>
      </w:r>
      <w:r w:rsidRPr="00833561">
        <w:rPr>
          <w:rFonts w:ascii="Garamond" w:hAnsi="Garamond"/>
          <w:sz w:val="24"/>
          <w:szCs w:val="24"/>
        </w:rPr>
        <w:t>, dhe pagesat do të kryhen sipas</w:t>
      </w:r>
      <w:r w:rsidR="00833561" w:rsidRPr="00833561">
        <w:rPr>
          <w:rFonts w:ascii="Garamond" w:hAnsi="Garamond"/>
          <w:sz w:val="24"/>
          <w:szCs w:val="24"/>
        </w:rPr>
        <w:t xml:space="preserve"> </w:t>
      </w:r>
      <w:r w:rsidRPr="00833561">
        <w:rPr>
          <w:rFonts w:ascii="Garamond" w:hAnsi="Garamond"/>
          <w:sz w:val="24"/>
          <w:szCs w:val="24"/>
        </w:rPr>
        <w:t>kushteve të përcaktuara. Furnizuesit janë të detyruar të paguajnë pjesën e tyre të detyrimit te</w:t>
      </w:r>
      <w:r w:rsidR="00833561">
        <w:rPr>
          <w:rFonts w:ascii="Garamond" w:hAnsi="Garamond"/>
          <w:sz w:val="24"/>
          <w:szCs w:val="24"/>
        </w:rPr>
        <w:t>k</w:t>
      </w:r>
      <w:r w:rsidRPr="00833561">
        <w:rPr>
          <w:rFonts w:ascii="Garamond" w:hAnsi="Garamond"/>
          <w:sz w:val="24"/>
          <w:szCs w:val="24"/>
        </w:rPr>
        <w:t xml:space="preserve"> OER</w:t>
      </w:r>
      <w:r w:rsidR="00833561">
        <w:rPr>
          <w:rFonts w:ascii="Garamond" w:hAnsi="Garamond"/>
          <w:sz w:val="24"/>
          <w:szCs w:val="24"/>
        </w:rPr>
        <w:t>-ja</w:t>
      </w:r>
      <w:r w:rsidRPr="00833561">
        <w:rPr>
          <w:rFonts w:ascii="Garamond" w:hAnsi="Garamond"/>
          <w:sz w:val="24"/>
          <w:szCs w:val="24"/>
        </w:rPr>
        <w:t xml:space="preserve"> sipas kontratës. ERE llogarit diferencat ndërmjet vlerave të parashikuara dhe të realizuara, duke rregulluar të ardhurat e tepërta ose mungesat në detyrimin e vitit pasardhës;</w:t>
      </w:r>
    </w:p>
    <w:p w14:paraId="1B05C2B2" w14:textId="41B84264" w:rsidR="00565083" w:rsidRPr="00B20933" w:rsidRDefault="00565083" w:rsidP="00B20933">
      <w:pPr>
        <w:pStyle w:val="ListParagraph"/>
        <w:tabs>
          <w:tab w:val="left" w:pos="82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v</w:t>
      </w:r>
      <w:r w:rsidR="00833561">
        <w:rPr>
          <w:rFonts w:ascii="Garamond" w:hAnsi="Garamond"/>
          <w:sz w:val="24"/>
          <w:szCs w:val="24"/>
        </w:rPr>
        <w:t>.</w:t>
      </w:r>
      <w:r w:rsidRPr="00B20933">
        <w:rPr>
          <w:rFonts w:ascii="Garamond" w:hAnsi="Garamond"/>
          <w:sz w:val="24"/>
          <w:szCs w:val="24"/>
        </w:rPr>
        <w:t xml:space="preserve"> </w:t>
      </w:r>
      <w:r w:rsidR="00833561">
        <w:rPr>
          <w:rFonts w:ascii="Garamond" w:hAnsi="Garamond"/>
          <w:b/>
          <w:bCs/>
          <w:sz w:val="24"/>
          <w:szCs w:val="24"/>
        </w:rPr>
        <w:t>p</w:t>
      </w:r>
      <w:r w:rsidRPr="00B20933">
        <w:rPr>
          <w:rFonts w:ascii="Garamond" w:hAnsi="Garamond"/>
          <w:b/>
          <w:bCs/>
          <w:sz w:val="24"/>
          <w:szCs w:val="24"/>
        </w:rPr>
        <w:t xml:space="preserve">jesa e pestë </w:t>
      </w:r>
      <w:r w:rsidRPr="00B20933">
        <w:rPr>
          <w:rFonts w:ascii="Garamond" w:hAnsi="Garamond"/>
          <w:sz w:val="24"/>
          <w:szCs w:val="24"/>
        </w:rPr>
        <w:t>dhe e fundit e metodologjisë përfshin dispozitat kalimtare, rishikimin e jashtëzakonshëm të detyrimit për energjinë e rinovueshme, zgjidhjen e mosmarrëveshjeve, rishikimin dhe ndryshimin e metodologjisë, si dhe hyrjen në fuqi të saj. Dispozitat kalimtare parashikojnë se për detyrimin e energjisë së rinovueshme për vitin 2025, OER</w:t>
      </w:r>
      <w:r w:rsidR="006F4A09">
        <w:rPr>
          <w:rFonts w:ascii="Garamond" w:hAnsi="Garamond"/>
          <w:sz w:val="24"/>
          <w:szCs w:val="24"/>
        </w:rPr>
        <w:t>-ja,</w:t>
      </w:r>
      <w:r w:rsidRPr="00B20933">
        <w:rPr>
          <w:rFonts w:ascii="Garamond" w:hAnsi="Garamond"/>
          <w:sz w:val="24"/>
          <w:szCs w:val="24"/>
        </w:rPr>
        <w:t xml:space="preserve"> ose entiteti përkatës</w:t>
      </w:r>
      <w:r w:rsidR="006F4A09">
        <w:rPr>
          <w:rFonts w:ascii="Garamond" w:hAnsi="Garamond"/>
          <w:sz w:val="24"/>
          <w:szCs w:val="24"/>
        </w:rPr>
        <w:t>,</w:t>
      </w:r>
      <w:r w:rsidRPr="00B20933">
        <w:rPr>
          <w:rFonts w:ascii="Garamond" w:hAnsi="Garamond"/>
          <w:sz w:val="24"/>
          <w:szCs w:val="24"/>
        </w:rPr>
        <w:t xml:space="preserve"> mund të paraqesë kërkesë në ERE, </w:t>
      </w:r>
      <w:r w:rsidRPr="00B20933">
        <w:rPr>
          <w:rFonts w:ascii="Garamond" w:hAnsi="Garamond"/>
          <w:color w:val="1F2023"/>
          <w:sz w:val="24"/>
          <w:szCs w:val="24"/>
        </w:rPr>
        <w:t xml:space="preserve">në rast të plotësimit të kushtit të përcaktuar në nenin 4.2, </w:t>
      </w:r>
      <w:r w:rsidRPr="00B20933">
        <w:rPr>
          <w:rFonts w:ascii="Garamond" w:hAnsi="Garamond"/>
          <w:sz w:val="24"/>
          <w:szCs w:val="24"/>
        </w:rPr>
        <w:t xml:space="preserve">jo më vonë se data 31 mars 2025, pavarësisht afatit të përcaktuar në nenin 7. Ndryshimi i metodologjisë do të bëhet me vendim të </w:t>
      </w:r>
      <w:r w:rsidR="000B6190">
        <w:rPr>
          <w:rFonts w:ascii="Garamond" w:hAnsi="Garamond"/>
          <w:sz w:val="24"/>
          <w:szCs w:val="24"/>
        </w:rPr>
        <w:t>B</w:t>
      </w:r>
      <w:r w:rsidRPr="00B20933">
        <w:rPr>
          <w:rFonts w:ascii="Garamond" w:hAnsi="Garamond"/>
          <w:sz w:val="24"/>
          <w:szCs w:val="24"/>
        </w:rPr>
        <w:t>ordit të ERE</w:t>
      </w:r>
      <w:r w:rsidR="000B6190">
        <w:rPr>
          <w:rFonts w:ascii="Garamond" w:hAnsi="Garamond"/>
          <w:sz w:val="24"/>
          <w:szCs w:val="24"/>
        </w:rPr>
        <w:t>-s</w:t>
      </w:r>
      <w:r w:rsidRPr="00B20933">
        <w:rPr>
          <w:rFonts w:ascii="Garamond" w:hAnsi="Garamond"/>
          <w:sz w:val="24"/>
          <w:szCs w:val="24"/>
        </w:rPr>
        <w:t>, në përputhje me rregulloren për funksionimin e saj, ndërsa hyrja në fuqi do të realizohet pas botimit në Fletoren Zyrtare të Republikës së Shqipërisë.</w:t>
      </w:r>
    </w:p>
    <w:p w14:paraId="0AAC5739" w14:textId="7532DA16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- Në metodologji përcaktohet se OER</w:t>
      </w:r>
      <w:r w:rsidR="006F4A09">
        <w:rPr>
          <w:rFonts w:ascii="Garamond" w:hAnsi="Garamond"/>
          <w:sz w:val="24"/>
          <w:szCs w:val="24"/>
        </w:rPr>
        <w:t>-ja</w:t>
      </w:r>
      <w:r w:rsidRPr="00B20933">
        <w:rPr>
          <w:rFonts w:ascii="Garamond" w:hAnsi="Garamond"/>
          <w:sz w:val="24"/>
          <w:szCs w:val="24"/>
        </w:rPr>
        <w:t xml:space="preserve"> do të veprojë si blerës i energjisë elektrike për prodhuesit me përparësi të mbështetur përmes kontratave dhe tarifave nxitëse, duke mbajtur përgjegjësi kontraktore për mbulimin e pagesave. OER</w:t>
      </w:r>
      <w:r w:rsidR="006F4A09">
        <w:rPr>
          <w:rFonts w:ascii="Garamond" w:hAnsi="Garamond"/>
          <w:sz w:val="24"/>
          <w:szCs w:val="24"/>
        </w:rPr>
        <w:t>-ja</w:t>
      </w:r>
      <w:r w:rsidRPr="00B20933">
        <w:rPr>
          <w:rFonts w:ascii="Garamond" w:hAnsi="Garamond"/>
          <w:sz w:val="24"/>
          <w:szCs w:val="24"/>
        </w:rPr>
        <w:t xml:space="preserve"> do të lëvrojë energjinë në tregun e organizuar, në tregun bilateral ose në tregun balancues, sipas kushteve të tregut. Gjithashtu, do të jetë përgjegjës për faturimin dhe mbledhjen e detyrimit të energjisë së rinovueshme nga furnizuesit, si dhe për mbledhjen dhe raportimin e të dhënave në ERE për llogaritjen e këtij detyrimi. Kostot e tij do të mbulohen përmes fondit të detyrimit të energjisë së rinovueshme. OER</w:t>
      </w:r>
      <w:r w:rsidR="006F4A09">
        <w:rPr>
          <w:rFonts w:ascii="Garamond" w:hAnsi="Garamond"/>
          <w:sz w:val="24"/>
          <w:szCs w:val="24"/>
        </w:rPr>
        <w:t>-ja</w:t>
      </w:r>
      <w:r w:rsidRPr="00B20933">
        <w:rPr>
          <w:rFonts w:ascii="Garamond" w:hAnsi="Garamond"/>
          <w:sz w:val="24"/>
          <w:szCs w:val="24"/>
        </w:rPr>
        <w:t xml:space="preserve"> do të kërkojë garanci bankare nga furnizuesit e energjisë 15 ditë para fillimit të vitit kalendarik, sipas formës dhe mënyrës së përcaktuar prej tij.</w:t>
      </w:r>
    </w:p>
    <w:p w14:paraId="1EA79BF7" w14:textId="4AEFEE54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 xml:space="preserve">- Në zbatim të nenit 5 të metodologjisë, përgjegjësitë e furnizuesve të energjisë elektrike janë: </w:t>
      </w:r>
      <w:r w:rsidRPr="00B20933">
        <w:rPr>
          <w:rFonts w:ascii="Garamond" w:hAnsi="Garamond"/>
          <w:i/>
          <w:iCs/>
          <w:sz w:val="24"/>
          <w:szCs w:val="24"/>
        </w:rPr>
        <w:t>paraqitja e parashikimit vjetor të vëllimit të energjisë që do të furnizohet te</w:t>
      </w:r>
      <w:r w:rsidR="00833561">
        <w:rPr>
          <w:rFonts w:ascii="Garamond" w:hAnsi="Garamond"/>
          <w:i/>
          <w:iCs/>
          <w:sz w:val="24"/>
          <w:szCs w:val="24"/>
        </w:rPr>
        <w:t>k</w:t>
      </w:r>
      <w:r w:rsidRPr="00B20933">
        <w:rPr>
          <w:rFonts w:ascii="Garamond" w:hAnsi="Garamond"/>
          <w:i/>
          <w:iCs/>
          <w:sz w:val="24"/>
          <w:szCs w:val="24"/>
        </w:rPr>
        <w:t xml:space="preserve"> OER</w:t>
      </w:r>
      <w:r w:rsidR="00833561">
        <w:rPr>
          <w:rFonts w:ascii="Garamond" w:hAnsi="Garamond"/>
          <w:i/>
          <w:iCs/>
          <w:sz w:val="24"/>
          <w:szCs w:val="24"/>
        </w:rPr>
        <w:t>-ja</w:t>
      </w:r>
      <w:r w:rsidRPr="00B20933">
        <w:rPr>
          <w:rFonts w:ascii="Garamond" w:hAnsi="Garamond"/>
          <w:i/>
          <w:iCs/>
          <w:sz w:val="24"/>
          <w:szCs w:val="24"/>
        </w:rPr>
        <w:t xml:space="preserve"> brenda afateve të përcaktuara, faturimi dhe mbledhja e detyrimit të energjisë së rinovueshme nga konsumatorët fundorë, si dhe aplikimi i vlerës së këtij detyrimi në lekë/kWh, bazuar në sasinë e energjisë së konsumuar nga grupi balancues i furnizuesit</w:t>
      </w:r>
      <w:r w:rsidRPr="00B20933">
        <w:rPr>
          <w:rFonts w:ascii="Garamond" w:hAnsi="Garamond"/>
          <w:sz w:val="24"/>
          <w:szCs w:val="24"/>
        </w:rPr>
        <w:t xml:space="preserve">. Në nenin 6 janë parashikuar procedurat dhe afatet lidhur me </w:t>
      </w:r>
      <w:r w:rsidRPr="00B20933">
        <w:rPr>
          <w:rFonts w:ascii="Garamond" w:hAnsi="Garamond"/>
          <w:i/>
          <w:iCs/>
          <w:sz w:val="24"/>
          <w:szCs w:val="24"/>
        </w:rPr>
        <w:t>parashikimin vjetor të energjisë elektrike të prodhuar nga prodhuesit me përparësi, të cilët përfitojnë nga njëra prej skemave të mbështetjes</w:t>
      </w:r>
      <w:r w:rsidRPr="00B20933">
        <w:rPr>
          <w:rFonts w:ascii="Garamond" w:hAnsi="Garamond"/>
          <w:sz w:val="24"/>
          <w:szCs w:val="24"/>
        </w:rPr>
        <w:t>.</w:t>
      </w:r>
    </w:p>
    <w:p w14:paraId="54107180" w14:textId="5175C874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 xml:space="preserve">- Metodologjia përcakton se detyrimi i energjisë së rinovueshme në lekë/kWh llogaritet duke marrë në konsideratë faktorët kryesorë: </w:t>
      </w:r>
      <w:r w:rsidRPr="00B20933">
        <w:rPr>
          <w:rFonts w:ascii="Garamond" w:hAnsi="Garamond"/>
          <w:i/>
          <w:iCs/>
          <w:sz w:val="24"/>
          <w:szCs w:val="24"/>
        </w:rPr>
        <w:t>mbështetjen për Kontratat për Diferencë (KpD), mbështetjen për tarifat nxitëse (FiT), kostot e balancimit, kapitalin e punës dhe kostot e likuiditetit, shpenzimet operative dhe të mirëmbajtjes, faktorin e korrigjimit për diferencat e vitit të kaluar, si dhe përcaktimin e grupeve të konsumatorëve fundorë bazuar në konsumin total të energjisë elektrike për periudhën përkatëse</w:t>
      </w:r>
      <w:r w:rsidRPr="00B20933">
        <w:rPr>
          <w:rFonts w:ascii="Garamond" w:hAnsi="Garamond"/>
          <w:sz w:val="24"/>
          <w:szCs w:val="24"/>
        </w:rPr>
        <w:t>.</w:t>
      </w:r>
    </w:p>
    <w:p w14:paraId="15DF10EC" w14:textId="388FE9D7" w:rsidR="00565083" w:rsidRPr="00B20933" w:rsidRDefault="00565083" w:rsidP="00B20933">
      <w:pPr>
        <w:pStyle w:val="BodyText"/>
        <w:ind w:firstLine="284"/>
        <w:rPr>
          <w:rFonts w:ascii="Garamond" w:hAnsi="Garamond"/>
        </w:rPr>
      </w:pPr>
      <w:r w:rsidRPr="00B20933">
        <w:rPr>
          <w:rFonts w:ascii="Garamond" w:hAnsi="Garamond"/>
        </w:rPr>
        <w:t xml:space="preserve">Për gjithë sa më sipër, </w:t>
      </w:r>
      <w:r w:rsidR="00833561">
        <w:rPr>
          <w:rFonts w:ascii="Garamond" w:hAnsi="Garamond"/>
        </w:rPr>
        <w:t>B</w:t>
      </w:r>
      <w:r w:rsidRPr="00B20933">
        <w:rPr>
          <w:rFonts w:ascii="Garamond" w:hAnsi="Garamond"/>
        </w:rPr>
        <w:t>ordi i ERE-s</w:t>
      </w:r>
    </w:p>
    <w:p w14:paraId="6D8F00CC" w14:textId="77777777" w:rsidR="00565083" w:rsidRPr="00B20933" w:rsidRDefault="00565083" w:rsidP="00B20933">
      <w:pPr>
        <w:pStyle w:val="Heading1"/>
        <w:ind w:left="0" w:firstLine="284"/>
        <w:rPr>
          <w:rFonts w:ascii="Garamond" w:hAnsi="Garamond"/>
          <w:b w:val="0"/>
        </w:rPr>
      </w:pPr>
    </w:p>
    <w:p w14:paraId="2998E3E9" w14:textId="11AE7A1A" w:rsidR="00565083" w:rsidRPr="00B20933" w:rsidRDefault="00565083" w:rsidP="00B20933">
      <w:pPr>
        <w:pStyle w:val="Heading1"/>
        <w:ind w:left="0" w:firstLine="284"/>
        <w:rPr>
          <w:rFonts w:ascii="Garamond" w:hAnsi="Garamond"/>
          <w:b w:val="0"/>
        </w:rPr>
      </w:pPr>
      <w:r w:rsidRPr="00B20933">
        <w:rPr>
          <w:rFonts w:ascii="Garamond" w:hAnsi="Garamond"/>
          <w:b w:val="0"/>
        </w:rPr>
        <w:t>VENDOSI:</w:t>
      </w:r>
    </w:p>
    <w:p w14:paraId="696C21A2" w14:textId="77777777" w:rsidR="00565083" w:rsidRPr="00B20933" w:rsidRDefault="00565083" w:rsidP="00B20933">
      <w:pPr>
        <w:pStyle w:val="BodyText"/>
        <w:ind w:firstLine="284"/>
        <w:rPr>
          <w:rFonts w:ascii="Garamond" w:hAnsi="Garamond"/>
          <w:b/>
          <w:bCs/>
        </w:rPr>
      </w:pPr>
    </w:p>
    <w:p w14:paraId="74532255" w14:textId="5683CC89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jc w:val="left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>1. Miratimin e “Metodologjisë së përcaktimit të detyrimit për energjinë e rinovueshme” (</w:t>
      </w:r>
      <w:r w:rsidR="00833561">
        <w:rPr>
          <w:rFonts w:ascii="Garamond" w:hAnsi="Garamond"/>
          <w:sz w:val="24"/>
          <w:szCs w:val="24"/>
        </w:rPr>
        <w:t>b</w:t>
      </w:r>
      <w:r w:rsidRPr="00B20933">
        <w:rPr>
          <w:rFonts w:ascii="Garamond" w:hAnsi="Garamond"/>
          <w:sz w:val="24"/>
          <w:szCs w:val="24"/>
        </w:rPr>
        <w:t>ashkëlidhur)</w:t>
      </w:r>
      <w:r w:rsidR="00833561">
        <w:rPr>
          <w:rFonts w:ascii="Garamond" w:hAnsi="Garamond"/>
          <w:sz w:val="24"/>
          <w:szCs w:val="24"/>
        </w:rPr>
        <w:t>.</w:t>
      </w:r>
    </w:p>
    <w:p w14:paraId="591F2F11" w14:textId="7D34E4B0" w:rsidR="00565083" w:rsidRPr="00B20933" w:rsidRDefault="00565083" w:rsidP="00B20933">
      <w:pPr>
        <w:pStyle w:val="ListParagraph"/>
        <w:tabs>
          <w:tab w:val="left" w:pos="460"/>
        </w:tabs>
        <w:ind w:left="0" w:firstLine="284"/>
        <w:jc w:val="left"/>
        <w:rPr>
          <w:rFonts w:ascii="Garamond" w:hAnsi="Garamond"/>
          <w:sz w:val="24"/>
          <w:szCs w:val="24"/>
        </w:rPr>
      </w:pPr>
      <w:r w:rsidRPr="00B20933">
        <w:rPr>
          <w:rFonts w:ascii="Garamond" w:hAnsi="Garamond"/>
          <w:sz w:val="24"/>
          <w:szCs w:val="24"/>
        </w:rPr>
        <w:t xml:space="preserve">2. Drejtoria e Zhvillimit të Politikave dhe Mbikëqyrjes së Burimeve të Rinovueshme të njoftojë palët e interesit për vendimin e </w:t>
      </w:r>
      <w:r w:rsidR="00833561">
        <w:rPr>
          <w:rFonts w:ascii="Garamond" w:hAnsi="Garamond"/>
          <w:sz w:val="24"/>
          <w:szCs w:val="24"/>
        </w:rPr>
        <w:t>B</w:t>
      </w:r>
      <w:r w:rsidRPr="00B20933">
        <w:rPr>
          <w:rFonts w:ascii="Garamond" w:hAnsi="Garamond"/>
          <w:sz w:val="24"/>
          <w:szCs w:val="24"/>
        </w:rPr>
        <w:t>ordit të ERE-s.</w:t>
      </w:r>
    </w:p>
    <w:p w14:paraId="402EA211" w14:textId="77777777" w:rsidR="00565083" w:rsidRPr="00B20933" w:rsidRDefault="00565083" w:rsidP="00B20933">
      <w:pPr>
        <w:pStyle w:val="BodyText"/>
        <w:ind w:firstLine="284"/>
        <w:jc w:val="both"/>
        <w:rPr>
          <w:rFonts w:ascii="Garamond" w:hAnsi="Garamond"/>
        </w:rPr>
      </w:pPr>
      <w:r w:rsidRPr="00B20933">
        <w:rPr>
          <w:rFonts w:ascii="Garamond" w:hAnsi="Garamond"/>
        </w:rPr>
        <w:lastRenderedPageBreak/>
        <w:t>Ky vendim hyn në fuqi pas botimit në Fletoren Zyrtare.</w:t>
      </w:r>
    </w:p>
    <w:p w14:paraId="6A371D28" w14:textId="5DFE3B46" w:rsidR="00565083" w:rsidRPr="00B20933" w:rsidRDefault="00565083" w:rsidP="00B20933">
      <w:pPr>
        <w:pStyle w:val="BodyText"/>
        <w:ind w:firstLine="284"/>
        <w:jc w:val="both"/>
        <w:rPr>
          <w:rFonts w:ascii="Garamond" w:hAnsi="Garamond"/>
        </w:rPr>
      </w:pPr>
      <w:r w:rsidRPr="00B20933">
        <w:rPr>
          <w:rFonts w:ascii="Garamond" w:hAnsi="Garamond"/>
        </w:rPr>
        <w:t xml:space="preserve">Çdo palë e përfshirë në këtë procedurë mund t’i kërkojë ERE-s, brenda 7 ditëve kalendarike nga data e marrjes së vendimit, rishikimin e vendimit të </w:t>
      </w:r>
      <w:r w:rsidR="00833561">
        <w:rPr>
          <w:rFonts w:ascii="Garamond" w:hAnsi="Garamond"/>
        </w:rPr>
        <w:t>B</w:t>
      </w:r>
      <w:r w:rsidRPr="00B20933">
        <w:rPr>
          <w:rFonts w:ascii="Garamond" w:hAnsi="Garamond"/>
        </w:rPr>
        <w:t xml:space="preserve">ordit në rast se ka siguruar prova të reja që mund ta çojnë </w:t>
      </w:r>
      <w:r w:rsidR="00833561">
        <w:rPr>
          <w:rFonts w:ascii="Garamond" w:hAnsi="Garamond"/>
        </w:rPr>
        <w:t>B</w:t>
      </w:r>
      <w:r w:rsidRPr="00B20933">
        <w:rPr>
          <w:rFonts w:ascii="Garamond" w:hAnsi="Garamond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F667034" w14:textId="77777777" w:rsidR="00565083" w:rsidRPr="00B20933" w:rsidRDefault="00565083" w:rsidP="00B20933">
      <w:pPr>
        <w:pStyle w:val="BodyText"/>
        <w:ind w:firstLine="284"/>
        <w:jc w:val="both"/>
        <w:rPr>
          <w:rFonts w:ascii="Garamond" w:hAnsi="Garamond"/>
        </w:rPr>
      </w:pPr>
      <w:r w:rsidRPr="00B20933">
        <w:rPr>
          <w:rFonts w:ascii="Garamond" w:hAnsi="Garamond"/>
        </w:rPr>
        <w:t>Ky vendim botohet në Fletoren Zyrtare.</w:t>
      </w:r>
    </w:p>
    <w:p w14:paraId="17E07931" w14:textId="221E8BA5" w:rsidR="00565083" w:rsidRPr="00B20933" w:rsidRDefault="00565083" w:rsidP="00B20933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B20933">
        <w:rPr>
          <w:rFonts w:ascii="Garamond" w:hAnsi="Garamond"/>
          <w:bCs/>
          <w:sz w:val="24"/>
          <w:szCs w:val="24"/>
        </w:rPr>
        <w:t>KRYETAR</w:t>
      </w:r>
    </w:p>
    <w:p w14:paraId="19960779" w14:textId="7F59F5B2" w:rsidR="00565083" w:rsidRPr="00B20933" w:rsidRDefault="00565083" w:rsidP="00B20933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B20933">
        <w:rPr>
          <w:rFonts w:ascii="Garamond" w:hAnsi="Garamond"/>
          <w:b/>
          <w:bCs/>
          <w:sz w:val="24"/>
          <w:szCs w:val="24"/>
        </w:rPr>
        <w:t>Petrit Ahmeti</w:t>
      </w:r>
    </w:p>
    <w:p w14:paraId="3AD850F2" w14:textId="77777777" w:rsidR="000B34D1" w:rsidRDefault="00F433BC" w:rsidP="000B34D1">
      <w:pPr>
        <w:pStyle w:val="BodyText"/>
        <w:jc w:val="center"/>
        <w:rPr>
          <w:rFonts w:ascii="Garamond" w:hAnsi="Garamond"/>
          <w:b/>
        </w:rPr>
      </w:pPr>
      <w:bookmarkStart w:id="0" w:name="_GoBack"/>
      <w:r>
        <w:rPr>
          <w:rFonts w:ascii="Garamond" w:hAnsi="Garamond"/>
          <w:b/>
          <w:noProof/>
        </w:rPr>
        <w:drawing>
          <wp:inline distT="0" distB="0" distL="0" distR="0" wp14:anchorId="25C8F344" wp14:editId="5C927F20">
            <wp:extent cx="5374640" cy="71323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aqe150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6"/>
                    <a:stretch/>
                  </pic:blipFill>
                  <pic:spPr bwMode="auto">
                    <a:xfrm>
                      <a:off x="0" y="0"/>
                      <a:ext cx="5387161" cy="7148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b/>
          <w:noProof/>
        </w:rPr>
        <w:drawing>
          <wp:inline distT="0" distB="0" distL="0" distR="0" wp14:anchorId="352119B2" wp14:editId="3DE8EBA0">
            <wp:extent cx="5924550" cy="840331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aqe15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9"/>
                    <a:stretch/>
                  </pic:blipFill>
                  <pic:spPr bwMode="auto">
                    <a:xfrm>
                      <a:off x="0" y="0"/>
                      <a:ext cx="5924550" cy="8403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2BD633A1" wp14:editId="78C9E663">
            <wp:extent cx="5924317" cy="8364772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aqe15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82" b="486"/>
                    <a:stretch/>
                  </pic:blipFill>
                  <pic:spPr bwMode="auto">
                    <a:xfrm>
                      <a:off x="0" y="0"/>
                      <a:ext cx="5924550" cy="8365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21FA961C" wp14:editId="138FCB3C">
            <wp:extent cx="5924550" cy="840452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aqe15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0"/>
                    <a:stretch/>
                  </pic:blipFill>
                  <pic:spPr bwMode="auto">
                    <a:xfrm>
                      <a:off x="0" y="0"/>
                      <a:ext cx="5924550" cy="8404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661886A9" wp14:editId="22CD8D12">
            <wp:extent cx="5924550" cy="840452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aqe15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0"/>
                    <a:stretch/>
                  </pic:blipFill>
                  <pic:spPr bwMode="auto">
                    <a:xfrm>
                      <a:off x="0" y="0"/>
                      <a:ext cx="5924550" cy="8404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629E6E21" wp14:editId="367545FF">
            <wp:extent cx="5924550" cy="84124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aqe15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"/>
                    <a:stretch/>
                  </pic:blipFill>
                  <pic:spPr bwMode="auto">
                    <a:xfrm>
                      <a:off x="0" y="0"/>
                      <a:ext cx="5924550" cy="841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22759B00" wp14:editId="26860974">
            <wp:extent cx="5924550" cy="8301162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aqe15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4"/>
                    <a:stretch/>
                  </pic:blipFill>
                  <pic:spPr bwMode="auto">
                    <a:xfrm>
                      <a:off x="0" y="0"/>
                      <a:ext cx="5924550" cy="8301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4474E0E8" wp14:editId="5C6A7383">
            <wp:extent cx="5924550" cy="825345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aqe15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9"/>
                    <a:stretch/>
                  </pic:blipFill>
                  <pic:spPr bwMode="auto">
                    <a:xfrm>
                      <a:off x="0" y="0"/>
                      <a:ext cx="5924550" cy="8253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A3A8E4" w14:textId="77777777" w:rsidR="000B34D1" w:rsidRDefault="000B34D1" w:rsidP="000B34D1">
      <w:pPr>
        <w:pStyle w:val="BodyText"/>
        <w:jc w:val="center"/>
        <w:rPr>
          <w:rFonts w:ascii="Garamond" w:hAnsi="Garamond"/>
          <w:b/>
        </w:rPr>
      </w:pPr>
    </w:p>
    <w:p w14:paraId="14820BFC" w14:textId="77777777" w:rsidR="000B34D1" w:rsidRDefault="000B34D1" w:rsidP="000B34D1">
      <w:pPr>
        <w:pStyle w:val="BodyText"/>
        <w:jc w:val="center"/>
        <w:rPr>
          <w:rFonts w:ascii="Garamond" w:hAnsi="Garamond"/>
          <w:b/>
        </w:rPr>
      </w:pPr>
    </w:p>
    <w:p w14:paraId="47E07FA7" w14:textId="77777777" w:rsidR="000B34D1" w:rsidRDefault="000B34D1" w:rsidP="000B34D1">
      <w:pPr>
        <w:pStyle w:val="BodyText"/>
        <w:jc w:val="right"/>
        <w:rPr>
          <w:rFonts w:ascii="Garamond" w:hAnsi="Garamond"/>
        </w:rPr>
      </w:pPr>
    </w:p>
    <w:p w14:paraId="3353D911" w14:textId="77777777" w:rsidR="000B34D1" w:rsidRDefault="000B34D1" w:rsidP="000B34D1">
      <w:pPr>
        <w:pStyle w:val="BodyText"/>
        <w:jc w:val="right"/>
        <w:rPr>
          <w:rFonts w:ascii="Garamond" w:hAnsi="Garamond"/>
        </w:rPr>
      </w:pPr>
    </w:p>
    <w:p w14:paraId="4E0F75C7" w14:textId="7AAF54C4" w:rsidR="000B34D1" w:rsidRPr="000B34D1" w:rsidRDefault="000B34D1" w:rsidP="000B34D1">
      <w:pPr>
        <w:pStyle w:val="BodyText"/>
        <w:ind w:left="7200"/>
        <w:jc w:val="center"/>
      </w:pPr>
      <w:r w:rsidRPr="000B34D1">
        <w:t>(Formula 4)</w:t>
      </w:r>
    </w:p>
    <w:p w14:paraId="30706B28" w14:textId="77777777" w:rsidR="009F4DCF" w:rsidRDefault="00F433BC" w:rsidP="000B34D1">
      <w:pPr>
        <w:pStyle w:val="BodyText"/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drawing>
          <wp:inline distT="0" distB="0" distL="0" distR="0" wp14:anchorId="6CC1DA54" wp14:editId="3E937474">
            <wp:extent cx="5924550" cy="82334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qe15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23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548BE4EB" wp14:editId="0C57EC9C">
            <wp:extent cx="5924550" cy="8356821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aqe159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4"/>
                    <a:stretch/>
                  </pic:blipFill>
                  <pic:spPr bwMode="auto">
                    <a:xfrm>
                      <a:off x="0" y="0"/>
                      <a:ext cx="5924550" cy="8356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5D7A931E" wp14:editId="4183D641">
            <wp:extent cx="5924550" cy="81934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aqe16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19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</w:rPr>
        <w:drawing>
          <wp:inline distT="0" distB="0" distL="0" distR="0" wp14:anchorId="75DB7873" wp14:editId="346676E0">
            <wp:extent cx="5924550" cy="724363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aqe16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933"/>
                    <a:stretch/>
                  </pic:blipFill>
                  <pic:spPr bwMode="auto">
                    <a:xfrm>
                      <a:off x="0" y="0"/>
                      <a:ext cx="5924550" cy="724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6F1E65" w14:textId="77777777" w:rsidR="009F4DCF" w:rsidRDefault="009F4DCF" w:rsidP="000B34D1">
      <w:pPr>
        <w:pStyle w:val="BodyText"/>
        <w:jc w:val="center"/>
        <w:rPr>
          <w:rFonts w:ascii="Garamond" w:hAnsi="Garamond"/>
          <w:b/>
        </w:rPr>
      </w:pPr>
    </w:p>
    <w:p w14:paraId="6AD3A733" w14:textId="77777777" w:rsidR="009F4DCF" w:rsidRDefault="009F4DCF" w:rsidP="000B34D1">
      <w:pPr>
        <w:pStyle w:val="BodyText"/>
        <w:jc w:val="center"/>
        <w:rPr>
          <w:rFonts w:ascii="Garamond" w:hAnsi="Garamond"/>
          <w:b/>
        </w:rPr>
      </w:pPr>
    </w:p>
    <w:p w14:paraId="3BAD9F60" w14:textId="77777777" w:rsidR="009F4DCF" w:rsidRDefault="009F4DCF" w:rsidP="000B34D1">
      <w:pPr>
        <w:pStyle w:val="BodyText"/>
        <w:jc w:val="center"/>
        <w:rPr>
          <w:rFonts w:ascii="Garamond" w:hAnsi="Garamond"/>
          <w:b/>
        </w:rPr>
      </w:pPr>
    </w:p>
    <w:p w14:paraId="25F82BB4" w14:textId="227FBF5D" w:rsidR="009F4DCF" w:rsidRDefault="009F4DCF" w:rsidP="000B34D1">
      <w:pPr>
        <w:pStyle w:val="BodyText"/>
        <w:jc w:val="center"/>
        <w:rPr>
          <w:rFonts w:ascii="Garamond" w:hAnsi="Garamond"/>
          <w:b/>
        </w:rPr>
      </w:pPr>
    </w:p>
    <w:p w14:paraId="19DD04B1" w14:textId="77777777" w:rsidR="009F4DCF" w:rsidRDefault="009F4DCF" w:rsidP="000B34D1">
      <w:pPr>
        <w:pStyle w:val="BodyText"/>
        <w:jc w:val="center"/>
        <w:rPr>
          <w:rFonts w:ascii="Garamond" w:hAnsi="Garamond"/>
          <w:b/>
        </w:rPr>
      </w:pPr>
    </w:p>
    <w:p w14:paraId="7A9E1F76" w14:textId="77777777" w:rsidR="009F4DCF" w:rsidRDefault="009F4DCF" w:rsidP="000B34D1">
      <w:pPr>
        <w:pStyle w:val="BodyText"/>
        <w:jc w:val="center"/>
        <w:rPr>
          <w:rFonts w:ascii="Garamond" w:hAnsi="Garamond"/>
          <w:b/>
        </w:rPr>
      </w:pPr>
    </w:p>
    <w:p w14:paraId="2644195B" w14:textId="1D8D7E0B" w:rsidR="009F4DCF" w:rsidRDefault="009F4DCF" w:rsidP="000B34D1">
      <w:pPr>
        <w:pStyle w:val="BodyText"/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drawing>
          <wp:inline distT="0" distB="0" distL="0" distR="0" wp14:anchorId="5829387F" wp14:editId="40694B6F">
            <wp:extent cx="5922500" cy="930303"/>
            <wp:effectExtent l="0" t="0" r="254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aqe16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052" b="890"/>
                    <a:stretch/>
                  </pic:blipFill>
                  <pic:spPr bwMode="auto">
                    <a:xfrm>
                      <a:off x="0" y="0"/>
                      <a:ext cx="5924550" cy="93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2AD82" w14:textId="00A17E07" w:rsidR="008E2A90" w:rsidRPr="00B20933" w:rsidRDefault="00E36B7E" w:rsidP="00E36B7E">
      <w:pPr>
        <w:pStyle w:val="BodyText"/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drawing>
          <wp:inline distT="0" distB="0" distL="0" distR="0" wp14:anchorId="4E6C918F" wp14:editId="0590C99B">
            <wp:extent cx="5924550" cy="648031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aqe16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03"/>
                    <a:stretch/>
                  </pic:blipFill>
                  <pic:spPr bwMode="auto">
                    <a:xfrm>
                      <a:off x="0" y="0"/>
                      <a:ext cx="5924550" cy="6480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E2A90" w:rsidRPr="00B20933">
      <w:pgSz w:w="11910" w:h="16840"/>
      <w:pgMar w:top="1080" w:right="1320" w:bottom="1480" w:left="1260" w:header="729" w:footer="1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DD12C" w14:textId="77777777" w:rsidR="00736929" w:rsidRDefault="00736929">
      <w:r>
        <w:separator/>
      </w:r>
    </w:p>
  </w:endnote>
  <w:endnote w:type="continuationSeparator" w:id="0">
    <w:p w14:paraId="1A48F37F" w14:textId="77777777" w:rsidR="00736929" w:rsidRDefault="00736929">
      <w:r>
        <w:continuationSeparator/>
      </w:r>
    </w:p>
  </w:endnote>
  <w:endnote w:type="continuationNotice" w:id="1">
    <w:p w14:paraId="7BB59DAE" w14:textId="77777777" w:rsidR="00736929" w:rsidRDefault="007369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582E9" w14:textId="77777777" w:rsidR="00736929" w:rsidRDefault="00736929">
      <w:r>
        <w:separator/>
      </w:r>
    </w:p>
  </w:footnote>
  <w:footnote w:type="continuationSeparator" w:id="0">
    <w:p w14:paraId="18B722B9" w14:textId="77777777" w:rsidR="00736929" w:rsidRDefault="00736929">
      <w:r>
        <w:continuationSeparator/>
      </w:r>
    </w:p>
  </w:footnote>
  <w:footnote w:type="continuationNotice" w:id="1">
    <w:p w14:paraId="7531BD2E" w14:textId="77777777" w:rsidR="00736929" w:rsidRDefault="007369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56117"/>
    <w:multiLevelType w:val="hybridMultilevel"/>
    <w:tmpl w:val="F6EC624E"/>
    <w:lvl w:ilvl="0" w:tplc="C622B878">
      <w:start w:val="1"/>
      <w:numFmt w:val="decimal"/>
      <w:lvlText w:val="%1."/>
      <w:lvlJc w:val="left"/>
      <w:pPr>
        <w:ind w:left="5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8D8CCF62">
      <w:numFmt w:val="bullet"/>
      <w:lvlText w:val="•"/>
      <w:lvlJc w:val="left"/>
      <w:pPr>
        <w:ind w:left="1418" w:hanging="360"/>
      </w:pPr>
      <w:rPr>
        <w:rFonts w:hint="default"/>
        <w:lang w:val="sq-AL" w:eastAsia="en-US" w:bidi="ar-SA"/>
      </w:rPr>
    </w:lvl>
    <w:lvl w:ilvl="2" w:tplc="62387E4E">
      <w:numFmt w:val="bullet"/>
      <w:lvlText w:val="•"/>
      <w:lvlJc w:val="left"/>
      <w:pPr>
        <w:ind w:left="2297" w:hanging="360"/>
      </w:pPr>
      <w:rPr>
        <w:rFonts w:hint="default"/>
        <w:lang w:val="sq-AL" w:eastAsia="en-US" w:bidi="ar-SA"/>
      </w:rPr>
    </w:lvl>
    <w:lvl w:ilvl="3" w:tplc="12E2BADC">
      <w:numFmt w:val="bullet"/>
      <w:lvlText w:val="•"/>
      <w:lvlJc w:val="left"/>
      <w:pPr>
        <w:ind w:left="3176" w:hanging="360"/>
      </w:pPr>
      <w:rPr>
        <w:rFonts w:hint="default"/>
        <w:lang w:val="sq-AL" w:eastAsia="en-US" w:bidi="ar-SA"/>
      </w:rPr>
    </w:lvl>
    <w:lvl w:ilvl="4" w:tplc="F8E89932">
      <w:numFmt w:val="bullet"/>
      <w:lvlText w:val="•"/>
      <w:lvlJc w:val="left"/>
      <w:pPr>
        <w:ind w:left="4055" w:hanging="360"/>
      </w:pPr>
      <w:rPr>
        <w:rFonts w:hint="default"/>
        <w:lang w:val="sq-AL" w:eastAsia="en-US" w:bidi="ar-SA"/>
      </w:rPr>
    </w:lvl>
    <w:lvl w:ilvl="5" w:tplc="9E48B6DC">
      <w:numFmt w:val="bullet"/>
      <w:lvlText w:val="•"/>
      <w:lvlJc w:val="left"/>
      <w:pPr>
        <w:ind w:left="4934" w:hanging="360"/>
      </w:pPr>
      <w:rPr>
        <w:rFonts w:hint="default"/>
        <w:lang w:val="sq-AL" w:eastAsia="en-US" w:bidi="ar-SA"/>
      </w:rPr>
    </w:lvl>
    <w:lvl w:ilvl="6" w:tplc="C08432F0">
      <w:numFmt w:val="bullet"/>
      <w:lvlText w:val="•"/>
      <w:lvlJc w:val="left"/>
      <w:pPr>
        <w:ind w:left="5813" w:hanging="360"/>
      </w:pPr>
      <w:rPr>
        <w:rFonts w:hint="default"/>
        <w:lang w:val="sq-AL" w:eastAsia="en-US" w:bidi="ar-SA"/>
      </w:rPr>
    </w:lvl>
    <w:lvl w:ilvl="7" w:tplc="774E536E">
      <w:numFmt w:val="bullet"/>
      <w:lvlText w:val="•"/>
      <w:lvlJc w:val="left"/>
      <w:pPr>
        <w:ind w:left="6692" w:hanging="360"/>
      </w:pPr>
      <w:rPr>
        <w:rFonts w:hint="default"/>
        <w:lang w:val="sq-AL" w:eastAsia="en-US" w:bidi="ar-SA"/>
      </w:rPr>
    </w:lvl>
    <w:lvl w:ilvl="8" w:tplc="1AFEE738">
      <w:numFmt w:val="bullet"/>
      <w:lvlText w:val="•"/>
      <w:lvlJc w:val="left"/>
      <w:pPr>
        <w:ind w:left="7571" w:hanging="360"/>
      </w:pPr>
      <w:rPr>
        <w:rFonts w:hint="default"/>
        <w:lang w:val="sq-AL" w:eastAsia="en-US" w:bidi="ar-SA"/>
      </w:rPr>
    </w:lvl>
  </w:abstractNum>
  <w:abstractNum w:abstractNumId="1" w15:restartNumberingAfterBreak="0">
    <w:nsid w:val="296D7DC3"/>
    <w:multiLevelType w:val="hybridMultilevel"/>
    <w:tmpl w:val="DA48B45E"/>
    <w:lvl w:ilvl="0" w:tplc="1550033E">
      <w:start w:val="1"/>
      <w:numFmt w:val="decimal"/>
      <w:lvlText w:val="%1."/>
      <w:lvlJc w:val="left"/>
      <w:pPr>
        <w:ind w:left="612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C3FE61CE">
      <w:numFmt w:val="bullet"/>
      <w:lvlText w:val="•"/>
      <w:lvlJc w:val="left"/>
      <w:pPr>
        <w:ind w:left="1490" w:hanging="413"/>
      </w:pPr>
      <w:rPr>
        <w:rFonts w:hint="default"/>
        <w:lang w:val="sq-AL" w:eastAsia="en-US" w:bidi="ar-SA"/>
      </w:rPr>
    </w:lvl>
    <w:lvl w:ilvl="2" w:tplc="70527192">
      <w:numFmt w:val="bullet"/>
      <w:lvlText w:val="•"/>
      <w:lvlJc w:val="left"/>
      <w:pPr>
        <w:ind w:left="2361" w:hanging="413"/>
      </w:pPr>
      <w:rPr>
        <w:rFonts w:hint="default"/>
        <w:lang w:val="sq-AL" w:eastAsia="en-US" w:bidi="ar-SA"/>
      </w:rPr>
    </w:lvl>
    <w:lvl w:ilvl="3" w:tplc="53487C64">
      <w:numFmt w:val="bullet"/>
      <w:lvlText w:val="•"/>
      <w:lvlJc w:val="left"/>
      <w:pPr>
        <w:ind w:left="3232" w:hanging="413"/>
      </w:pPr>
      <w:rPr>
        <w:rFonts w:hint="default"/>
        <w:lang w:val="sq-AL" w:eastAsia="en-US" w:bidi="ar-SA"/>
      </w:rPr>
    </w:lvl>
    <w:lvl w:ilvl="4" w:tplc="71985A2C">
      <w:numFmt w:val="bullet"/>
      <w:lvlText w:val="•"/>
      <w:lvlJc w:val="left"/>
      <w:pPr>
        <w:ind w:left="4103" w:hanging="413"/>
      </w:pPr>
      <w:rPr>
        <w:rFonts w:hint="default"/>
        <w:lang w:val="sq-AL" w:eastAsia="en-US" w:bidi="ar-SA"/>
      </w:rPr>
    </w:lvl>
    <w:lvl w:ilvl="5" w:tplc="B1CEDC62">
      <w:numFmt w:val="bullet"/>
      <w:lvlText w:val="•"/>
      <w:lvlJc w:val="left"/>
      <w:pPr>
        <w:ind w:left="4974" w:hanging="413"/>
      </w:pPr>
      <w:rPr>
        <w:rFonts w:hint="default"/>
        <w:lang w:val="sq-AL" w:eastAsia="en-US" w:bidi="ar-SA"/>
      </w:rPr>
    </w:lvl>
    <w:lvl w:ilvl="6" w:tplc="57E21474">
      <w:numFmt w:val="bullet"/>
      <w:lvlText w:val="•"/>
      <w:lvlJc w:val="left"/>
      <w:pPr>
        <w:ind w:left="5845" w:hanging="413"/>
      </w:pPr>
      <w:rPr>
        <w:rFonts w:hint="default"/>
        <w:lang w:val="sq-AL" w:eastAsia="en-US" w:bidi="ar-SA"/>
      </w:rPr>
    </w:lvl>
    <w:lvl w:ilvl="7" w:tplc="EEB2BC5E">
      <w:numFmt w:val="bullet"/>
      <w:lvlText w:val="•"/>
      <w:lvlJc w:val="left"/>
      <w:pPr>
        <w:ind w:left="6716" w:hanging="413"/>
      </w:pPr>
      <w:rPr>
        <w:rFonts w:hint="default"/>
        <w:lang w:val="sq-AL" w:eastAsia="en-US" w:bidi="ar-SA"/>
      </w:rPr>
    </w:lvl>
    <w:lvl w:ilvl="8" w:tplc="F404ED1A">
      <w:numFmt w:val="bullet"/>
      <w:lvlText w:val="•"/>
      <w:lvlJc w:val="left"/>
      <w:pPr>
        <w:ind w:left="7587" w:hanging="413"/>
      </w:pPr>
      <w:rPr>
        <w:rFonts w:hint="default"/>
        <w:lang w:val="sq-AL" w:eastAsia="en-US" w:bidi="ar-SA"/>
      </w:rPr>
    </w:lvl>
  </w:abstractNum>
  <w:abstractNum w:abstractNumId="2" w15:restartNumberingAfterBreak="0">
    <w:nsid w:val="2AA11117"/>
    <w:multiLevelType w:val="hybridMultilevel"/>
    <w:tmpl w:val="986CD36E"/>
    <w:lvl w:ilvl="0" w:tplc="C716478C">
      <w:start w:val="1"/>
      <w:numFmt w:val="lowerRoman"/>
      <w:lvlText w:val="%1."/>
      <w:lvlJc w:val="left"/>
      <w:pPr>
        <w:ind w:left="117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257A1048">
      <w:numFmt w:val="bullet"/>
      <w:lvlText w:val="•"/>
      <w:lvlJc w:val="left"/>
      <w:pPr>
        <w:ind w:left="1994" w:hanging="488"/>
      </w:pPr>
      <w:rPr>
        <w:rFonts w:hint="default"/>
        <w:lang w:val="sq-AL" w:eastAsia="en-US" w:bidi="ar-SA"/>
      </w:rPr>
    </w:lvl>
    <w:lvl w:ilvl="2" w:tplc="FB2C8BDC">
      <w:numFmt w:val="bullet"/>
      <w:lvlText w:val="•"/>
      <w:lvlJc w:val="left"/>
      <w:pPr>
        <w:ind w:left="2809" w:hanging="488"/>
      </w:pPr>
      <w:rPr>
        <w:rFonts w:hint="default"/>
        <w:lang w:val="sq-AL" w:eastAsia="en-US" w:bidi="ar-SA"/>
      </w:rPr>
    </w:lvl>
    <w:lvl w:ilvl="3" w:tplc="F0D22CEA">
      <w:numFmt w:val="bullet"/>
      <w:lvlText w:val="•"/>
      <w:lvlJc w:val="left"/>
      <w:pPr>
        <w:ind w:left="3624" w:hanging="488"/>
      </w:pPr>
      <w:rPr>
        <w:rFonts w:hint="default"/>
        <w:lang w:val="sq-AL" w:eastAsia="en-US" w:bidi="ar-SA"/>
      </w:rPr>
    </w:lvl>
    <w:lvl w:ilvl="4" w:tplc="75AA86F2">
      <w:numFmt w:val="bullet"/>
      <w:lvlText w:val="•"/>
      <w:lvlJc w:val="left"/>
      <w:pPr>
        <w:ind w:left="4439" w:hanging="488"/>
      </w:pPr>
      <w:rPr>
        <w:rFonts w:hint="default"/>
        <w:lang w:val="sq-AL" w:eastAsia="en-US" w:bidi="ar-SA"/>
      </w:rPr>
    </w:lvl>
    <w:lvl w:ilvl="5" w:tplc="88B86FDA">
      <w:numFmt w:val="bullet"/>
      <w:lvlText w:val="•"/>
      <w:lvlJc w:val="left"/>
      <w:pPr>
        <w:ind w:left="5254" w:hanging="488"/>
      </w:pPr>
      <w:rPr>
        <w:rFonts w:hint="default"/>
        <w:lang w:val="sq-AL" w:eastAsia="en-US" w:bidi="ar-SA"/>
      </w:rPr>
    </w:lvl>
    <w:lvl w:ilvl="6" w:tplc="86F8544C">
      <w:numFmt w:val="bullet"/>
      <w:lvlText w:val="•"/>
      <w:lvlJc w:val="left"/>
      <w:pPr>
        <w:ind w:left="6069" w:hanging="488"/>
      </w:pPr>
      <w:rPr>
        <w:rFonts w:hint="default"/>
        <w:lang w:val="sq-AL" w:eastAsia="en-US" w:bidi="ar-SA"/>
      </w:rPr>
    </w:lvl>
    <w:lvl w:ilvl="7" w:tplc="482AF074">
      <w:numFmt w:val="bullet"/>
      <w:lvlText w:val="•"/>
      <w:lvlJc w:val="left"/>
      <w:pPr>
        <w:ind w:left="6884" w:hanging="488"/>
      </w:pPr>
      <w:rPr>
        <w:rFonts w:hint="default"/>
        <w:lang w:val="sq-AL" w:eastAsia="en-US" w:bidi="ar-SA"/>
      </w:rPr>
    </w:lvl>
    <w:lvl w:ilvl="8" w:tplc="4B0A1A2E">
      <w:numFmt w:val="bullet"/>
      <w:lvlText w:val="•"/>
      <w:lvlJc w:val="left"/>
      <w:pPr>
        <w:ind w:left="7699" w:hanging="488"/>
      </w:pPr>
      <w:rPr>
        <w:rFonts w:hint="default"/>
        <w:lang w:val="sq-AL" w:eastAsia="en-US" w:bidi="ar-SA"/>
      </w:rPr>
    </w:lvl>
  </w:abstractNum>
  <w:abstractNum w:abstractNumId="3" w15:restartNumberingAfterBreak="0">
    <w:nsid w:val="32CA2D63"/>
    <w:multiLevelType w:val="hybridMultilevel"/>
    <w:tmpl w:val="D9623530"/>
    <w:lvl w:ilvl="0" w:tplc="D46CB3DA">
      <w:start w:val="1"/>
      <w:numFmt w:val="decimal"/>
      <w:lvlText w:val="%1."/>
      <w:lvlJc w:val="left"/>
      <w:pPr>
        <w:ind w:left="631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369C7C54">
      <w:numFmt w:val="bullet"/>
      <w:lvlText w:val="-"/>
      <w:lvlJc w:val="left"/>
      <w:pPr>
        <w:ind w:left="1817" w:hanging="360"/>
      </w:pPr>
      <w:rPr>
        <w:rFonts w:ascii="Times New Roman" w:eastAsia="Times New Roman" w:hAnsi="Times New Roman" w:cs="Times New Roman" w:hint="default"/>
        <w:spacing w:val="0"/>
        <w:w w:val="100"/>
        <w:lang w:val="sq-AL" w:eastAsia="en-US" w:bidi="ar-SA"/>
      </w:rPr>
    </w:lvl>
    <w:lvl w:ilvl="2" w:tplc="422E728E">
      <w:numFmt w:val="bullet"/>
      <w:lvlText w:val="•"/>
      <w:lvlJc w:val="left"/>
      <w:pPr>
        <w:ind w:left="1820" w:hanging="360"/>
      </w:pPr>
      <w:rPr>
        <w:rFonts w:hint="default"/>
        <w:lang w:val="sq-AL" w:eastAsia="en-US" w:bidi="ar-SA"/>
      </w:rPr>
    </w:lvl>
    <w:lvl w:ilvl="3" w:tplc="4FA870BE">
      <w:numFmt w:val="bullet"/>
      <w:lvlText w:val="•"/>
      <w:lvlJc w:val="left"/>
      <w:pPr>
        <w:ind w:left="2758" w:hanging="360"/>
      </w:pPr>
      <w:rPr>
        <w:rFonts w:hint="default"/>
        <w:lang w:val="sq-AL" w:eastAsia="en-US" w:bidi="ar-SA"/>
      </w:rPr>
    </w:lvl>
    <w:lvl w:ilvl="4" w:tplc="C13A5F40">
      <w:numFmt w:val="bullet"/>
      <w:lvlText w:val="•"/>
      <w:lvlJc w:val="left"/>
      <w:pPr>
        <w:ind w:left="3697" w:hanging="360"/>
      </w:pPr>
      <w:rPr>
        <w:rFonts w:hint="default"/>
        <w:lang w:val="sq-AL" w:eastAsia="en-US" w:bidi="ar-SA"/>
      </w:rPr>
    </w:lvl>
    <w:lvl w:ilvl="5" w:tplc="AF88993A">
      <w:numFmt w:val="bullet"/>
      <w:lvlText w:val="•"/>
      <w:lvlJc w:val="left"/>
      <w:pPr>
        <w:ind w:left="4635" w:hanging="360"/>
      </w:pPr>
      <w:rPr>
        <w:rFonts w:hint="default"/>
        <w:lang w:val="sq-AL" w:eastAsia="en-US" w:bidi="ar-SA"/>
      </w:rPr>
    </w:lvl>
    <w:lvl w:ilvl="6" w:tplc="CE58A262">
      <w:numFmt w:val="bullet"/>
      <w:lvlText w:val="•"/>
      <w:lvlJc w:val="left"/>
      <w:pPr>
        <w:ind w:left="5574" w:hanging="360"/>
      </w:pPr>
      <w:rPr>
        <w:rFonts w:hint="default"/>
        <w:lang w:val="sq-AL" w:eastAsia="en-US" w:bidi="ar-SA"/>
      </w:rPr>
    </w:lvl>
    <w:lvl w:ilvl="7" w:tplc="FC7E2906">
      <w:numFmt w:val="bullet"/>
      <w:lvlText w:val="•"/>
      <w:lvlJc w:val="left"/>
      <w:pPr>
        <w:ind w:left="6513" w:hanging="360"/>
      </w:pPr>
      <w:rPr>
        <w:rFonts w:hint="default"/>
        <w:lang w:val="sq-AL" w:eastAsia="en-US" w:bidi="ar-SA"/>
      </w:rPr>
    </w:lvl>
    <w:lvl w:ilvl="8" w:tplc="462C7972">
      <w:numFmt w:val="bullet"/>
      <w:lvlText w:val="•"/>
      <w:lvlJc w:val="left"/>
      <w:pPr>
        <w:ind w:left="7451" w:hanging="360"/>
      </w:pPr>
      <w:rPr>
        <w:rFonts w:hint="default"/>
        <w:lang w:val="sq-AL" w:eastAsia="en-US" w:bidi="ar-SA"/>
      </w:rPr>
    </w:lvl>
  </w:abstractNum>
  <w:abstractNum w:abstractNumId="4" w15:restartNumberingAfterBreak="0">
    <w:nsid w:val="3B112905"/>
    <w:multiLevelType w:val="hybridMultilevel"/>
    <w:tmpl w:val="A394D7B2"/>
    <w:lvl w:ilvl="0" w:tplc="843C9A12">
      <w:start w:val="1"/>
      <w:numFmt w:val="decimal"/>
      <w:lvlText w:val="%1."/>
      <w:lvlJc w:val="left"/>
      <w:pPr>
        <w:ind w:left="593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sq-AL" w:eastAsia="en-US" w:bidi="ar-SA"/>
      </w:rPr>
    </w:lvl>
    <w:lvl w:ilvl="1" w:tplc="4156E4EA">
      <w:numFmt w:val="bullet"/>
      <w:lvlText w:val="-"/>
      <w:lvlJc w:val="left"/>
      <w:pPr>
        <w:ind w:left="540" w:hanging="288"/>
      </w:pPr>
      <w:rPr>
        <w:rFonts w:ascii="Times New Roman" w:eastAsia="Times New Roman" w:hAnsi="Times New Roman" w:cs="Times New Roman" w:hint="default"/>
        <w:spacing w:val="0"/>
        <w:w w:val="100"/>
        <w:lang w:val="sq-AL" w:eastAsia="en-US" w:bidi="ar-SA"/>
      </w:rPr>
    </w:lvl>
    <w:lvl w:ilvl="2" w:tplc="666CC0DA">
      <w:numFmt w:val="bullet"/>
      <w:lvlText w:val="•"/>
      <w:lvlJc w:val="left"/>
      <w:pPr>
        <w:ind w:left="1569" w:hanging="288"/>
      </w:pPr>
      <w:rPr>
        <w:rFonts w:hint="default"/>
        <w:lang w:val="sq-AL" w:eastAsia="en-US" w:bidi="ar-SA"/>
      </w:rPr>
    </w:lvl>
    <w:lvl w:ilvl="3" w:tplc="1FD0ECDE">
      <w:numFmt w:val="bullet"/>
      <w:lvlText w:val="•"/>
      <w:lvlJc w:val="left"/>
      <w:pPr>
        <w:ind w:left="2539" w:hanging="288"/>
      </w:pPr>
      <w:rPr>
        <w:rFonts w:hint="default"/>
        <w:lang w:val="sq-AL" w:eastAsia="en-US" w:bidi="ar-SA"/>
      </w:rPr>
    </w:lvl>
    <w:lvl w:ilvl="4" w:tplc="9DF660EC">
      <w:numFmt w:val="bullet"/>
      <w:lvlText w:val="•"/>
      <w:lvlJc w:val="left"/>
      <w:pPr>
        <w:ind w:left="3509" w:hanging="288"/>
      </w:pPr>
      <w:rPr>
        <w:rFonts w:hint="default"/>
        <w:lang w:val="sq-AL" w:eastAsia="en-US" w:bidi="ar-SA"/>
      </w:rPr>
    </w:lvl>
    <w:lvl w:ilvl="5" w:tplc="B308BE46">
      <w:numFmt w:val="bullet"/>
      <w:lvlText w:val="•"/>
      <w:lvlJc w:val="left"/>
      <w:pPr>
        <w:ind w:left="4479" w:hanging="288"/>
      </w:pPr>
      <w:rPr>
        <w:rFonts w:hint="default"/>
        <w:lang w:val="sq-AL" w:eastAsia="en-US" w:bidi="ar-SA"/>
      </w:rPr>
    </w:lvl>
    <w:lvl w:ilvl="6" w:tplc="FEA6E57C">
      <w:numFmt w:val="bullet"/>
      <w:lvlText w:val="•"/>
      <w:lvlJc w:val="left"/>
      <w:pPr>
        <w:ind w:left="5449" w:hanging="288"/>
      </w:pPr>
      <w:rPr>
        <w:rFonts w:hint="default"/>
        <w:lang w:val="sq-AL" w:eastAsia="en-US" w:bidi="ar-SA"/>
      </w:rPr>
    </w:lvl>
    <w:lvl w:ilvl="7" w:tplc="4AAC2DD2">
      <w:numFmt w:val="bullet"/>
      <w:lvlText w:val="•"/>
      <w:lvlJc w:val="left"/>
      <w:pPr>
        <w:ind w:left="6419" w:hanging="288"/>
      </w:pPr>
      <w:rPr>
        <w:rFonts w:hint="default"/>
        <w:lang w:val="sq-AL" w:eastAsia="en-US" w:bidi="ar-SA"/>
      </w:rPr>
    </w:lvl>
    <w:lvl w:ilvl="8" w:tplc="48BCB84C">
      <w:numFmt w:val="bullet"/>
      <w:lvlText w:val="•"/>
      <w:lvlJc w:val="left"/>
      <w:pPr>
        <w:ind w:left="7389" w:hanging="288"/>
      </w:pPr>
      <w:rPr>
        <w:rFonts w:hint="default"/>
        <w:lang w:val="sq-AL" w:eastAsia="en-US" w:bidi="ar-SA"/>
      </w:rPr>
    </w:lvl>
  </w:abstractNum>
  <w:abstractNum w:abstractNumId="5" w15:restartNumberingAfterBreak="0">
    <w:nsid w:val="3C9D0ABC"/>
    <w:multiLevelType w:val="hybridMultilevel"/>
    <w:tmpl w:val="DC4AA804"/>
    <w:lvl w:ilvl="0" w:tplc="0EA081F8">
      <w:start w:val="1"/>
      <w:numFmt w:val="upperLetter"/>
      <w:lvlText w:val="%1."/>
      <w:lvlJc w:val="left"/>
      <w:pPr>
        <w:ind w:left="631" w:hanging="452"/>
        <w:jc w:val="left"/>
      </w:pPr>
      <w:rPr>
        <w:rFonts w:hint="default"/>
        <w:spacing w:val="-1"/>
        <w:w w:val="100"/>
        <w:lang w:val="sq-AL" w:eastAsia="en-US" w:bidi="ar-SA"/>
      </w:rPr>
    </w:lvl>
    <w:lvl w:ilvl="1" w:tplc="AE9286C4">
      <w:numFmt w:val="bullet"/>
      <w:lvlText w:val="-"/>
      <w:lvlJc w:val="left"/>
      <w:pPr>
        <w:ind w:left="9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 w:tplc="9D4011A8">
      <w:numFmt w:val="bullet"/>
      <w:lvlText w:val="•"/>
      <w:lvlJc w:val="left"/>
      <w:pPr>
        <w:ind w:left="1925" w:hanging="360"/>
      </w:pPr>
      <w:rPr>
        <w:rFonts w:hint="default"/>
        <w:lang w:val="sq-AL" w:eastAsia="en-US" w:bidi="ar-SA"/>
      </w:rPr>
    </w:lvl>
    <w:lvl w:ilvl="3" w:tplc="9B3A92D4">
      <w:numFmt w:val="bullet"/>
      <w:lvlText w:val="•"/>
      <w:lvlJc w:val="left"/>
      <w:pPr>
        <w:ind w:left="2850" w:hanging="360"/>
      </w:pPr>
      <w:rPr>
        <w:rFonts w:hint="default"/>
        <w:lang w:val="sq-AL" w:eastAsia="en-US" w:bidi="ar-SA"/>
      </w:rPr>
    </w:lvl>
    <w:lvl w:ilvl="4" w:tplc="344E0D52">
      <w:numFmt w:val="bullet"/>
      <w:lvlText w:val="•"/>
      <w:lvlJc w:val="left"/>
      <w:pPr>
        <w:ind w:left="3776" w:hanging="360"/>
      </w:pPr>
      <w:rPr>
        <w:rFonts w:hint="default"/>
        <w:lang w:val="sq-AL" w:eastAsia="en-US" w:bidi="ar-SA"/>
      </w:rPr>
    </w:lvl>
    <w:lvl w:ilvl="5" w:tplc="79D45266">
      <w:numFmt w:val="bullet"/>
      <w:lvlText w:val="•"/>
      <w:lvlJc w:val="left"/>
      <w:pPr>
        <w:ind w:left="4701" w:hanging="360"/>
      </w:pPr>
      <w:rPr>
        <w:rFonts w:hint="default"/>
        <w:lang w:val="sq-AL" w:eastAsia="en-US" w:bidi="ar-SA"/>
      </w:rPr>
    </w:lvl>
    <w:lvl w:ilvl="6" w:tplc="6A0E1C1C">
      <w:numFmt w:val="bullet"/>
      <w:lvlText w:val="•"/>
      <w:lvlJc w:val="left"/>
      <w:pPr>
        <w:ind w:left="5627" w:hanging="360"/>
      </w:pPr>
      <w:rPr>
        <w:rFonts w:hint="default"/>
        <w:lang w:val="sq-AL" w:eastAsia="en-US" w:bidi="ar-SA"/>
      </w:rPr>
    </w:lvl>
    <w:lvl w:ilvl="7" w:tplc="E1D673EA">
      <w:numFmt w:val="bullet"/>
      <w:lvlText w:val="•"/>
      <w:lvlJc w:val="left"/>
      <w:pPr>
        <w:ind w:left="6552" w:hanging="360"/>
      </w:pPr>
      <w:rPr>
        <w:rFonts w:hint="default"/>
        <w:lang w:val="sq-AL" w:eastAsia="en-US" w:bidi="ar-SA"/>
      </w:rPr>
    </w:lvl>
    <w:lvl w:ilvl="8" w:tplc="7C043E90">
      <w:numFmt w:val="bullet"/>
      <w:lvlText w:val="•"/>
      <w:lvlJc w:val="left"/>
      <w:pPr>
        <w:ind w:left="7477" w:hanging="360"/>
      </w:pPr>
      <w:rPr>
        <w:rFonts w:hint="default"/>
        <w:lang w:val="sq-AL" w:eastAsia="en-US" w:bidi="ar-SA"/>
      </w:rPr>
    </w:lvl>
  </w:abstractNum>
  <w:abstractNum w:abstractNumId="6" w15:restartNumberingAfterBreak="0">
    <w:nsid w:val="3E964947"/>
    <w:multiLevelType w:val="hybridMultilevel"/>
    <w:tmpl w:val="B406F634"/>
    <w:lvl w:ilvl="0" w:tplc="F38E48D4">
      <w:start w:val="1"/>
      <w:numFmt w:val="decimal"/>
      <w:lvlText w:val="%1."/>
      <w:lvlJc w:val="left"/>
      <w:pPr>
        <w:ind w:left="631" w:hanging="4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sq-AL" w:eastAsia="en-US" w:bidi="ar-SA"/>
      </w:rPr>
    </w:lvl>
    <w:lvl w:ilvl="1" w:tplc="655E4160">
      <w:start w:val="1"/>
      <w:numFmt w:val="upperLetter"/>
      <w:lvlText w:val="%2."/>
      <w:lvlJc w:val="left"/>
      <w:pPr>
        <w:ind w:left="9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-1"/>
        <w:w w:val="100"/>
        <w:sz w:val="24"/>
        <w:szCs w:val="24"/>
        <w:lang w:val="sq-AL" w:eastAsia="en-US" w:bidi="ar-SA"/>
      </w:rPr>
    </w:lvl>
    <w:lvl w:ilvl="2" w:tplc="53E6056A">
      <w:numFmt w:val="bullet"/>
      <w:lvlText w:val="•"/>
      <w:lvlJc w:val="left"/>
      <w:pPr>
        <w:ind w:left="1836" w:hanging="360"/>
      </w:pPr>
      <w:rPr>
        <w:rFonts w:hint="default"/>
        <w:lang w:val="sq-AL" w:eastAsia="en-US" w:bidi="ar-SA"/>
      </w:rPr>
    </w:lvl>
    <w:lvl w:ilvl="3" w:tplc="0C6E5C22">
      <w:numFmt w:val="bullet"/>
      <w:lvlText w:val="•"/>
      <w:lvlJc w:val="left"/>
      <w:pPr>
        <w:ind w:left="2773" w:hanging="360"/>
      </w:pPr>
      <w:rPr>
        <w:rFonts w:hint="default"/>
        <w:lang w:val="sq-AL" w:eastAsia="en-US" w:bidi="ar-SA"/>
      </w:rPr>
    </w:lvl>
    <w:lvl w:ilvl="4" w:tplc="21AC1716">
      <w:numFmt w:val="bullet"/>
      <w:lvlText w:val="•"/>
      <w:lvlJc w:val="left"/>
      <w:pPr>
        <w:ind w:left="3709" w:hanging="360"/>
      </w:pPr>
      <w:rPr>
        <w:rFonts w:hint="default"/>
        <w:lang w:val="sq-AL" w:eastAsia="en-US" w:bidi="ar-SA"/>
      </w:rPr>
    </w:lvl>
    <w:lvl w:ilvl="5" w:tplc="F912C256">
      <w:numFmt w:val="bullet"/>
      <w:lvlText w:val="•"/>
      <w:lvlJc w:val="left"/>
      <w:pPr>
        <w:ind w:left="4646" w:hanging="360"/>
      </w:pPr>
      <w:rPr>
        <w:rFonts w:hint="default"/>
        <w:lang w:val="sq-AL" w:eastAsia="en-US" w:bidi="ar-SA"/>
      </w:rPr>
    </w:lvl>
    <w:lvl w:ilvl="6" w:tplc="E954D278">
      <w:numFmt w:val="bullet"/>
      <w:lvlText w:val="•"/>
      <w:lvlJc w:val="left"/>
      <w:pPr>
        <w:ind w:left="5582" w:hanging="360"/>
      </w:pPr>
      <w:rPr>
        <w:rFonts w:hint="default"/>
        <w:lang w:val="sq-AL" w:eastAsia="en-US" w:bidi="ar-SA"/>
      </w:rPr>
    </w:lvl>
    <w:lvl w:ilvl="7" w:tplc="E58810DA">
      <w:numFmt w:val="bullet"/>
      <w:lvlText w:val="•"/>
      <w:lvlJc w:val="left"/>
      <w:pPr>
        <w:ind w:left="6519" w:hanging="360"/>
      </w:pPr>
      <w:rPr>
        <w:rFonts w:hint="default"/>
        <w:lang w:val="sq-AL" w:eastAsia="en-US" w:bidi="ar-SA"/>
      </w:rPr>
    </w:lvl>
    <w:lvl w:ilvl="8" w:tplc="F864DDE8">
      <w:numFmt w:val="bullet"/>
      <w:lvlText w:val="•"/>
      <w:lvlJc w:val="left"/>
      <w:pPr>
        <w:ind w:left="7455" w:hanging="360"/>
      </w:pPr>
      <w:rPr>
        <w:rFonts w:hint="default"/>
        <w:lang w:val="sq-AL" w:eastAsia="en-US" w:bidi="ar-SA"/>
      </w:rPr>
    </w:lvl>
  </w:abstractNum>
  <w:abstractNum w:abstractNumId="7" w15:restartNumberingAfterBreak="0">
    <w:nsid w:val="4D916DB7"/>
    <w:multiLevelType w:val="hybridMultilevel"/>
    <w:tmpl w:val="9B1C053E"/>
    <w:lvl w:ilvl="0" w:tplc="7138F1C4">
      <w:start w:val="1"/>
      <w:numFmt w:val="decimal"/>
      <w:lvlText w:val="%1."/>
      <w:lvlJc w:val="left"/>
      <w:pPr>
        <w:ind w:left="5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79D41D68">
      <w:numFmt w:val="bullet"/>
      <w:lvlText w:val="•"/>
      <w:lvlJc w:val="left"/>
      <w:pPr>
        <w:ind w:left="1418" w:hanging="360"/>
      </w:pPr>
      <w:rPr>
        <w:rFonts w:hint="default"/>
        <w:lang w:val="sq-AL" w:eastAsia="en-US" w:bidi="ar-SA"/>
      </w:rPr>
    </w:lvl>
    <w:lvl w:ilvl="2" w:tplc="8FDC560E">
      <w:numFmt w:val="bullet"/>
      <w:lvlText w:val="•"/>
      <w:lvlJc w:val="left"/>
      <w:pPr>
        <w:ind w:left="2297" w:hanging="360"/>
      </w:pPr>
      <w:rPr>
        <w:rFonts w:hint="default"/>
        <w:lang w:val="sq-AL" w:eastAsia="en-US" w:bidi="ar-SA"/>
      </w:rPr>
    </w:lvl>
    <w:lvl w:ilvl="3" w:tplc="B404A17E">
      <w:numFmt w:val="bullet"/>
      <w:lvlText w:val="•"/>
      <w:lvlJc w:val="left"/>
      <w:pPr>
        <w:ind w:left="3176" w:hanging="360"/>
      </w:pPr>
      <w:rPr>
        <w:rFonts w:hint="default"/>
        <w:lang w:val="sq-AL" w:eastAsia="en-US" w:bidi="ar-SA"/>
      </w:rPr>
    </w:lvl>
    <w:lvl w:ilvl="4" w:tplc="F9FA9F26">
      <w:numFmt w:val="bullet"/>
      <w:lvlText w:val="•"/>
      <w:lvlJc w:val="left"/>
      <w:pPr>
        <w:ind w:left="4055" w:hanging="360"/>
      </w:pPr>
      <w:rPr>
        <w:rFonts w:hint="default"/>
        <w:lang w:val="sq-AL" w:eastAsia="en-US" w:bidi="ar-SA"/>
      </w:rPr>
    </w:lvl>
    <w:lvl w:ilvl="5" w:tplc="E974AE8E">
      <w:numFmt w:val="bullet"/>
      <w:lvlText w:val="•"/>
      <w:lvlJc w:val="left"/>
      <w:pPr>
        <w:ind w:left="4934" w:hanging="360"/>
      </w:pPr>
      <w:rPr>
        <w:rFonts w:hint="default"/>
        <w:lang w:val="sq-AL" w:eastAsia="en-US" w:bidi="ar-SA"/>
      </w:rPr>
    </w:lvl>
    <w:lvl w:ilvl="6" w:tplc="266678FA">
      <w:numFmt w:val="bullet"/>
      <w:lvlText w:val="•"/>
      <w:lvlJc w:val="left"/>
      <w:pPr>
        <w:ind w:left="5813" w:hanging="360"/>
      </w:pPr>
      <w:rPr>
        <w:rFonts w:hint="default"/>
        <w:lang w:val="sq-AL" w:eastAsia="en-US" w:bidi="ar-SA"/>
      </w:rPr>
    </w:lvl>
    <w:lvl w:ilvl="7" w:tplc="AB8CB556">
      <w:numFmt w:val="bullet"/>
      <w:lvlText w:val="•"/>
      <w:lvlJc w:val="left"/>
      <w:pPr>
        <w:ind w:left="6692" w:hanging="360"/>
      </w:pPr>
      <w:rPr>
        <w:rFonts w:hint="default"/>
        <w:lang w:val="sq-AL" w:eastAsia="en-US" w:bidi="ar-SA"/>
      </w:rPr>
    </w:lvl>
    <w:lvl w:ilvl="8" w:tplc="1FFEA882">
      <w:numFmt w:val="bullet"/>
      <w:lvlText w:val="•"/>
      <w:lvlJc w:val="left"/>
      <w:pPr>
        <w:ind w:left="7571" w:hanging="360"/>
      </w:pPr>
      <w:rPr>
        <w:rFonts w:hint="default"/>
        <w:lang w:val="sq-AL" w:eastAsia="en-US" w:bidi="ar-SA"/>
      </w:rPr>
    </w:lvl>
  </w:abstractNum>
  <w:abstractNum w:abstractNumId="8" w15:restartNumberingAfterBreak="0">
    <w:nsid w:val="512C45F4"/>
    <w:multiLevelType w:val="hybridMultilevel"/>
    <w:tmpl w:val="E76488F4"/>
    <w:lvl w:ilvl="0" w:tplc="5B288F9C">
      <w:start w:val="1"/>
      <w:numFmt w:val="decimal"/>
      <w:lvlText w:val="%1."/>
      <w:lvlJc w:val="left"/>
      <w:pPr>
        <w:ind w:left="612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sq-AL" w:eastAsia="en-US" w:bidi="ar-SA"/>
      </w:rPr>
    </w:lvl>
    <w:lvl w:ilvl="1" w:tplc="F2E4B016">
      <w:numFmt w:val="bullet"/>
      <w:lvlText w:val="•"/>
      <w:lvlJc w:val="left"/>
      <w:pPr>
        <w:ind w:left="1490" w:hanging="413"/>
      </w:pPr>
      <w:rPr>
        <w:rFonts w:hint="default"/>
        <w:lang w:val="sq-AL" w:eastAsia="en-US" w:bidi="ar-SA"/>
      </w:rPr>
    </w:lvl>
    <w:lvl w:ilvl="2" w:tplc="EA8CC038">
      <w:numFmt w:val="bullet"/>
      <w:lvlText w:val="•"/>
      <w:lvlJc w:val="left"/>
      <w:pPr>
        <w:ind w:left="2361" w:hanging="413"/>
      </w:pPr>
      <w:rPr>
        <w:rFonts w:hint="default"/>
        <w:lang w:val="sq-AL" w:eastAsia="en-US" w:bidi="ar-SA"/>
      </w:rPr>
    </w:lvl>
    <w:lvl w:ilvl="3" w:tplc="AA2E1450">
      <w:numFmt w:val="bullet"/>
      <w:lvlText w:val="•"/>
      <w:lvlJc w:val="left"/>
      <w:pPr>
        <w:ind w:left="3232" w:hanging="413"/>
      </w:pPr>
      <w:rPr>
        <w:rFonts w:hint="default"/>
        <w:lang w:val="sq-AL" w:eastAsia="en-US" w:bidi="ar-SA"/>
      </w:rPr>
    </w:lvl>
    <w:lvl w:ilvl="4" w:tplc="927C0734">
      <w:numFmt w:val="bullet"/>
      <w:lvlText w:val="•"/>
      <w:lvlJc w:val="left"/>
      <w:pPr>
        <w:ind w:left="4103" w:hanging="413"/>
      </w:pPr>
      <w:rPr>
        <w:rFonts w:hint="default"/>
        <w:lang w:val="sq-AL" w:eastAsia="en-US" w:bidi="ar-SA"/>
      </w:rPr>
    </w:lvl>
    <w:lvl w:ilvl="5" w:tplc="D36C79F4">
      <w:numFmt w:val="bullet"/>
      <w:lvlText w:val="•"/>
      <w:lvlJc w:val="left"/>
      <w:pPr>
        <w:ind w:left="4974" w:hanging="413"/>
      </w:pPr>
      <w:rPr>
        <w:rFonts w:hint="default"/>
        <w:lang w:val="sq-AL" w:eastAsia="en-US" w:bidi="ar-SA"/>
      </w:rPr>
    </w:lvl>
    <w:lvl w:ilvl="6" w:tplc="24FAE1EC">
      <w:numFmt w:val="bullet"/>
      <w:lvlText w:val="•"/>
      <w:lvlJc w:val="left"/>
      <w:pPr>
        <w:ind w:left="5845" w:hanging="413"/>
      </w:pPr>
      <w:rPr>
        <w:rFonts w:hint="default"/>
        <w:lang w:val="sq-AL" w:eastAsia="en-US" w:bidi="ar-SA"/>
      </w:rPr>
    </w:lvl>
    <w:lvl w:ilvl="7" w:tplc="C11CC716">
      <w:numFmt w:val="bullet"/>
      <w:lvlText w:val="•"/>
      <w:lvlJc w:val="left"/>
      <w:pPr>
        <w:ind w:left="6716" w:hanging="413"/>
      </w:pPr>
      <w:rPr>
        <w:rFonts w:hint="default"/>
        <w:lang w:val="sq-AL" w:eastAsia="en-US" w:bidi="ar-SA"/>
      </w:rPr>
    </w:lvl>
    <w:lvl w:ilvl="8" w:tplc="34F61D32">
      <w:numFmt w:val="bullet"/>
      <w:lvlText w:val="•"/>
      <w:lvlJc w:val="left"/>
      <w:pPr>
        <w:ind w:left="7587" w:hanging="413"/>
      </w:pPr>
      <w:rPr>
        <w:rFonts w:hint="default"/>
        <w:lang w:val="sq-AL" w:eastAsia="en-US" w:bidi="ar-SA"/>
      </w:rPr>
    </w:lvl>
  </w:abstractNum>
  <w:abstractNum w:abstractNumId="9" w15:restartNumberingAfterBreak="0">
    <w:nsid w:val="562E5E28"/>
    <w:multiLevelType w:val="hybridMultilevel"/>
    <w:tmpl w:val="E048B67A"/>
    <w:lvl w:ilvl="0" w:tplc="021C3E66">
      <w:start w:val="1"/>
      <w:numFmt w:val="decimal"/>
      <w:lvlText w:val="%1."/>
      <w:lvlJc w:val="left"/>
      <w:pPr>
        <w:ind w:left="180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sq-AL" w:eastAsia="en-US" w:bidi="ar-SA"/>
      </w:rPr>
    </w:lvl>
    <w:lvl w:ilvl="1" w:tplc="25C44CF8">
      <w:start w:val="1"/>
      <w:numFmt w:val="lowerRoman"/>
      <w:lvlText w:val="%2."/>
      <w:lvlJc w:val="left"/>
      <w:pPr>
        <w:ind w:left="1351" w:hanging="3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 w:tplc="239A3D5C">
      <w:numFmt w:val="bullet"/>
      <w:lvlText w:val="•"/>
      <w:lvlJc w:val="left"/>
      <w:pPr>
        <w:ind w:left="1360" w:hanging="399"/>
      </w:pPr>
      <w:rPr>
        <w:rFonts w:hint="default"/>
        <w:lang w:val="sq-AL" w:eastAsia="en-US" w:bidi="ar-SA"/>
      </w:rPr>
    </w:lvl>
    <w:lvl w:ilvl="3" w:tplc="6D6C6356">
      <w:numFmt w:val="bullet"/>
      <w:lvlText w:val="•"/>
      <w:lvlJc w:val="left"/>
      <w:pPr>
        <w:ind w:left="2356" w:hanging="399"/>
      </w:pPr>
      <w:rPr>
        <w:rFonts w:hint="default"/>
        <w:lang w:val="sq-AL" w:eastAsia="en-US" w:bidi="ar-SA"/>
      </w:rPr>
    </w:lvl>
    <w:lvl w:ilvl="4" w:tplc="3E6AF2B6">
      <w:numFmt w:val="bullet"/>
      <w:lvlText w:val="•"/>
      <w:lvlJc w:val="left"/>
      <w:pPr>
        <w:ind w:left="3352" w:hanging="399"/>
      </w:pPr>
      <w:rPr>
        <w:rFonts w:hint="default"/>
        <w:lang w:val="sq-AL" w:eastAsia="en-US" w:bidi="ar-SA"/>
      </w:rPr>
    </w:lvl>
    <w:lvl w:ilvl="5" w:tplc="BE8ED32A">
      <w:numFmt w:val="bullet"/>
      <w:lvlText w:val="•"/>
      <w:lvlJc w:val="left"/>
      <w:pPr>
        <w:ind w:left="4348" w:hanging="399"/>
      </w:pPr>
      <w:rPr>
        <w:rFonts w:hint="default"/>
        <w:lang w:val="sq-AL" w:eastAsia="en-US" w:bidi="ar-SA"/>
      </w:rPr>
    </w:lvl>
    <w:lvl w:ilvl="6" w:tplc="91865396">
      <w:numFmt w:val="bullet"/>
      <w:lvlText w:val="•"/>
      <w:lvlJc w:val="left"/>
      <w:pPr>
        <w:ind w:left="5344" w:hanging="399"/>
      </w:pPr>
      <w:rPr>
        <w:rFonts w:hint="default"/>
        <w:lang w:val="sq-AL" w:eastAsia="en-US" w:bidi="ar-SA"/>
      </w:rPr>
    </w:lvl>
    <w:lvl w:ilvl="7" w:tplc="281E808A">
      <w:numFmt w:val="bullet"/>
      <w:lvlText w:val="•"/>
      <w:lvlJc w:val="left"/>
      <w:pPr>
        <w:ind w:left="6340" w:hanging="399"/>
      </w:pPr>
      <w:rPr>
        <w:rFonts w:hint="default"/>
        <w:lang w:val="sq-AL" w:eastAsia="en-US" w:bidi="ar-SA"/>
      </w:rPr>
    </w:lvl>
    <w:lvl w:ilvl="8" w:tplc="BB485C96">
      <w:numFmt w:val="bullet"/>
      <w:lvlText w:val="•"/>
      <w:lvlJc w:val="left"/>
      <w:pPr>
        <w:ind w:left="7336" w:hanging="399"/>
      </w:pPr>
      <w:rPr>
        <w:rFonts w:hint="default"/>
        <w:lang w:val="sq-AL" w:eastAsia="en-US" w:bidi="ar-SA"/>
      </w:rPr>
    </w:lvl>
  </w:abstractNum>
  <w:abstractNum w:abstractNumId="10" w15:restartNumberingAfterBreak="0">
    <w:nsid w:val="572B4305"/>
    <w:multiLevelType w:val="hybridMultilevel"/>
    <w:tmpl w:val="A44EC49E"/>
    <w:lvl w:ilvl="0" w:tplc="9B467B32">
      <w:start w:val="1"/>
      <w:numFmt w:val="decimal"/>
      <w:lvlText w:val="%1."/>
      <w:lvlJc w:val="left"/>
      <w:pPr>
        <w:ind w:left="612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CF767296">
      <w:start w:val="1"/>
      <w:numFmt w:val="lowerLetter"/>
      <w:lvlText w:val="%2)"/>
      <w:lvlJc w:val="left"/>
      <w:pPr>
        <w:ind w:left="10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-1"/>
        <w:w w:val="97"/>
        <w:sz w:val="24"/>
        <w:szCs w:val="24"/>
        <w:lang w:val="sq-AL" w:eastAsia="en-US" w:bidi="ar-SA"/>
      </w:rPr>
    </w:lvl>
    <w:lvl w:ilvl="2" w:tplc="5EE28772">
      <w:numFmt w:val="bullet"/>
      <w:lvlText w:val="•"/>
      <w:lvlJc w:val="left"/>
      <w:pPr>
        <w:ind w:left="1960" w:hanging="360"/>
      </w:pPr>
      <w:rPr>
        <w:rFonts w:hint="default"/>
        <w:lang w:val="sq-AL" w:eastAsia="en-US" w:bidi="ar-SA"/>
      </w:rPr>
    </w:lvl>
    <w:lvl w:ilvl="3" w:tplc="BC2C5FEC">
      <w:numFmt w:val="bullet"/>
      <w:lvlText w:val="•"/>
      <w:lvlJc w:val="left"/>
      <w:pPr>
        <w:ind w:left="2881" w:hanging="360"/>
      </w:pPr>
      <w:rPr>
        <w:rFonts w:hint="default"/>
        <w:lang w:val="sq-AL" w:eastAsia="en-US" w:bidi="ar-SA"/>
      </w:rPr>
    </w:lvl>
    <w:lvl w:ilvl="4" w:tplc="3E6868F0">
      <w:numFmt w:val="bullet"/>
      <w:lvlText w:val="•"/>
      <w:lvlJc w:val="left"/>
      <w:pPr>
        <w:ind w:left="3802" w:hanging="360"/>
      </w:pPr>
      <w:rPr>
        <w:rFonts w:hint="default"/>
        <w:lang w:val="sq-AL" w:eastAsia="en-US" w:bidi="ar-SA"/>
      </w:rPr>
    </w:lvl>
    <w:lvl w:ilvl="5" w:tplc="32E27CBA">
      <w:numFmt w:val="bullet"/>
      <w:lvlText w:val="•"/>
      <w:lvlJc w:val="left"/>
      <w:pPr>
        <w:ind w:left="4723" w:hanging="360"/>
      </w:pPr>
      <w:rPr>
        <w:rFonts w:hint="default"/>
        <w:lang w:val="sq-AL" w:eastAsia="en-US" w:bidi="ar-SA"/>
      </w:rPr>
    </w:lvl>
    <w:lvl w:ilvl="6" w:tplc="74D8203C">
      <w:numFmt w:val="bullet"/>
      <w:lvlText w:val="•"/>
      <w:lvlJc w:val="left"/>
      <w:pPr>
        <w:ind w:left="5644" w:hanging="360"/>
      </w:pPr>
      <w:rPr>
        <w:rFonts w:hint="default"/>
        <w:lang w:val="sq-AL" w:eastAsia="en-US" w:bidi="ar-SA"/>
      </w:rPr>
    </w:lvl>
    <w:lvl w:ilvl="7" w:tplc="0A583A68">
      <w:numFmt w:val="bullet"/>
      <w:lvlText w:val="•"/>
      <w:lvlJc w:val="left"/>
      <w:pPr>
        <w:ind w:left="6565" w:hanging="360"/>
      </w:pPr>
      <w:rPr>
        <w:rFonts w:hint="default"/>
        <w:lang w:val="sq-AL" w:eastAsia="en-US" w:bidi="ar-SA"/>
      </w:rPr>
    </w:lvl>
    <w:lvl w:ilvl="8" w:tplc="35A8BB2E">
      <w:numFmt w:val="bullet"/>
      <w:lvlText w:val="•"/>
      <w:lvlJc w:val="left"/>
      <w:pPr>
        <w:ind w:left="7486" w:hanging="360"/>
      </w:pPr>
      <w:rPr>
        <w:rFonts w:hint="default"/>
        <w:lang w:val="sq-AL" w:eastAsia="en-US" w:bidi="ar-SA"/>
      </w:rPr>
    </w:lvl>
  </w:abstractNum>
  <w:abstractNum w:abstractNumId="11" w15:restartNumberingAfterBreak="0">
    <w:nsid w:val="5E4F571F"/>
    <w:multiLevelType w:val="hybridMultilevel"/>
    <w:tmpl w:val="EB084D40"/>
    <w:lvl w:ilvl="0" w:tplc="0A8CDAE8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8A0C6156">
      <w:start w:val="1"/>
      <w:numFmt w:val="lowerRoman"/>
      <w:lvlText w:val="(%2)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sq-AL" w:eastAsia="en-US" w:bidi="ar-SA"/>
      </w:rPr>
    </w:lvl>
    <w:lvl w:ilvl="2" w:tplc="A5CE5BD8">
      <w:numFmt w:val="bullet"/>
      <w:lvlText w:val="•"/>
      <w:lvlJc w:val="left"/>
      <w:pPr>
        <w:ind w:left="1795" w:hanging="360"/>
      </w:pPr>
      <w:rPr>
        <w:rFonts w:hint="default"/>
        <w:lang w:val="sq-AL" w:eastAsia="en-US" w:bidi="ar-SA"/>
      </w:rPr>
    </w:lvl>
    <w:lvl w:ilvl="3" w:tplc="C6A05A0A">
      <w:numFmt w:val="bullet"/>
      <w:lvlText w:val="•"/>
      <w:lvlJc w:val="left"/>
      <w:pPr>
        <w:ind w:left="2771" w:hanging="360"/>
      </w:pPr>
      <w:rPr>
        <w:rFonts w:hint="default"/>
        <w:lang w:val="sq-AL" w:eastAsia="en-US" w:bidi="ar-SA"/>
      </w:rPr>
    </w:lvl>
    <w:lvl w:ilvl="4" w:tplc="CF66F058">
      <w:numFmt w:val="bullet"/>
      <w:lvlText w:val="•"/>
      <w:lvlJc w:val="left"/>
      <w:pPr>
        <w:ind w:left="3746" w:hanging="360"/>
      </w:pPr>
      <w:rPr>
        <w:rFonts w:hint="default"/>
        <w:lang w:val="sq-AL" w:eastAsia="en-US" w:bidi="ar-SA"/>
      </w:rPr>
    </w:lvl>
    <w:lvl w:ilvl="5" w:tplc="FE2A552A">
      <w:numFmt w:val="bullet"/>
      <w:lvlText w:val="•"/>
      <w:lvlJc w:val="left"/>
      <w:pPr>
        <w:ind w:left="4722" w:hanging="360"/>
      </w:pPr>
      <w:rPr>
        <w:rFonts w:hint="default"/>
        <w:lang w:val="sq-AL" w:eastAsia="en-US" w:bidi="ar-SA"/>
      </w:rPr>
    </w:lvl>
    <w:lvl w:ilvl="6" w:tplc="800854C4">
      <w:numFmt w:val="bullet"/>
      <w:lvlText w:val="•"/>
      <w:lvlJc w:val="left"/>
      <w:pPr>
        <w:ind w:left="5697" w:hanging="360"/>
      </w:pPr>
      <w:rPr>
        <w:rFonts w:hint="default"/>
        <w:lang w:val="sq-AL" w:eastAsia="en-US" w:bidi="ar-SA"/>
      </w:rPr>
    </w:lvl>
    <w:lvl w:ilvl="7" w:tplc="34D06962">
      <w:numFmt w:val="bullet"/>
      <w:lvlText w:val="•"/>
      <w:lvlJc w:val="left"/>
      <w:pPr>
        <w:ind w:left="6673" w:hanging="360"/>
      </w:pPr>
      <w:rPr>
        <w:rFonts w:hint="default"/>
        <w:lang w:val="sq-AL" w:eastAsia="en-US" w:bidi="ar-SA"/>
      </w:rPr>
    </w:lvl>
    <w:lvl w:ilvl="8" w:tplc="4A5C1F4C">
      <w:numFmt w:val="bullet"/>
      <w:lvlText w:val="•"/>
      <w:lvlJc w:val="left"/>
      <w:pPr>
        <w:ind w:left="7648" w:hanging="360"/>
      </w:pPr>
      <w:rPr>
        <w:rFonts w:hint="default"/>
        <w:lang w:val="sq-AL" w:eastAsia="en-US" w:bidi="ar-SA"/>
      </w:rPr>
    </w:lvl>
  </w:abstractNum>
  <w:abstractNum w:abstractNumId="12" w15:restartNumberingAfterBreak="0">
    <w:nsid w:val="5F9D4320"/>
    <w:multiLevelType w:val="hybridMultilevel"/>
    <w:tmpl w:val="CB040E6C"/>
    <w:lvl w:ilvl="0" w:tplc="85DAA634">
      <w:start w:val="1"/>
      <w:numFmt w:val="lowerRoman"/>
      <w:lvlText w:val="%1."/>
      <w:lvlJc w:val="left"/>
      <w:pPr>
        <w:ind w:left="117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sq-AL" w:eastAsia="en-US" w:bidi="ar-SA"/>
      </w:rPr>
    </w:lvl>
    <w:lvl w:ilvl="1" w:tplc="972878F4">
      <w:numFmt w:val="bullet"/>
      <w:lvlText w:val="•"/>
      <w:lvlJc w:val="left"/>
      <w:pPr>
        <w:ind w:left="1994" w:hanging="488"/>
      </w:pPr>
      <w:rPr>
        <w:rFonts w:hint="default"/>
        <w:lang w:val="sq-AL" w:eastAsia="en-US" w:bidi="ar-SA"/>
      </w:rPr>
    </w:lvl>
    <w:lvl w:ilvl="2" w:tplc="B31CE7DE">
      <w:numFmt w:val="bullet"/>
      <w:lvlText w:val="•"/>
      <w:lvlJc w:val="left"/>
      <w:pPr>
        <w:ind w:left="2809" w:hanging="488"/>
      </w:pPr>
      <w:rPr>
        <w:rFonts w:hint="default"/>
        <w:lang w:val="sq-AL" w:eastAsia="en-US" w:bidi="ar-SA"/>
      </w:rPr>
    </w:lvl>
    <w:lvl w:ilvl="3" w:tplc="D8F009A0">
      <w:numFmt w:val="bullet"/>
      <w:lvlText w:val="•"/>
      <w:lvlJc w:val="left"/>
      <w:pPr>
        <w:ind w:left="3624" w:hanging="488"/>
      </w:pPr>
      <w:rPr>
        <w:rFonts w:hint="default"/>
        <w:lang w:val="sq-AL" w:eastAsia="en-US" w:bidi="ar-SA"/>
      </w:rPr>
    </w:lvl>
    <w:lvl w:ilvl="4" w:tplc="A7889108">
      <w:numFmt w:val="bullet"/>
      <w:lvlText w:val="•"/>
      <w:lvlJc w:val="left"/>
      <w:pPr>
        <w:ind w:left="4439" w:hanging="488"/>
      </w:pPr>
      <w:rPr>
        <w:rFonts w:hint="default"/>
        <w:lang w:val="sq-AL" w:eastAsia="en-US" w:bidi="ar-SA"/>
      </w:rPr>
    </w:lvl>
    <w:lvl w:ilvl="5" w:tplc="6F301AA4">
      <w:numFmt w:val="bullet"/>
      <w:lvlText w:val="•"/>
      <w:lvlJc w:val="left"/>
      <w:pPr>
        <w:ind w:left="5254" w:hanging="488"/>
      </w:pPr>
      <w:rPr>
        <w:rFonts w:hint="default"/>
        <w:lang w:val="sq-AL" w:eastAsia="en-US" w:bidi="ar-SA"/>
      </w:rPr>
    </w:lvl>
    <w:lvl w:ilvl="6" w:tplc="85AA4276">
      <w:numFmt w:val="bullet"/>
      <w:lvlText w:val="•"/>
      <w:lvlJc w:val="left"/>
      <w:pPr>
        <w:ind w:left="6069" w:hanging="488"/>
      </w:pPr>
      <w:rPr>
        <w:rFonts w:hint="default"/>
        <w:lang w:val="sq-AL" w:eastAsia="en-US" w:bidi="ar-SA"/>
      </w:rPr>
    </w:lvl>
    <w:lvl w:ilvl="7" w:tplc="025E4076">
      <w:numFmt w:val="bullet"/>
      <w:lvlText w:val="•"/>
      <w:lvlJc w:val="left"/>
      <w:pPr>
        <w:ind w:left="6884" w:hanging="488"/>
      </w:pPr>
      <w:rPr>
        <w:rFonts w:hint="default"/>
        <w:lang w:val="sq-AL" w:eastAsia="en-US" w:bidi="ar-SA"/>
      </w:rPr>
    </w:lvl>
    <w:lvl w:ilvl="8" w:tplc="76F06B64">
      <w:numFmt w:val="bullet"/>
      <w:lvlText w:val="•"/>
      <w:lvlJc w:val="left"/>
      <w:pPr>
        <w:ind w:left="7699" w:hanging="488"/>
      </w:pPr>
      <w:rPr>
        <w:rFonts w:hint="default"/>
        <w:lang w:val="sq-AL" w:eastAsia="en-US" w:bidi="ar-SA"/>
      </w:rPr>
    </w:lvl>
  </w:abstractNum>
  <w:abstractNum w:abstractNumId="13" w15:restartNumberingAfterBreak="0">
    <w:nsid w:val="61AD6D4B"/>
    <w:multiLevelType w:val="hybridMultilevel"/>
    <w:tmpl w:val="615ECBDE"/>
    <w:lvl w:ilvl="0" w:tplc="91169596">
      <w:start w:val="1"/>
      <w:numFmt w:val="lowerRoman"/>
      <w:lvlText w:val="%1."/>
      <w:lvlJc w:val="left"/>
      <w:pPr>
        <w:ind w:left="540" w:hanging="3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33D4D43A">
      <w:numFmt w:val="bullet"/>
      <w:lvlText w:val="•"/>
      <w:lvlJc w:val="left"/>
      <w:pPr>
        <w:ind w:left="1418" w:hanging="308"/>
      </w:pPr>
      <w:rPr>
        <w:rFonts w:hint="default"/>
        <w:lang w:val="sq-AL" w:eastAsia="en-US" w:bidi="ar-SA"/>
      </w:rPr>
    </w:lvl>
    <w:lvl w:ilvl="2" w:tplc="6F8CDE08">
      <w:numFmt w:val="bullet"/>
      <w:lvlText w:val="•"/>
      <w:lvlJc w:val="left"/>
      <w:pPr>
        <w:ind w:left="2297" w:hanging="308"/>
      </w:pPr>
      <w:rPr>
        <w:rFonts w:hint="default"/>
        <w:lang w:val="sq-AL" w:eastAsia="en-US" w:bidi="ar-SA"/>
      </w:rPr>
    </w:lvl>
    <w:lvl w:ilvl="3" w:tplc="91306F64">
      <w:numFmt w:val="bullet"/>
      <w:lvlText w:val="•"/>
      <w:lvlJc w:val="left"/>
      <w:pPr>
        <w:ind w:left="3176" w:hanging="308"/>
      </w:pPr>
      <w:rPr>
        <w:rFonts w:hint="default"/>
        <w:lang w:val="sq-AL" w:eastAsia="en-US" w:bidi="ar-SA"/>
      </w:rPr>
    </w:lvl>
    <w:lvl w:ilvl="4" w:tplc="F37C8818">
      <w:numFmt w:val="bullet"/>
      <w:lvlText w:val="•"/>
      <w:lvlJc w:val="left"/>
      <w:pPr>
        <w:ind w:left="4055" w:hanging="308"/>
      </w:pPr>
      <w:rPr>
        <w:rFonts w:hint="default"/>
        <w:lang w:val="sq-AL" w:eastAsia="en-US" w:bidi="ar-SA"/>
      </w:rPr>
    </w:lvl>
    <w:lvl w:ilvl="5" w:tplc="A9025688">
      <w:numFmt w:val="bullet"/>
      <w:lvlText w:val="•"/>
      <w:lvlJc w:val="left"/>
      <w:pPr>
        <w:ind w:left="4934" w:hanging="308"/>
      </w:pPr>
      <w:rPr>
        <w:rFonts w:hint="default"/>
        <w:lang w:val="sq-AL" w:eastAsia="en-US" w:bidi="ar-SA"/>
      </w:rPr>
    </w:lvl>
    <w:lvl w:ilvl="6" w:tplc="337A53B2">
      <w:numFmt w:val="bullet"/>
      <w:lvlText w:val="•"/>
      <w:lvlJc w:val="left"/>
      <w:pPr>
        <w:ind w:left="5813" w:hanging="308"/>
      </w:pPr>
      <w:rPr>
        <w:rFonts w:hint="default"/>
        <w:lang w:val="sq-AL" w:eastAsia="en-US" w:bidi="ar-SA"/>
      </w:rPr>
    </w:lvl>
    <w:lvl w:ilvl="7" w:tplc="364A1084">
      <w:numFmt w:val="bullet"/>
      <w:lvlText w:val="•"/>
      <w:lvlJc w:val="left"/>
      <w:pPr>
        <w:ind w:left="6692" w:hanging="308"/>
      </w:pPr>
      <w:rPr>
        <w:rFonts w:hint="default"/>
        <w:lang w:val="sq-AL" w:eastAsia="en-US" w:bidi="ar-SA"/>
      </w:rPr>
    </w:lvl>
    <w:lvl w:ilvl="8" w:tplc="D384FFD6">
      <w:numFmt w:val="bullet"/>
      <w:lvlText w:val="•"/>
      <w:lvlJc w:val="left"/>
      <w:pPr>
        <w:ind w:left="7571" w:hanging="308"/>
      </w:pPr>
      <w:rPr>
        <w:rFonts w:hint="default"/>
        <w:lang w:val="sq-AL" w:eastAsia="en-US" w:bidi="ar-SA"/>
      </w:rPr>
    </w:lvl>
  </w:abstractNum>
  <w:abstractNum w:abstractNumId="14" w15:restartNumberingAfterBreak="0">
    <w:nsid w:val="6E3D6D4A"/>
    <w:multiLevelType w:val="hybridMultilevel"/>
    <w:tmpl w:val="091E041C"/>
    <w:lvl w:ilvl="0" w:tplc="02D88C7E">
      <w:start w:val="1"/>
      <w:numFmt w:val="decimal"/>
      <w:lvlText w:val="%1."/>
      <w:lvlJc w:val="left"/>
      <w:pPr>
        <w:ind w:left="5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48B82EB8">
      <w:numFmt w:val="bullet"/>
      <w:lvlText w:val="•"/>
      <w:lvlJc w:val="left"/>
      <w:pPr>
        <w:ind w:left="1418" w:hanging="360"/>
      </w:pPr>
      <w:rPr>
        <w:rFonts w:hint="default"/>
        <w:lang w:val="sq-AL" w:eastAsia="en-US" w:bidi="ar-SA"/>
      </w:rPr>
    </w:lvl>
    <w:lvl w:ilvl="2" w:tplc="8D7C44A6">
      <w:numFmt w:val="bullet"/>
      <w:lvlText w:val="•"/>
      <w:lvlJc w:val="left"/>
      <w:pPr>
        <w:ind w:left="2297" w:hanging="360"/>
      </w:pPr>
      <w:rPr>
        <w:rFonts w:hint="default"/>
        <w:lang w:val="sq-AL" w:eastAsia="en-US" w:bidi="ar-SA"/>
      </w:rPr>
    </w:lvl>
    <w:lvl w:ilvl="3" w:tplc="00D8AD30">
      <w:numFmt w:val="bullet"/>
      <w:lvlText w:val="•"/>
      <w:lvlJc w:val="left"/>
      <w:pPr>
        <w:ind w:left="3176" w:hanging="360"/>
      </w:pPr>
      <w:rPr>
        <w:rFonts w:hint="default"/>
        <w:lang w:val="sq-AL" w:eastAsia="en-US" w:bidi="ar-SA"/>
      </w:rPr>
    </w:lvl>
    <w:lvl w:ilvl="4" w:tplc="76228FDE">
      <w:numFmt w:val="bullet"/>
      <w:lvlText w:val="•"/>
      <w:lvlJc w:val="left"/>
      <w:pPr>
        <w:ind w:left="4055" w:hanging="360"/>
      </w:pPr>
      <w:rPr>
        <w:rFonts w:hint="default"/>
        <w:lang w:val="sq-AL" w:eastAsia="en-US" w:bidi="ar-SA"/>
      </w:rPr>
    </w:lvl>
    <w:lvl w:ilvl="5" w:tplc="CB3673E6">
      <w:numFmt w:val="bullet"/>
      <w:lvlText w:val="•"/>
      <w:lvlJc w:val="left"/>
      <w:pPr>
        <w:ind w:left="4934" w:hanging="360"/>
      </w:pPr>
      <w:rPr>
        <w:rFonts w:hint="default"/>
        <w:lang w:val="sq-AL" w:eastAsia="en-US" w:bidi="ar-SA"/>
      </w:rPr>
    </w:lvl>
    <w:lvl w:ilvl="6" w:tplc="97ECDFF0">
      <w:numFmt w:val="bullet"/>
      <w:lvlText w:val="•"/>
      <w:lvlJc w:val="left"/>
      <w:pPr>
        <w:ind w:left="5813" w:hanging="360"/>
      </w:pPr>
      <w:rPr>
        <w:rFonts w:hint="default"/>
        <w:lang w:val="sq-AL" w:eastAsia="en-US" w:bidi="ar-SA"/>
      </w:rPr>
    </w:lvl>
    <w:lvl w:ilvl="7" w:tplc="774C4098">
      <w:numFmt w:val="bullet"/>
      <w:lvlText w:val="•"/>
      <w:lvlJc w:val="left"/>
      <w:pPr>
        <w:ind w:left="6692" w:hanging="360"/>
      </w:pPr>
      <w:rPr>
        <w:rFonts w:hint="default"/>
        <w:lang w:val="sq-AL" w:eastAsia="en-US" w:bidi="ar-SA"/>
      </w:rPr>
    </w:lvl>
    <w:lvl w:ilvl="8" w:tplc="594E8562">
      <w:numFmt w:val="bullet"/>
      <w:lvlText w:val="•"/>
      <w:lvlJc w:val="left"/>
      <w:pPr>
        <w:ind w:left="7571" w:hanging="360"/>
      </w:pPr>
      <w:rPr>
        <w:rFonts w:hint="default"/>
        <w:lang w:val="sq-AL" w:eastAsia="en-US" w:bidi="ar-SA"/>
      </w:rPr>
    </w:lvl>
  </w:abstractNum>
  <w:abstractNum w:abstractNumId="15" w15:restartNumberingAfterBreak="0">
    <w:nsid w:val="71A46544"/>
    <w:multiLevelType w:val="hybridMultilevel"/>
    <w:tmpl w:val="38767B54"/>
    <w:lvl w:ilvl="0" w:tplc="ACB29778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50900F20">
      <w:numFmt w:val="bullet"/>
      <w:lvlText w:val="•"/>
      <w:lvlJc w:val="left"/>
      <w:pPr>
        <w:ind w:left="1374" w:hanging="360"/>
      </w:pPr>
      <w:rPr>
        <w:rFonts w:hint="default"/>
        <w:lang w:val="sq-AL" w:eastAsia="en-US" w:bidi="ar-SA"/>
      </w:rPr>
    </w:lvl>
    <w:lvl w:ilvl="2" w:tplc="AADE74B6">
      <w:numFmt w:val="bullet"/>
      <w:lvlText w:val="•"/>
      <w:lvlJc w:val="left"/>
      <w:pPr>
        <w:ind w:left="2288" w:hanging="360"/>
      </w:pPr>
      <w:rPr>
        <w:rFonts w:hint="default"/>
        <w:lang w:val="sq-AL" w:eastAsia="en-US" w:bidi="ar-SA"/>
      </w:rPr>
    </w:lvl>
    <w:lvl w:ilvl="3" w:tplc="E996A4D4">
      <w:numFmt w:val="bullet"/>
      <w:lvlText w:val="•"/>
      <w:lvlJc w:val="left"/>
      <w:pPr>
        <w:ind w:left="3202" w:hanging="360"/>
      </w:pPr>
      <w:rPr>
        <w:rFonts w:hint="default"/>
        <w:lang w:val="sq-AL" w:eastAsia="en-US" w:bidi="ar-SA"/>
      </w:rPr>
    </w:lvl>
    <w:lvl w:ilvl="4" w:tplc="02D608CE">
      <w:numFmt w:val="bullet"/>
      <w:lvlText w:val="•"/>
      <w:lvlJc w:val="left"/>
      <w:pPr>
        <w:ind w:left="4116" w:hanging="360"/>
      </w:pPr>
      <w:rPr>
        <w:rFonts w:hint="default"/>
        <w:lang w:val="sq-AL" w:eastAsia="en-US" w:bidi="ar-SA"/>
      </w:rPr>
    </w:lvl>
    <w:lvl w:ilvl="5" w:tplc="4AB2F4D8">
      <w:numFmt w:val="bullet"/>
      <w:lvlText w:val="•"/>
      <w:lvlJc w:val="left"/>
      <w:pPr>
        <w:ind w:left="5030" w:hanging="360"/>
      </w:pPr>
      <w:rPr>
        <w:rFonts w:hint="default"/>
        <w:lang w:val="sq-AL" w:eastAsia="en-US" w:bidi="ar-SA"/>
      </w:rPr>
    </w:lvl>
    <w:lvl w:ilvl="6" w:tplc="AB3EDA5E">
      <w:numFmt w:val="bullet"/>
      <w:lvlText w:val="•"/>
      <w:lvlJc w:val="left"/>
      <w:pPr>
        <w:ind w:left="5944" w:hanging="360"/>
      </w:pPr>
      <w:rPr>
        <w:rFonts w:hint="default"/>
        <w:lang w:val="sq-AL" w:eastAsia="en-US" w:bidi="ar-SA"/>
      </w:rPr>
    </w:lvl>
    <w:lvl w:ilvl="7" w:tplc="ED1A9CE8">
      <w:numFmt w:val="bullet"/>
      <w:lvlText w:val="•"/>
      <w:lvlJc w:val="left"/>
      <w:pPr>
        <w:ind w:left="6858" w:hanging="360"/>
      </w:pPr>
      <w:rPr>
        <w:rFonts w:hint="default"/>
        <w:lang w:val="sq-AL" w:eastAsia="en-US" w:bidi="ar-SA"/>
      </w:rPr>
    </w:lvl>
    <w:lvl w:ilvl="8" w:tplc="DF66CDB8">
      <w:numFmt w:val="bullet"/>
      <w:lvlText w:val="•"/>
      <w:lvlJc w:val="left"/>
      <w:pPr>
        <w:ind w:left="7772" w:hanging="360"/>
      </w:pPr>
      <w:rPr>
        <w:rFonts w:hint="default"/>
        <w:lang w:val="sq-AL" w:eastAsia="en-US" w:bidi="ar-SA"/>
      </w:rPr>
    </w:lvl>
  </w:abstractNum>
  <w:abstractNum w:abstractNumId="16" w15:restartNumberingAfterBreak="0">
    <w:nsid w:val="7624047F"/>
    <w:multiLevelType w:val="hybridMultilevel"/>
    <w:tmpl w:val="63B477FA"/>
    <w:lvl w:ilvl="0" w:tplc="18B2C1D8">
      <w:start w:val="1"/>
      <w:numFmt w:val="decimal"/>
      <w:lvlText w:val="%1."/>
      <w:lvlJc w:val="left"/>
      <w:pPr>
        <w:ind w:left="5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2BEE9716">
      <w:numFmt w:val="bullet"/>
      <w:lvlText w:val="•"/>
      <w:lvlJc w:val="left"/>
      <w:pPr>
        <w:ind w:left="1418" w:hanging="360"/>
      </w:pPr>
      <w:rPr>
        <w:rFonts w:hint="default"/>
        <w:lang w:val="sq-AL" w:eastAsia="en-US" w:bidi="ar-SA"/>
      </w:rPr>
    </w:lvl>
    <w:lvl w:ilvl="2" w:tplc="D39CB880">
      <w:numFmt w:val="bullet"/>
      <w:lvlText w:val="•"/>
      <w:lvlJc w:val="left"/>
      <w:pPr>
        <w:ind w:left="2297" w:hanging="360"/>
      </w:pPr>
      <w:rPr>
        <w:rFonts w:hint="default"/>
        <w:lang w:val="sq-AL" w:eastAsia="en-US" w:bidi="ar-SA"/>
      </w:rPr>
    </w:lvl>
    <w:lvl w:ilvl="3" w:tplc="9CBA1B0C">
      <w:numFmt w:val="bullet"/>
      <w:lvlText w:val="•"/>
      <w:lvlJc w:val="left"/>
      <w:pPr>
        <w:ind w:left="3176" w:hanging="360"/>
      </w:pPr>
      <w:rPr>
        <w:rFonts w:hint="default"/>
        <w:lang w:val="sq-AL" w:eastAsia="en-US" w:bidi="ar-SA"/>
      </w:rPr>
    </w:lvl>
    <w:lvl w:ilvl="4" w:tplc="F46ECE18">
      <w:numFmt w:val="bullet"/>
      <w:lvlText w:val="•"/>
      <w:lvlJc w:val="left"/>
      <w:pPr>
        <w:ind w:left="4055" w:hanging="360"/>
      </w:pPr>
      <w:rPr>
        <w:rFonts w:hint="default"/>
        <w:lang w:val="sq-AL" w:eastAsia="en-US" w:bidi="ar-SA"/>
      </w:rPr>
    </w:lvl>
    <w:lvl w:ilvl="5" w:tplc="2026AFE8">
      <w:numFmt w:val="bullet"/>
      <w:lvlText w:val="•"/>
      <w:lvlJc w:val="left"/>
      <w:pPr>
        <w:ind w:left="4934" w:hanging="360"/>
      </w:pPr>
      <w:rPr>
        <w:rFonts w:hint="default"/>
        <w:lang w:val="sq-AL" w:eastAsia="en-US" w:bidi="ar-SA"/>
      </w:rPr>
    </w:lvl>
    <w:lvl w:ilvl="6" w:tplc="E5AC863E">
      <w:numFmt w:val="bullet"/>
      <w:lvlText w:val="•"/>
      <w:lvlJc w:val="left"/>
      <w:pPr>
        <w:ind w:left="5813" w:hanging="360"/>
      </w:pPr>
      <w:rPr>
        <w:rFonts w:hint="default"/>
        <w:lang w:val="sq-AL" w:eastAsia="en-US" w:bidi="ar-SA"/>
      </w:rPr>
    </w:lvl>
    <w:lvl w:ilvl="7" w:tplc="73503B34">
      <w:numFmt w:val="bullet"/>
      <w:lvlText w:val="•"/>
      <w:lvlJc w:val="left"/>
      <w:pPr>
        <w:ind w:left="6692" w:hanging="360"/>
      </w:pPr>
      <w:rPr>
        <w:rFonts w:hint="default"/>
        <w:lang w:val="sq-AL" w:eastAsia="en-US" w:bidi="ar-SA"/>
      </w:rPr>
    </w:lvl>
    <w:lvl w:ilvl="8" w:tplc="A59AB762">
      <w:numFmt w:val="bullet"/>
      <w:lvlText w:val="•"/>
      <w:lvlJc w:val="left"/>
      <w:pPr>
        <w:ind w:left="7571" w:hanging="360"/>
      </w:pPr>
      <w:rPr>
        <w:rFonts w:hint="default"/>
        <w:lang w:val="sq-AL" w:eastAsia="en-US" w:bidi="ar-SA"/>
      </w:r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16"/>
  </w:num>
  <w:num w:numId="5">
    <w:abstractNumId w:val="13"/>
  </w:num>
  <w:num w:numId="6">
    <w:abstractNumId w:val="3"/>
  </w:num>
  <w:num w:numId="7">
    <w:abstractNumId w:val="9"/>
  </w:num>
  <w:num w:numId="8">
    <w:abstractNumId w:val="2"/>
  </w:num>
  <w:num w:numId="9">
    <w:abstractNumId w:val="12"/>
  </w:num>
  <w:num w:numId="10">
    <w:abstractNumId w:val="5"/>
  </w:num>
  <w:num w:numId="11">
    <w:abstractNumId w:val="6"/>
  </w:num>
  <w:num w:numId="12">
    <w:abstractNumId w:val="8"/>
  </w:num>
  <w:num w:numId="13">
    <w:abstractNumId w:val="1"/>
  </w:num>
  <w:num w:numId="14">
    <w:abstractNumId w:val="10"/>
  </w:num>
  <w:num w:numId="15">
    <w:abstractNumId w:val="4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90"/>
    <w:rsid w:val="00004BD5"/>
    <w:rsid w:val="000B34D1"/>
    <w:rsid w:val="000B6190"/>
    <w:rsid w:val="000D5463"/>
    <w:rsid w:val="00130782"/>
    <w:rsid w:val="00263ECC"/>
    <w:rsid w:val="002975E9"/>
    <w:rsid w:val="002C5C45"/>
    <w:rsid w:val="00372FA5"/>
    <w:rsid w:val="003F642F"/>
    <w:rsid w:val="004407FE"/>
    <w:rsid w:val="004501F6"/>
    <w:rsid w:val="00472F79"/>
    <w:rsid w:val="00485E6F"/>
    <w:rsid w:val="004B6558"/>
    <w:rsid w:val="00542F33"/>
    <w:rsid w:val="00565083"/>
    <w:rsid w:val="00572DC2"/>
    <w:rsid w:val="0060290C"/>
    <w:rsid w:val="006230C8"/>
    <w:rsid w:val="00632005"/>
    <w:rsid w:val="006842B8"/>
    <w:rsid w:val="00684AE2"/>
    <w:rsid w:val="006D65C6"/>
    <w:rsid w:val="006D7F1D"/>
    <w:rsid w:val="006F4A09"/>
    <w:rsid w:val="00702ACB"/>
    <w:rsid w:val="00706543"/>
    <w:rsid w:val="00707919"/>
    <w:rsid w:val="00736929"/>
    <w:rsid w:val="007A5AA7"/>
    <w:rsid w:val="00833561"/>
    <w:rsid w:val="00836505"/>
    <w:rsid w:val="00860DB8"/>
    <w:rsid w:val="00884386"/>
    <w:rsid w:val="008E2A90"/>
    <w:rsid w:val="009B7694"/>
    <w:rsid w:val="009F4DCF"/>
    <w:rsid w:val="00A46EC5"/>
    <w:rsid w:val="00A96479"/>
    <w:rsid w:val="00B20933"/>
    <w:rsid w:val="00BE5875"/>
    <w:rsid w:val="00C048D2"/>
    <w:rsid w:val="00C32E40"/>
    <w:rsid w:val="00C64EAE"/>
    <w:rsid w:val="00CD6621"/>
    <w:rsid w:val="00D059C0"/>
    <w:rsid w:val="00D10E63"/>
    <w:rsid w:val="00DD3AAC"/>
    <w:rsid w:val="00DE6D90"/>
    <w:rsid w:val="00E1383C"/>
    <w:rsid w:val="00E36B7E"/>
    <w:rsid w:val="00E445AF"/>
    <w:rsid w:val="00E55528"/>
    <w:rsid w:val="00EA4956"/>
    <w:rsid w:val="00ED53BC"/>
    <w:rsid w:val="00F4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FEC73D"/>
  <w15:docId w15:val="{C4733D7D-8C14-4A20-85FA-718F35E6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9"/>
    <w:qFormat/>
    <w:pPr>
      <w:ind w:left="60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E6D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D90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E6D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D90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2025-02-03T15:19:45Z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2025-02-03T00:00:00Z</Date_x0020_protokolli>
    <Titulli xmlns="0e656187-b300-4fb0-8bf4-3a50f872073c">Mbi miratimin e Metodologjisë së përcaktimit të detyrimit për energjinë e rinovueshme</Titulli>
    <Modifikuesi xmlns="0e656187-b300-4fb0-8bf4-3a50f872073c">jorina.kryeziu</Modifikuesi>
    <Nr_x002e__x0020_prot_x0020_QBZ xmlns="0e656187-b300-4fb0-8bf4-3a50f872073c">214/4</Nr_x002e__x0020_prot_x0020_QBZ>
    <Data_x0020_e_x0020_Modifikimit xmlns="0e656187-b300-4fb0-8bf4-3a50f872073c">2025-02-04T10:44:17Z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813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CA8834D56469A97C8F642A61692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796F74-C0B0-4559-8153-C202A755F1E1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66DD888-2D7B-4DEA-8937-D82956DBBB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0789DD-E33C-4256-8AE8-C24394CDE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15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Metodologjisë së përcaktimit të detyrimit për energjinë e rinovueshme</vt:lpstr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Metodologjisë së përcaktimit të detyrimit për energjinë e rinovueshme</dc:title>
  <dc:creator>Ajlin</dc:creator>
  <cp:lastModifiedBy>Ermira Bukaci</cp:lastModifiedBy>
  <cp:revision>53</cp:revision>
  <dcterms:created xsi:type="dcterms:W3CDTF">2025-02-03T14:21:00Z</dcterms:created>
  <dcterms:modified xsi:type="dcterms:W3CDTF">2025-02-04T10:51:00Z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2025-01-30T00:00:00Z</vt:filetime>
  </property>
  <property fmtid="{D5CDD505-2E9C-101B-9397-08002B2CF9AE}" pid="5" name="Producer">
    <vt:lpwstr>Microsoft® Word 2019</vt:lpwstr>
  </property>
</Properties>
</file>