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0571A" w14:textId="668CBEC0" w:rsidR="0091428D" w:rsidRPr="00532946" w:rsidRDefault="0091428D" w:rsidP="0091428D">
      <w:pPr>
        <w:autoSpaceDE w:val="0"/>
        <w:autoSpaceDN w:val="0"/>
        <w:adjustRightInd w:val="0"/>
        <w:spacing w:after="0" w:line="240" w:lineRule="auto"/>
        <w:ind w:firstLine="284"/>
        <w:jc w:val="center"/>
        <w:rPr>
          <w:rFonts w:ascii="Garamond" w:hAnsi="Garamond"/>
          <w:b/>
          <w:bCs/>
          <w:color w:val="000000"/>
          <w:szCs w:val="24"/>
          <w:lang w:val="sq-AL"/>
        </w:rPr>
      </w:pPr>
      <w:r w:rsidRPr="00532946">
        <w:rPr>
          <w:rFonts w:ascii="Garamond" w:hAnsi="Garamond"/>
          <w:b/>
          <w:bCs/>
          <w:color w:val="000000"/>
          <w:szCs w:val="24"/>
          <w:lang w:val="sq-AL"/>
        </w:rPr>
        <w:t>VENDIM</w:t>
      </w:r>
    </w:p>
    <w:p w14:paraId="62CA38CA" w14:textId="37E0C1EA" w:rsidR="0091428D" w:rsidRPr="00532946" w:rsidRDefault="0091428D" w:rsidP="0091428D">
      <w:pPr>
        <w:autoSpaceDE w:val="0"/>
        <w:autoSpaceDN w:val="0"/>
        <w:adjustRightInd w:val="0"/>
        <w:spacing w:after="0" w:line="240" w:lineRule="auto"/>
        <w:ind w:firstLine="284"/>
        <w:jc w:val="center"/>
        <w:rPr>
          <w:rFonts w:ascii="Garamond" w:hAnsi="Garamond"/>
          <w:b/>
          <w:bCs/>
          <w:color w:val="000000"/>
          <w:szCs w:val="24"/>
          <w:lang w:val="sq-AL"/>
        </w:rPr>
      </w:pPr>
      <w:r w:rsidRPr="00532946">
        <w:rPr>
          <w:rFonts w:ascii="Garamond" w:hAnsi="Garamond"/>
          <w:b/>
          <w:bCs/>
          <w:color w:val="000000"/>
          <w:szCs w:val="24"/>
          <w:lang w:val="sq-AL"/>
        </w:rPr>
        <w:t>Nr. 288, datë 23.12.2024</w:t>
      </w:r>
    </w:p>
    <w:p w14:paraId="6105B8BF" w14:textId="77777777" w:rsidR="0091428D" w:rsidRPr="00532946" w:rsidRDefault="0091428D" w:rsidP="0091428D">
      <w:pPr>
        <w:autoSpaceDE w:val="0"/>
        <w:autoSpaceDN w:val="0"/>
        <w:adjustRightInd w:val="0"/>
        <w:spacing w:after="0" w:line="240" w:lineRule="auto"/>
        <w:ind w:firstLine="284"/>
        <w:jc w:val="center"/>
        <w:rPr>
          <w:rFonts w:ascii="Garamond" w:hAnsi="Garamond"/>
          <w:b/>
          <w:bCs/>
          <w:color w:val="000000"/>
          <w:szCs w:val="24"/>
          <w:lang w:val="sq-AL"/>
        </w:rPr>
      </w:pPr>
    </w:p>
    <w:p w14:paraId="5E01E0FE" w14:textId="1E056378" w:rsidR="0091428D" w:rsidRPr="00532946" w:rsidRDefault="0091428D" w:rsidP="0091428D">
      <w:pPr>
        <w:tabs>
          <w:tab w:val="left" w:pos="0"/>
          <w:tab w:val="left" w:pos="1620"/>
        </w:tabs>
        <w:autoSpaceDE w:val="0"/>
        <w:autoSpaceDN w:val="0"/>
        <w:adjustRightInd w:val="0"/>
        <w:spacing w:after="0" w:line="240" w:lineRule="auto"/>
        <w:ind w:firstLine="284"/>
        <w:jc w:val="center"/>
        <w:rPr>
          <w:rFonts w:ascii="Garamond" w:hAnsi="Garamond"/>
          <w:b/>
          <w:bCs/>
          <w:color w:val="000000"/>
          <w:szCs w:val="24"/>
          <w:lang w:val="sq-AL"/>
        </w:rPr>
      </w:pPr>
      <w:r w:rsidRPr="00532946">
        <w:rPr>
          <w:rFonts w:ascii="Garamond" w:hAnsi="Garamond"/>
          <w:b/>
          <w:bCs/>
          <w:color w:val="000000"/>
          <w:szCs w:val="24"/>
          <w:lang w:val="sq-AL"/>
        </w:rPr>
        <w:t>MBI LËNIEN NË FUQI TË VENDIMIT TË BORDIT TË ERE-</w:t>
      </w:r>
      <w:r w:rsidR="00132E5D" w:rsidRPr="00532946">
        <w:rPr>
          <w:rFonts w:ascii="Garamond" w:hAnsi="Garamond"/>
          <w:b/>
          <w:bCs/>
          <w:color w:val="000000"/>
          <w:szCs w:val="24"/>
          <w:lang w:val="sq-AL"/>
        </w:rPr>
        <w:t>s</w:t>
      </w:r>
      <w:r w:rsidRPr="00532946">
        <w:rPr>
          <w:rFonts w:ascii="Garamond" w:hAnsi="Garamond"/>
          <w:b/>
          <w:bCs/>
          <w:color w:val="000000"/>
          <w:szCs w:val="24"/>
          <w:lang w:val="sq-AL"/>
        </w:rPr>
        <w:t xml:space="preserve"> NR. 73, DATË 13.4.2022</w:t>
      </w:r>
    </w:p>
    <w:p w14:paraId="1DA171D6" w14:textId="77777777" w:rsidR="0091428D" w:rsidRPr="00532946" w:rsidRDefault="0091428D" w:rsidP="0091428D">
      <w:pPr>
        <w:autoSpaceDE w:val="0"/>
        <w:autoSpaceDN w:val="0"/>
        <w:adjustRightInd w:val="0"/>
        <w:spacing w:after="0" w:line="240" w:lineRule="auto"/>
        <w:ind w:firstLine="284"/>
        <w:rPr>
          <w:rFonts w:ascii="Garamond" w:hAnsi="Garamond"/>
          <w:b/>
          <w:bCs/>
          <w:color w:val="000000"/>
          <w:szCs w:val="24"/>
          <w:lang w:val="sq-AL"/>
        </w:rPr>
      </w:pPr>
    </w:p>
    <w:p w14:paraId="3346BBD3" w14:textId="67AE9958"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Në mbështetje të nenit 16, nenit 19</w:t>
      </w:r>
      <w:r w:rsidR="009D5E98">
        <w:rPr>
          <w:rFonts w:ascii="Garamond" w:hAnsi="Garamond"/>
          <w:color w:val="000000"/>
          <w:szCs w:val="24"/>
          <w:lang w:val="sq-AL"/>
        </w:rPr>
        <w:t>,</w:t>
      </w:r>
      <w:r w:rsidRPr="00532946">
        <w:rPr>
          <w:rFonts w:ascii="Garamond" w:hAnsi="Garamond"/>
          <w:color w:val="000000"/>
          <w:szCs w:val="24"/>
          <w:lang w:val="sq-AL"/>
        </w:rPr>
        <w:t xml:space="preserve"> </w:t>
      </w:r>
      <w:r w:rsidR="00FC50A6" w:rsidRPr="00532946">
        <w:rPr>
          <w:rFonts w:ascii="Garamond" w:hAnsi="Garamond"/>
          <w:color w:val="000000"/>
          <w:szCs w:val="24"/>
          <w:lang w:val="sq-AL"/>
        </w:rPr>
        <w:t>germat</w:t>
      </w:r>
      <w:r w:rsidR="008241A1">
        <w:rPr>
          <w:rFonts w:ascii="Garamond" w:hAnsi="Garamond"/>
          <w:color w:val="000000"/>
          <w:szCs w:val="24"/>
          <w:lang w:val="sq-AL"/>
        </w:rPr>
        <w:t xml:space="preserve"> </w:t>
      </w:r>
      <w:r w:rsidRPr="00532946">
        <w:rPr>
          <w:rFonts w:ascii="Garamond" w:hAnsi="Garamond"/>
          <w:color w:val="000000"/>
          <w:szCs w:val="24"/>
          <w:lang w:val="sq-AL"/>
        </w:rPr>
        <w:t>“c”</w:t>
      </w:r>
      <w:r w:rsidR="009D5E98">
        <w:rPr>
          <w:rFonts w:ascii="Garamond" w:hAnsi="Garamond"/>
          <w:color w:val="000000"/>
          <w:szCs w:val="24"/>
          <w:lang w:val="sq-AL"/>
        </w:rPr>
        <w:t>,</w:t>
      </w:r>
      <w:r w:rsidRPr="00532946">
        <w:rPr>
          <w:rFonts w:ascii="Garamond" w:hAnsi="Garamond"/>
          <w:color w:val="000000"/>
          <w:szCs w:val="24"/>
          <w:lang w:val="sq-AL"/>
        </w:rPr>
        <w:t xml:space="preserve"> pika “i”, të ligjit nr. 43/2015</w:t>
      </w:r>
      <w:r w:rsidR="00FC50A6">
        <w:rPr>
          <w:rFonts w:ascii="Garamond" w:hAnsi="Garamond"/>
          <w:color w:val="000000"/>
          <w:szCs w:val="24"/>
          <w:lang w:val="sq-AL"/>
        </w:rPr>
        <w:t>,</w:t>
      </w:r>
      <w:r w:rsidRPr="00532946">
        <w:rPr>
          <w:rFonts w:ascii="Garamond" w:hAnsi="Garamond"/>
          <w:color w:val="000000"/>
          <w:szCs w:val="24"/>
          <w:lang w:val="sq-AL"/>
        </w:rPr>
        <w:t xml:space="preserve"> “Për sektorin e energjisë elektrike”, </w:t>
      </w:r>
      <w:r w:rsidR="009D5E98">
        <w:rPr>
          <w:rFonts w:ascii="Garamond" w:hAnsi="Garamond"/>
          <w:color w:val="000000"/>
          <w:szCs w:val="24"/>
          <w:lang w:val="sq-AL"/>
        </w:rPr>
        <w:t>të</w:t>
      </w:r>
      <w:r w:rsidRPr="00532946">
        <w:rPr>
          <w:rFonts w:ascii="Garamond" w:hAnsi="Garamond"/>
          <w:color w:val="000000"/>
          <w:szCs w:val="24"/>
          <w:lang w:val="sq-AL"/>
        </w:rPr>
        <w:t xml:space="preserve"> ndryshuar</w:t>
      </w:r>
      <w:r w:rsidR="009D5E98">
        <w:rPr>
          <w:rFonts w:ascii="Garamond" w:hAnsi="Garamond"/>
          <w:color w:val="000000"/>
          <w:szCs w:val="24"/>
          <w:lang w:val="sq-AL"/>
        </w:rPr>
        <w:t>;</w:t>
      </w:r>
      <w:r w:rsidRPr="00532946">
        <w:rPr>
          <w:rFonts w:ascii="Garamond" w:hAnsi="Garamond"/>
          <w:color w:val="000000"/>
          <w:szCs w:val="24"/>
          <w:lang w:val="sq-AL"/>
        </w:rPr>
        <w:t xml:space="preserve"> </w:t>
      </w:r>
      <w:r w:rsidR="009D5E98" w:rsidRPr="00532946">
        <w:rPr>
          <w:rFonts w:ascii="Garamond" w:hAnsi="Garamond"/>
          <w:color w:val="000000"/>
          <w:szCs w:val="24"/>
          <w:lang w:val="sq-AL"/>
        </w:rPr>
        <w:t xml:space="preserve">vendimit </w:t>
      </w:r>
      <w:r w:rsidRPr="00532946">
        <w:rPr>
          <w:rFonts w:ascii="Garamond" w:hAnsi="Garamond"/>
          <w:color w:val="000000"/>
          <w:szCs w:val="24"/>
          <w:lang w:val="sq-AL"/>
        </w:rPr>
        <w:t>të Këshillit të Ministrave (VKM) nr. 456, datë 29.6.2022</w:t>
      </w:r>
      <w:r w:rsidR="00FC50A6">
        <w:rPr>
          <w:rFonts w:ascii="Garamond" w:hAnsi="Garamond"/>
          <w:color w:val="000000"/>
          <w:szCs w:val="24"/>
          <w:lang w:val="sq-AL"/>
        </w:rPr>
        <w:t>, “</w:t>
      </w:r>
      <w:r w:rsidRPr="00532946">
        <w:rPr>
          <w:rFonts w:ascii="Garamond" w:hAnsi="Garamond"/>
          <w:color w:val="000000"/>
          <w:szCs w:val="24"/>
          <w:lang w:val="sq-AL"/>
        </w:rPr>
        <w:t xml:space="preserve">Për miratimin e kushteve për vendosjen e detyrimit të shërbimit publik, që do të zbatohen ndaj të </w:t>
      </w:r>
      <w:r w:rsidR="00CF1582" w:rsidRPr="00532946">
        <w:rPr>
          <w:rFonts w:ascii="Garamond" w:hAnsi="Garamond"/>
          <w:color w:val="000000"/>
          <w:szCs w:val="24"/>
          <w:lang w:val="sq-AL"/>
        </w:rPr>
        <w:t>licencuarve</w:t>
      </w:r>
      <w:r w:rsidRPr="00532946">
        <w:rPr>
          <w:rFonts w:ascii="Garamond" w:hAnsi="Garamond"/>
          <w:color w:val="000000"/>
          <w:szCs w:val="24"/>
          <w:lang w:val="sq-AL"/>
        </w:rPr>
        <w:t xml:space="preserve"> në sektorin e energjisë elektrike, të cilët ushtrojnë aktivitetin e prodhimit, transmetimit, shpërndarjes dhe furnizimit me energji elektrike”, </w:t>
      </w:r>
      <w:r w:rsidR="00B50352">
        <w:rPr>
          <w:rFonts w:ascii="Garamond" w:hAnsi="Garamond"/>
          <w:color w:val="000000"/>
          <w:szCs w:val="24"/>
          <w:lang w:val="sq-AL"/>
        </w:rPr>
        <w:t>të</w:t>
      </w:r>
      <w:r w:rsidRPr="00532946">
        <w:rPr>
          <w:rFonts w:ascii="Garamond" w:hAnsi="Garamond"/>
          <w:color w:val="000000"/>
          <w:szCs w:val="24"/>
          <w:lang w:val="sq-AL"/>
        </w:rPr>
        <w:t xml:space="preserve"> ndryshuar me VKM-në nr. 46, datë 31.1.2024; nenit 15 të </w:t>
      </w:r>
      <w:r w:rsidR="00B50352">
        <w:rPr>
          <w:rFonts w:ascii="Garamond" w:hAnsi="Garamond"/>
          <w:color w:val="000000"/>
          <w:szCs w:val="24"/>
          <w:lang w:val="sq-AL"/>
        </w:rPr>
        <w:t>“</w:t>
      </w:r>
      <w:r w:rsidRPr="00532946">
        <w:rPr>
          <w:rFonts w:ascii="Garamond" w:hAnsi="Garamond"/>
          <w:color w:val="000000"/>
          <w:szCs w:val="24"/>
          <w:lang w:val="sq-AL"/>
        </w:rPr>
        <w:t>Rregullores për organizimin, funksionimin dhe procedurat e ERE-s</w:t>
      </w:r>
      <w:r w:rsidR="00B50352">
        <w:rPr>
          <w:rFonts w:ascii="Garamond" w:hAnsi="Garamond"/>
          <w:color w:val="000000"/>
          <w:szCs w:val="24"/>
          <w:lang w:val="sq-AL"/>
        </w:rPr>
        <w:t>”</w:t>
      </w:r>
      <w:r w:rsidRPr="00532946">
        <w:rPr>
          <w:rFonts w:ascii="Garamond" w:hAnsi="Garamond"/>
          <w:color w:val="000000"/>
          <w:szCs w:val="24"/>
          <w:lang w:val="sq-AL"/>
        </w:rPr>
        <w:t xml:space="preserve">, miratuar me vendimin e </w:t>
      </w:r>
      <w:r w:rsidR="00B50352" w:rsidRPr="00532946">
        <w:rPr>
          <w:rFonts w:ascii="Garamond" w:hAnsi="Garamond"/>
          <w:color w:val="000000"/>
          <w:szCs w:val="24"/>
          <w:lang w:val="sq-AL"/>
        </w:rPr>
        <w:t xml:space="preserve">Bordit </w:t>
      </w:r>
      <w:r w:rsidRPr="00532946">
        <w:rPr>
          <w:rFonts w:ascii="Garamond" w:hAnsi="Garamond"/>
          <w:color w:val="000000"/>
          <w:szCs w:val="24"/>
          <w:lang w:val="sq-AL"/>
        </w:rPr>
        <w:t xml:space="preserve">të ERE-s nr. 96, datë 17.6.2016; </w:t>
      </w:r>
      <w:r w:rsidR="00B50352">
        <w:rPr>
          <w:rFonts w:ascii="Garamond" w:hAnsi="Garamond"/>
          <w:color w:val="000000"/>
          <w:szCs w:val="24"/>
          <w:lang w:val="sq-AL"/>
        </w:rPr>
        <w:t>“</w:t>
      </w:r>
      <w:r w:rsidRPr="00532946">
        <w:rPr>
          <w:rFonts w:ascii="Garamond" w:hAnsi="Garamond"/>
          <w:color w:val="000000"/>
          <w:szCs w:val="24"/>
          <w:lang w:val="sq-AL"/>
        </w:rPr>
        <w:t>Metodologjisë së llogaritjes së tarifave të operatorit të sistemit të shpërndarjes së energjisë elektrike</w:t>
      </w:r>
      <w:r w:rsidR="00B50352">
        <w:rPr>
          <w:rFonts w:ascii="Garamond" w:hAnsi="Garamond"/>
          <w:color w:val="000000"/>
          <w:szCs w:val="24"/>
          <w:lang w:val="sq-AL"/>
        </w:rPr>
        <w:t>”</w:t>
      </w:r>
      <w:r w:rsidRPr="00532946">
        <w:rPr>
          <w:rFonts w:ascii="Garamond" w:hAnsi="Garamond"/>
          <w:color w:val="000000"/>
          <w:szCs w:val="24"/>
          <w:lang w:val="sq-AL"/>
        </w:rPr>
        <w:t xml:space="preserve">, miratuar me vendimin e </w:t>
      </w:r>
      <w:r w:rsidR="00B50352" w:rsidRPr="00532946">
        <w:rPr>
          <w:rFonts w:ascii="Garamond" w:hAnsi="Garamond"/>
          <w:color w:val="000000"/>
          <w:szCs w:val="24"/>
          <w:lang w:val="sq-AL"/>
        </w:rPr>
        <w:t xml:space="preserve">Bordit </w:t>
      </w:r>
      <w:r w:rsidRPr="00532946">
        <w:rPr>
          <w:rFonts w:ascii="Garamond" w:hAnsi="Garamond"/>
          <w:color w:val="000000"/>
          <w:szCs w:val="24"/>
          <w:lang w:val="sq-AL"/>
        </w:rPr>
        <w:t xml:space="preserve">të ERE-s nr. 182, datë 10.11.2017; </w:t>
      </w:r>
      <w:r w:rsidR="00B50352" w:rsidRPr="00532946">
        <w:rPr>
          <w:rFonts w:ascii="Garamond" w:hAnsi="Garamond"/>
          <w:color w:val="000000"/>
          <w:szCs w:val="24"/>
          <w:lang w:val="sq-AL"/>
        </w:rPr>
        <w:t xml:space="preserve">Bordi </w:t>
      </w:r>
      <w:r w:rsidRPr="00532946">
        <w:rPr>
          <w:rFonts w:ascii="Garamond" w:hAnsi="Garamond"/>
          <w:color w:val="000000"/>
          <w:szCs w:val="24"/>
          <w:lang w:val="sq-AL"/>
        </w:rPr>
        <w:t xml:space="preserve">i ERE-s, në mbledhjen e tij të datës 23.12.2024, mbasi shqyrtoi relacionin me nr. 2575/2 prot., datë 23.12.2024, të përgatitur nga Drejtoria e Tarifave dhe Çmimeve “Mbi lënien në fuqi të vendimit të </w:t>
      </w:r>
      <w:r w:rsidR="00B50352" w:rsidRPr="00532946">
        <w:rPr>
          <w:rFonts w:ascii="Garamond" w:hAnsi="Garamond"/>
          <w:color w:val="000000"/>
          <w:szCs w:val="24"/>
          <w:lang w:val="sq-AL"/>
        </w:rPr>
        <w:t xml:space="preserve">Bordit </w:t>
      </w:r>
      <w:r w:rsidRPr="00532946">
        <w:rPr>
          <w:rFonts w:ascii="Garamond" w:hAnsi="Garamond"/>
          <w:color w:val="000000"/>
          <w:szCs w:val="24"/>
          <w:lang w:val="sq-AL"/>
        </w:rPr>
        <w:t>të ERE-s nr. 73, datë 13.4.2022”,</w:t>
      </w:r>
    </w:p>
    <w:p w14:paraId="164C9F74" w14:textId="79BDC8EA" w:rsidR="0091428D" w:rsidRPr="00532946" w:rsidRDefault="00532946"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konstatoi </w:t>
      </w:r>
      <w:r w:rsidR="0091428D" w:rsidRPr="00532946">
        <w:rPr>
          <w:rFonts w:ascii="Garamond" w:hAnsi="Garamond"/>
          <w:color w:val="000000"/>
          <w:szCs w:val="24"/>
          <w:lang w:val="sq-AL"/>
        </w:rPr>
        <w:t>se:</w:t>
      </w:r>
    </w:p>
    <w:p w14:paraId="4B0CE111" w14:textId="303DB776"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Bordi i ERE-s, me vendimin nr. 365, datë 15.12.2023, vendosi të shtyjë fuqinë juridike të vendimit nr. 73, datë 13.4.2022, deri në miratimin e një vendimi të ri, bazuar në aplikimin e shoqërisë OSSH sh.a. për vitin 2024, në përputhje me aktet ligjore dhe nënligjore në fuqi. Në konstatimet e vendimit nr. 365/2024, shoqëria OSSH sh.a. u ngarkua të përcjellë në ERE kostot dhe të ardhurat faktike të shpërndarjes së energjisë elektrike dhe të sigurojë përmbushjen e kërkesave dhe dispozitave të akteve ligjore dhe rregullatore në fuqi.</w:t>
      </w:r>
    </w:p>
    <w:p w14:paraId="48231527" w14:textId="5BF1A14A"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Gjatë vitit 2024, ERE shqyrtoi raportet periodike teknike të përcjella nga OSSH sh.a. dhe, pas mbylljes së gjashtëmujorit të parë, i kërkoi kësaj të fundit, me shkresën nr. 1660 prot., datë 19.7.2024, dërgimin e pasqyrave financiare operative për periudhën janar</w:t>
      </w:r>
      <w:r w:rsidR="00B50352">
        <w:rPr>
          <w:rFonts w:ascii="Garamond" w:hAnsi="Garamond"/>
          <w:color w:val="000000"/>
          <w:szCs w:val="24"/>
          <w:lang w:val="sq-AL"/>
        </w:rPr>
        <w:t xml:space="preserve"> – </w:t>
      </w:r>
      <w:r w:rsidRPr="00532946">
        <w:rPr>
          <w:rFonts w:ascii="Garamond" w:hAnsi="Garamond"/>
          <w:color w:val="000000"/>
          <w:szCs w:val="24"/>
          <w:lang w:val="sq-AL"/>
        </w:rPr>
        <w:t>qershor 2024, pritshmërit</w:t>
      </w:r>
      <w:r w:rsidR="00532946">
        <w:rPr>
          <w:rFonts w:ascii="Garamond" w:hAnsi="Garamond"/>
          <w:color w:val="000000"/>
          <w:szCs w:val="24"/>
          <w:lang w:val="sq-AL"/>
        </w:rPr>
        <w:t>ë</w:t>
      </w:r>
      <w:r w:rsidRPr="00532946">
        <w:rPr>
          <w:rFonts w:ascii="Garamond" w:hAnsi="Garamond"/>
          <w:color w:val="000000"/>
          <w:szCs w:val="24"/>
          <w:lang w:val="sq-AL"/>
        </w:rPr>
        <w:t xml:space="preserve"> për treguesit ekonomiko-financiarë të gjashtëmujorit të dytë të vitit 2024 të detajuara në mënyrë analitike për të ardhurat dhe shpenzimet, si dhe pasqyrat financiare të audituara për vitet 2021, 2022 dhe 2023, të shoqëruara me shënimet shpjeguese.</w:t>
      </w:r>
    </w:p>
    <w:p w14:paraId="04EF5A0E" w14:textId="379316D9"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 Në përgjigje të kërkesave të ERE-s, OSSH sh.a., me shkresën nr. 8195/1 prot., datë 30.7.2024 (protokolluar në ERE me nr. 1660/1, datë 31.7.2024), depozitoi </w:t>
      </w:r>
      <w:r w:rsidR="007400A0" w:rsidRPr="00532946">
        <w:rPr>
          <w:rFonts w:ascii="Garamond" w:hAnsi="Garamond"/>
          <w:color w:val="000000"/>
          <w:szCs w:val="24"/>
          <w:lang w:val="sq-AL"/>
        </w:rPr>
        <w:t xml:space="preserve">pasqyrën e performancës </w:t>
      </w:r>
      <w:r w:rsidRPr="00532946">
        <w:rPr>
          <w:rFonts w:ascii="Garamond" w:hAnsi="Garamond"/>
          <w:color w:val="000000"/>
          <w:szCs w:val="24"/>
          <w:lang w:val="sq-AL"/>
        </w:rPr>
        <w:t>për periudhën janar</w:t>
      </w:r>
      <w:r w:rsidR="00B50352">
        <w:rPr>
          <w:rFonts w:ascii="Garamond" w:hAnsi="Garamond"/>
          <w:color w:val="000000"/>
          <w:szCs w:val="24"/>
          <w:lang w:val="sq-AL"/>
        </w:rPr>
        <w:t>–</w:t>
      </w:r>
      <w:r w:rsidRPr="00532946">
        <w:rPr>
          <w:rFonts w:ascii="Garamond" w:hAnsi="Garamond"/>
          <w:color w:val="000000"/>
          <w:szCs w:val="24"/>
          <w:lang w:val="sq-AL"/>
        </w:rPr>
        <w:t>qershor 2024 dhe pritshmërit</w:t>
      </w:r>
      <w:r w:rsidR="00532946">
        <w:rPr>
          <w:rFonts w:ascii="Garamond" w:hAnsi="Garamond"/>
          <w:color w:val="000000"/>
          <w:szCs w:val="24"/>
          <w:lang w:val="sq-AL"/>
        </w:rPr>
        <w:t>ë</w:t>
      </w:r>
      <w:r w:rsidRPr="00532946">
        <w:rPr>
          <w:rFonts w:ascii="Garamond" w:hAnsi="Garamond"/>
          <w:color w:val="000000"/>
          <w:szCs w:val="24"/>
          <w:lang w:val="sq-AL"/>
        </w:rPr>
        <w:t xml:space="preserve"> për treguesit e realizimit për vitin 2024. Sa </w:t>
      </w:r>
      <w:r w:rsidR="00B50352">
        <w:rPr>
          <w:rFonts w:ascii="Garamond" w:hAnsi="Garamond"/>
          <w:color w:val="000000"/>
          <w:szCs w:val="24"/>
          <w:lang w:val="sq-AL"/>
        </w:rPr>
        <w:t>u</w:t>
      </w:r>
      <w:r w:rsidRPr="00532946">
        <w:rPr>
          <w:rFonts w:ascii="Garamond" w:hAnsi="Garamond"/>
          <w:color w:val="000000"/>
          <w:szCs w:val="24"/>
          <w:lang w:val="sq-AL"/>
        </w:rPr>
        <w:t xml:space="preserve"> përket </w:t>
      </w:r>
      <w:r w:rsidR="00B50352" w:rsidRPr="00532946">
        <w:rPr>
          <w:rFonts w:ascii="Garamond" w:hAnsi="Garamond"/>
          <w:color w:val="000000"/>
          <w:szCs w:val="24"/>
          <w:lang w:val="sq-AL"/>
        </w:rPr>
        <w:t xml:space="preserve">pasqyrave financiare </w:t>
      </w:r>
      <w:r w:rsidRPr="00532946">
        <w:rPr>
          <w:rFonts w:ascii="Garamond" w:hAnsi="Garamond"/>
          <w:color w:val="000000"/>
          <w:szCs w:val="24"/>
          <w:lang w:val="sq-AL"/>
        </w:rPr>
        <w:t>të audituara për vitet 2021</w:t>
      </w:r>
      <w:r w:rsidR="00FC50A6">
        <w:rPr>
          <w:rFonts w:ascii="Garamond" w:hAnsi="Garamond"/>
          <w:color w:val="000000"/>
          <w:szCs w:val="24"/>
          <w:lang w:val="sq-AL"/>
        </w:rPr>
        <w:t>–</w:t>
      </w:r>
      <w:r w:rsidRPr="00532946">
        <w:rPr>
          <w:rFonts w:ascii="Garamond" w:hAnsi="Garamond"/>
          <w:color w:val="000000"/>
          <w:szCs w:val="24"/>
          <w:lang w:val="sq-AL"/>
        </w:rPr>
        <w:t>2023, shoqëria njoftoi se, për shkak të vonesave në rivlerësimin e aseteve në vitin 2020 dhe raportimit të tyre në 2021, auditimi dhe aprovimi i pasqyrave financiare për këtë periudhë është ende në proces dhe do të dërgohen sapo të përfundojnë.</w:t>
      </w:r>
    </w:p>
    <w:p w14:paraId="6D5E793D" w14:textId="3E834EB7"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ERE, me shkresën nr. 1945 prot., datë 19.9.2024, i kërkoi shoqërisë OSSH sh.a. dorëzimin e të dhënave dhe dokumentacionit të nevojshëm për aktivitetin si operator i rrjetit të shpërndarjes së energjisë elektrike. Kërkesat përfshinin parashikimet për treguesit ekonomikë dhe financiarë për vitin 2025 me detajimin analitik të të ardhurave dhe shpenzimeve, sasinë e energjisë së parashikuar për pjesën e mbetur të vitit 2024 dhe për vitin pasardhës, përllogaritjet e pritshmërive për sasinë dhe nivelin e humbjeve të energjisë sipas burimit për periudhën e mbetur të vitit 2024 dhe për vitin 2025, si dhe kostot e blerjes së energjisë për mbulimin e humbjeve për periudhën janar</w:t>
      </w:r>
      <w:r w:rsidR="00B50352">
        <w:rPr>
          <w:rFonts w:ascii="Garamond" w:hAnsi="Garamond"/>
          <w:color w:val="000000"/>
          <w:szCs w:val="24"/>
          <w:lang w:val="sq-AL"/>
        </w:rPr>
        <w:t>–</w:t>
      </w:r>
      <w:r w:rsidRPr="00532946">
        <w:rPr>
          <w:rFonts w:ascii="Garamond" w:hAnsi="Garamond"/>
          <w:color w:val="000000"/>
          <w:szCs w:val="24"/>
          <w:lang w:val="sq-AL"/>
        </w:rPr>
        <w:t>gusht 2024, duke përfshirë pritshmëritë për vazhdimësinë, si dhe evidence mbi investimet e realizuara dhe të kapitalizuara për periudhën 2021</w:t>
      </w:r>
      <w:r w:rsidR="00B50352">
        <w:rPr>
          <w:rFonts w:ascii="Garamond" w:hAnsi="Garamond"/>
          <w:color w:val="000000"/>
          <w:szCs w:val="24"/>
          <w:lang w:val="sq-AL"/>
        </w:rPr>
        <w:t>–</w:t>
      </w:r>
      <w:r w:rsidRPr="00532946">
        <w:rPr>
          <w:rFonts w:ascii="Garamond" w:hAnsi="Garamond"/>
          <w:color w:val="000000"/>
          <w:szCs w:val="24"/>
          <w:lang w:val="sq-AL"/>
        </w:rPr>
        <w:t>2023, si dhe parashikimi i investimeve që priten të realizohen dhe kapitalizohen në vitin 2025.</w:t>
      </w:r>
    </w:p>
    <w:p w14:paraId="5C5E152A" w14:textId="52112236"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 Me shkresën nr. 1859/3 prot., datë 20.9.2024, ERE njoftoi palët e interesit, përfshirë OSSH sh.a., lidhur me </w:t>
      </w:r>
      <w:r w:rsidR="00B50352" w:rsidRPr="00532946">
        <w:rPr>
          <w:rFonts w:ascii="Garamond" w:hAnsi="Garamond"/>
          <w:color w:val="000000"/>
          <w:szCs w:val="24"/>
          <w:lang w:val="sq-AL"/>
        </w:rPr>
        <w:t xml:space="preserve">vendimin </w:t>
      </w:r>
      <w:r w:rsidRPr="00532946">
        <w:rPr>
          <w:rFonts w:ascii="Garamond" w:hAnsi="Garamond"/>
          <w:color w:val="000000"/>
          <w:szCs w:val="24"/>
          <w:lang w:val="sq-AL"/>
        </w:rPr>
        <w:t xml:space="preserve">e Bordit të ERE nr. 192, datë 18.9.2024, për fillimin e procedurës së shqyrtimit të </w:t>
      </w:r>
      <w:r w:rsidRPr="00532946">
        <w:rPr>
          <w:rFonts w:ascii="Garamond" w:hAnsi="Garamond"/>
          <w:color w:val="000000"/>
          <w:szCs w:val="24"/>
          <w:lang w:val="sq-AL"/>
        </w:rPr>
        <w:lastRenderedPageBreak/>
        <w:t>aplikimit të OST sh.a. për tarifën e transmetimit të energjisë elektrike për periudhën rregullatore 2025</w:t>
      </w:r>
      <w:r w:rsidR="00B50352">
        <w:rPr>
          <w:rFonts w:ascii="Garamond" w:hAnsi="Garamond"/>
          <w:color w:val="000000"/>
          <w:szCs w:val="24"/>
          <w:lang w:val="sq-AL"/>
        </w:rPr>
        <w:t>–</w:t>
      </w:r>
      <w:r w:rsidRPr="00532946">
        <w:rPr>
          <w:rFonts w:ascii="Garamond" w:hAnsi="Garamond"/>
          <w:color w:val="000000"/>
          <w:szCs w:val="24"/>
          <w:lang w:val="sq-AL"/>
        </w:rPr>
        <w:t>2027.</w:t>
      </w:r>
    </w:p>
    <w:p w14:paraId="205EDDC7" w14:textId="4DD1518B"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 OSSH sh.a. me shkresën nr. 10381/1, datë 3.10.2024, protokolluar nga ERE me nr. 1945/1, datë 8.10.2024, njoftoi se planifikimi i treguesve tekniko-ekonomik dhe financiar për vitin 2025 është ende në proces. Shoqëria deklaroi se nivelet e humbjeve për vitet 2024 dhe 2025 janë në përputhje me </w:t>
      </w:r>
      <w:r w:rsidR="00B50352" w:rsidRPr="00532946">
        <w:rPr>
          <w:rFonts w:ascii="Garamond" w:hAnsi="Garamond"/>
          <w:color w:val="000000"/>
          <w:szCs w:val="24"/>
          <w:lang w:val="sq-AL"/>
        </w:rPr>
        <w:t xml:space="preserve">vendimin </w:t>
      </w:r>
      <w:r w:rsidRPr="00532946">
        <w:rPr>
          <w:rFonts w:ascii="Garamond" w:hAnsi="Garamond"/>
          <w:color w:val="000000"/>
          <w:szCs w:val="24"/>
          <w:lang w:val="sq-AL"/>
        </w:rPr>
        <w:t>e Këshillit të Ministrave nr. 253, datë 24.4.2019, të ndryshuar, dhe dorëzoi një evidencë të kostove për prokurimin e humbjeve të pritshme për tremujorin e fundit të vitit 2024. Bashkëlidhur shkresës së sipërcituar, janë përfshirë edhe evidenca mbi investimet e realizuara gjatë periudhës 2021</w:t>
      </w:r>
      <w:r w:rsidR="00B50352">
        <w:rPr>
          <w:rFonts w:ascii="Garamond" w:hAnsi="Garamond"/>
          <w:color w:val="000000"/>
          <w:szCs w:val="24"/>
          <w:lang w:val="sq-AL"/>
        </w:rPr>
        <w:t>–</w:t>
      </w:r>
      <w:r w:rsidRPr="00532946">
        <w:rPr>
          <w:rFonts w:ascii="Garamond" w:hAnsi="Garamond"/>
          <w:color w:val="000000"/>
          <w:szCs w:val="24"/>
          <w:lang w:val="sq-AL"/>
        </w:rPr>
        <w:t>2023 dhe 9-mujorit të vitit 2024, si dhe pritshmëritë deri në fund të vitit 2024.</w:t>
      </w:r>
    </w:p>
    <w:p w14:paraId="726ED5E2" w14:textId="49F5267C"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Me shkresën nr. 2575 prot., datë 17.12.2024, ERE, për vlerësimin e tarifave të shpërndarjes dhe në mungesë të një aplikimi sipas legjislacionit në fuqi, i kërkoi OSSH sh.a. të paraqesë parashikimet për treguesit ekonomikë dhe financiarë për vitin 2025, të ardhurat dhe shpenzimet në formë analitike, nivelin e humbjeve të energjisë elektrike dhe kostot për mbulimin e tyre, si dhe sasinë e energjisë së parashikuar për shpërndarje për vitin 2025, të detajuara sipas niveleve të tensionit.</w:t>
      </w:r>
    </w:p>
    <w:p w14:paraId="211040F4" w14:textId="46653421"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Në përgjigje, OSSH sh.a., me shkresën nr. 1038/4 prot., datë 20.12.2024, ka përcjellë informacion mbi treguesit ekonomikë dhe financiarë të parashikuar për vitin 2025, sasinë e energjisë së l</w:t>
      </w:r>
      <w:r w:rsidR="00AE33AF">
        <w:rPr>
          <w:rFonts w:ascii="Garamond" w:hAnsi="Garamond"/>
          <w:color w:val="000000"/>
          <w:szCs w:val="24"/>
          <w:lang w:val="sq-AL"/>
        </w:rPr>
        <w:t>i</w:t>
      </w:r>
      <w:r w:rsidRPr="00532946">
        <w:rPr>
          <w:rFonts w:ascii="Garamond" w:hAnsi="Garamond"/>
          <w:color w:val="000000"/>
          <w:szCs w:val="24"/>
          <w:lang w:val="sq-AL"/>
        </w:rPr>
        <w:t xml:space="preserve">vruar dhe humbjet e pritshme për vitin 2025. Shoqëria njoftoi gjithashtu se </w:t>
      </w:r>
      <w:r w:rsidR="00AE33AF" w:rsidRPr="00532946">
        <w:rPr>
          <w:rFonts w:ascii="Garamond" w:hAnsi="Garamond"/>
          <w:color w:val="000000"/>
          <w:szCs w:val="24"/>
          <w:lang w:val="sq-AL"/>
        </w:rPr>
        <w:t xml:space="preserve">plani financiar </w:t>
      </w:r>
      <w:r w:rsidRPr="00532946">
        <w:rPr>
          <w:rFonts w:ascii="Garamond" w:hAnsi="Garamond"/>
          <w:color w:val="000000"/>
          <w:szCs w:val="24"/>
          <w:lang w:val="sq-AL"/>
        </w:rPr>
        <w:t>për vitin 2025 është ende në proces aprovimi.</w:t>
      </w:r>
    </w:p>
    <w:p w14:paraId="0798A23E" w14:textId="7E31309A"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 Nga shqyrtimi i dokumentacionit të përcjellë nga OSSH sh.a. me shkresat nr. 13174/1 prot., datë 19.1.2024, nr. 8195/1 prot., datë 30.7.2024, dhe nr. 1038/4 prot., datë 20.12.2024, rezulton se pasqyrat financiare paraprake për vitet 2022, 2023, realizimi i gjashtëmujorit të parë të vitit 2024 dhe pritshmëritë për gjashtëmujorin e dytë të vitit 2024, përmbajnë vetëm llogaritë sintetike, pa detaje analitike për secilin zë. Raportimet financiare nuk janë shoqëruar me shpjegime për realizimin e të ardhurave dhe shpenzimeve. Për vitin 2025, të dhënat e paraqitura janë paraprake, pasi </w:t>
      </w:r>
      <w:r w:rsidR="00AE33AF" w:rsidRPr="00532946">
        <w:rPr>
          <w:rFonts w:ascii="Garamond" w:hAnsi="Garamond"/>
          <w:color w:val="000000"/>
          <w:szCs w:val="24"/>
          <w:lang w:val="sq-AL"/>
        </w:rPr>
        <w:t xml:space="preserve">plani financiar </w:t>
      </w:r>
      <w:r w:rsidRPr="00532946">
        <w:rPr>
          <w:rFonts w:ascii="Garamond" w:hAnsi="Garamond"/>
          <w:color w:val="000000"/>
          <w:szCs w:val="24"/>
          <w:lang w:val="sq-AL"/>
        </w:rPr>
        <w:t>i këtij viti është ende në proces aprovimi. Në përgjithësi, zërat janë paraqitur më të detajuar, por pa përfshirë llogaritë analitike.</w:t>
      </w:r>
    </w:p>
    <w:p w14:paraId="0594D096" w14:textId="2BBA0BC0"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OSSH sh.a., në përgjigje të kërkesave të ERE me shkresat nr. 2131 prot., datë 23.12.2022, dhe nr. 2524 prot., datë 15.12.2023, njoftoi se pasqyrat financiare të konsoliduara për vitin 2022 janë ende në proces. Megjithatë, me shkresat nr. 19/1 prot., datë 30.1.2023, dhe nr. 13174/1 prot., datë 19.1.2024, dorëzoi evidenca sintetike paraprake mbi të ardhurat dhe shpenzimet, të cilat përmbanin mospërputhje, duke pamundësuar vlerësimin e saktë të të ardhurave faktike, sipas “Metodologjisë së përllogaritjes së tarifave”</w:t>
      </w:r>
      <w:r w:rsidR="00AE33AF">
        <w:rPr>
          <w:rFonts w:ascii="Garamond" w:hAnsi="Garamond"/>
          <w:color w:val="000000"/>
          <w:szCs w:val="24"/>
          <w:lang w:val="sq-AL"/>
        </w:rPr>
        <w:t>,</w:t>
      </w:r>
      <w:r w:rsidRPr="00532946">
        <w:rPr>
          <w:rFonts w:ascii="Garamond" w:hAnsi="Garamond"/>
          <w:color w:val="000000"/>
          <w:szCs w:val="24"/>
          <w:lang w:val="sq-AL"/>
        </w:rPr>
        <w:t xml:space="preserve"> të miratuar me vendimin nr. 182, datë 10.11.2017, të Bordit të ERE</w:t>
      </w:r>
      <w:r w:rsidR="00AE33AF">
        <w:rPr>
          <w:rFonts w:ascii="Garamond" w:hAnsi="Garamond"/>
          <w:color w:val="000000"/>
          <w:szCs w:val="24"/>
          <w:lang w:val="sq-AL"/>
        </w:rPr>
        <w:t>-s</w:t>
      </w:r>
      <w:r w:rsidRPr="00532946">
        <w:rPr>
          <w:rFonts w:ascii="Garamond" w:hAnsi="Garamond"/>
          <w:color w:val="000000"/>
          <w:szCs w:val="24"/>
          <w:lang w:val="sq-AL"/>
        </w:rPr>
        <w:t>.</w:t>
      </w:r>
    </w:p>
    <w:p w14:paraId="3912B67A" w14:textId="3FA3C7FD"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 OSSH sh.a. duhet të miratojë dhe dorëzojë pasqyrat financiare të audituara për periudhat e mbyllura ushtrimore, së bashku me </w:t>
      </w:r>
      <w:r w:rsidR="00034B34" w:rsidRPr="00532946">
        <w:rPr>
          <w:rFonts w:ascii="Garamond" w:hAnsi="Garamond"/>
          <w:color w:val="000000"/>
          <w:szCs w:val="24"/>
          <w:lang w:val="sq-AL"/>
        </w:rPr>
        <w:t xml:space="preserve">aplikimin </w:t>
      </w:r>
      <w:r w:rsidRPr="00532946">
        <w:rPr>
          <w:rFonts w:ascii="Garamond" w:hAnsi="Garamond"/>
          <w:color w:val="000000"/>
          <w:szCs w:val="24"/>
          <w:lang w:val="sq-AL"/>
        </w:rPr>
        <w:t xml:space="preserve">për tarifat e shpërndarjes, në përputhje me “Rregulloren për organizimin, funksionimin dhe procedurat e </w:t>
      </w:r>
      <w:r w:rsidR="00034B34" w:rsidRPr="00532946">
        <w:rPr>
          <w:rFonts w:ascii="Garamond" w:hAnsi="Garamond"/>
          <w:color w:val="000000"/>
          <w:szCs w:val="24"/>
          <w:lang w:val="sq-AL"/>
        </w:rPr>
        <w:t>ERE</w:t>
      </w:r>
      <w:r w:rsidRPr="00532946">
        <w:rPr>
          <w:rFonts w:ascii="Garamond" w:hAnsi="Garamond"/>
          <w:color w:val="000000"/>
          <w:szCs w:val="24"/>
          <w:lang w:val="sq-AL"/>
        </w:rPr>
        <w:t xml:space="preserve">-s”, miratuar me vendimi e </w:t>
      </w:r>
      <w:r w:rsidR="00034B34" w:rsidRPr="00532946">
        <w:rPr>
          <w:rFonts w:ascii="Garamond" w:hAnsi="Garamond"/>
          <w:color w:val="000000"/>
          <w:szCs w:val="24"/>
          <w:lang w:val="sq-AL"/>
        </w:rPr>
        <w:t xml:space="preserve">Bordit </w:t>
      </w:r>
      <w:r w:rsidRPr="00532946">
        <w:rPr>
          <w:rFonts w:ascii="Garamond" w:hAnsi="Garamond"/>
          <w:color w:val="000000"/>
          <w:szCs w:val="24"/>
          <w:lang w:val="sq-AL"/>
        </w:rPr>
        <w:t>të ERE-s nr. 96, datë 17.6.2016</w:t>
      </w:r>
      <w:r w:rsidR="00034B34">
        <w:rPr>
          <w:rFonts w:ascii="Garamond" w:hAnsi="Garamond"/>
          <w:color w:val="000000"/>
          <w:szCs w:val="24"/>
          <w:lang w:val="sq-AL"/>
        </w:rPr>
        <w:t>,</w:t>
      </w:r>
      <w:r w:rsidRPr="00532946">
        <w:rPr>
          <w:rFonts w:ascii="Garamond" w:hAnsi="Garamond"/>
          <w:color w:val="000000"/>
          <w:szCs w:val="24"/>
          <w:lang w:val="sq-AL"/>
        </w:rPr>
        <w:t xml:space="preserve"> dhe “Metodologjinë për përllogaritjen e tarifave të Operatorit të Sistemit të Shpërndarjes së Energjisë Elektrike”, miratuar me vendimin e </w:t>
      </w:r>
      <w:r w:rsidR="00034B34" w:rsidRPr="00532946">
        <w:rPr>
          <w:rFonts w:ascii="Garamond" w:hAnsi="Garamond"/>
          <w:color w:val="000000"/>
          <w:szCs w:val="24"/>
          <w:lang w:val="sq-AL"/>
        </w:rPr>
        <w:t xml:space="preserve">Bordit </w:t>
      </w:r>
      <w:r w:rsidRPr="00532946">
        <w:rPr>
          <w:rFonts w:ascii="Garamond" w:hAnsi="Garamond"/>
          <w:color w:val="000000"/>
          <w:szCs w:val="24"/>
          <w:lang w:val="sq-AL"/>
        </w:rPr>
        <w:t>të ERE-s nr. 182, datë 10.11.2017. Pavarësisht se pasqyrat për periudhat 2021</w:t>
      </w:r>
      <w:r w:rsidR="00034B34">
        <w:rPr>
          <w:rFonts w:ascii="Garamond" w:hAnsi="Garamond"/>
          <w:color w:val="000000"/>
          <w:szCs w:val="24"/>
          <w:lang w:val="sq-AL"/>
        </w:rPr>
        <w:t>–</w:t>
      </w:r>
      <w:r w:rsidRPr="00532946">
        <w:rPr>
          <w:rFonts w:ascii="Garamond" w:hAnsi="Garamond"/>
          <w:color w:val="000000"/>
          <w:szCs w:val="24"/>
          <w:lang w:val="sq-AL"/>
        </w:rPr>
        <w:t>2023 janë paraprake, bazuar në to dhe parashikimet për vitin 2025, të përcjella me shkresën nr. 1038/4 prot., datë 20.12.2024, ERE vlerësoi mjaftueshmërinë e të ardhurave për vitin 2025. Vlerësimi analizoi nëse të ardhurat nga tarifa aktuale mbulojnë kostot e parashikuara, duke garantuar ofrimin e shërbimit të shpërndarjes sipas detyrimeve ligjore.</w:t>
      </w:r>
    </w:p>
    <w:p w14:paraId="1DEF31B3" w14:textId="6774C242"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Nga analiza e treguesve tekniko-ekonomik</w:t>
      </w:r>
      <w:r w:rsidR="00721C4B">
        <w:rPr>
          <w:rFonts w:ascii="Garamond" w:hAnsi="Garamond"/>
          <w:color w:val="000000"/>
          <w:szCs w:val="24"/>
          <w:lang w:val="sq-AL"/>
        </w:rPr>
        <w:t>ë</w:t>
      </w:r>
      <w:r w:rsidRPr="00532946">
        <w:rPr>
          <w:rFonts w:ascii="Garamond" w:hAnsi="Garamond"/>
          <w:color w:val="000000"/>
          <w:szCs w:val="24"/>
          <w:lang w:val="sq-AL"/>
        </w:rPr>
        <w:t xml:space="preserve"> të pasqyrave paraprake për periudhat e kaluara dhe parashikimit për vitin 2025, rezulton se OSSH sh.a. ka një nivel të qëndrueshëm të realizimit të të ardhurave për vitet 2023, 2024 dhe 2025, krahasuar me sasinë faktike të energjisë së shpërndarë. Pasqyrat paraprake tregojnë se të ardhurat kanë mbuluar shpenzimet operacionale, duke përmirësuar gjendjen e kapitalit negativ. Në këto rrethana, tarifat aktuale pritet të mbulojnë kostot e aktivitetit edhe për vitin 2025.</w:t>
      </w:r>
    </w:p>
    <w:p w14:paraId="7C526F86" w14:textId="7F20D60F"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lastRenderedPageBreak/>
        <w:t>- Shpenzimet operative dhe kapitale të OSSH sh.a. do të rivlerësohen bazuar në pasqyrat financiare të konsoliduara dhe të dhënat faktike ekonomike për periudhat përkatëse, në përputhje me legjislacionin. Për vitin 2025, për të siguruar vijimin e aktivitetit të licencuar, është e domosdoshme që faturimi të vazhdojë mbi bazën e tarifave të miratuara nga ERE. Megjithatë, OSSH sh.a. duhet të marrë masa për dorëzimin në ERE të shpenzimeve dhe të ardhurave faktike për periudhën 2022</w:t>
      </w:r>
      <w:r w:rsidR="00721C4B">
        <w:rPr>
          <w:rFonts w:ascii="Garamond" w:hAnsi="Garamond"/>
          <w:color w:val="000000"/>
          <w:szCs w:val="24"/>
          <w:lang w:val="sq-AL"/>
        </w:rPr>
        <w:t>–</w:t>
      </w:r>
      <w:r w:rsidRPr="00532946">
        <w:rPr>
          <w:rFonts w:ascii="Garamond" w:hAnsi="Garamond"/>
          <w:color w:val="000000"/>
          <w:szCs w:val="24"/>
          <w:lang w:val="sq-AL"/>
        </w:rPr>
        <w:t>2024 dhe të plotësojë kërkesat ligjore dhe rregullatore në fuqi.</w:t>
      </w:r>
    </w:p>
    <w:p w14:paraId="018D5D2C" w14:textId="383C1936"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Bazuar në nenin 12 të VKM-së nr. 456, të ndryshuar, OSSH sh.a. ka siguruar mbulimin e humbjeve të energjisë elektrike përmes blerjeve nga FTL sh.a., e cila tregton energjinë me çmimet e blerjes nga prodhuesit me përparësi. Përfundimi i kontratave të blerjes mes FTL sh.a. dhe prodhuesve me përparësi</w:t>
      </w:r>
      <w:r w:rsidR="00ED1487">
        <w:rPr>
          <w:rFonts w:ascii="Garamond" w:hAnsi="Garamond"/>
          <w:color w:val="000000"/>
          <w:szCs w:val="24"/>
          <w:lang w:val="sq-AL"/>
        </w:rPr>
        <w:t>,</w:t>
      </w:r>
      <w:r w:rsidRPr="00532946">
        <w:rPr>
          <w:rFonts w:ascii="Garamond" w:hAnsi="Garamond"/>
          <w:color w:val="000000"/>
          <w:szCs w:val="24"/>
          <w:lang w:val="sq-AL"/>
        </w:rPr>
        <w:t xml:space="preserve"> por dhe dalja e prodhuesve në tregun e lirë me kërkesën e tyre sipas parashikimeve të kontratës tip të miratuar nga ERE përpara përfundimit të kontratave në fjalë, mund të ekspozojë OSSH sh.a</w:t>
      </w:r>
      <w:r w:rsidR="00ED1487">
        <w:rPr>
          <w:rFonts w:ascii="Garamond" w:hAnsi="Garamond"/>
          <w:color w:val="000000"/>
          <w:szCs w:val="24"/>
          <w:lang w:val="sq-AL"/>
        </w:rPr>
        <w:t>.</w:t>
      </w:r>
      <w:r w:rsidRPr="00532946">
        <w:rPr>
          <w:rFonts w:ascii="Garamond" w:hAnsi="Garamond"/>
          <w:color w:val="000000"/>
          <w:szCs w:val="24"/>
          <w:lang w:val="sq-AL"/>
        </w:rPr>
        <w:t xml:space="preserve"> ndaj çmimeve të tregut të lirë për prokurimin e humbjeve të rrjetit të shpërndarjes.</w:t>
      </w:r>
      <w:r w:rsidR="00ED1487">
        <w:rPr>
          <w:rFonts w:ascii="Garamond" w:hAnsi="Garamond"/>
          <w:color w:val="000000"/>
          <w:szCs w:val="24"/>
          <w:lang w:val="sq-AL"/>
        </w:rPr>
        <w:t xml:space="preserve"> </w:t>
      </w:r>
      <w:r w:rsidRPr="00532946">
        <w:rPr>
          <w:rFonts w:ascii="Garamond" w:hAnsi="Garamond"/>
          <w:color w:val="000000"/>
          <w:szCs w:val="24"/>
          <w:lang w:val="sq-AL"/>
        </w:rPr>
        <w:t>Gjithashtu, rritja e numrit të konsumatorëve të lidhur në TM që dalin në treg të lirë mund të krijojë kosto të tjera të paparashikuara për shoqërinë</w:t>
      </w:r>
      <w:r w:rsidR="00ED1487">
        <w:rPr>
          <w:rFonts w:ascii="Garamond" w:hAnsi="Garamond"/>
          <w:color w:val="000000"/>
          <w:szCs w:val="24"/>
          <w:lang w:val="sq-AL"/>
        </w:rPr>
        <w:t>,</w:t>
      </w:r>
      <w:r w:rsidRPr="00532946">
        <w:rPr>
          <w:rFonts w:ascii="Garamond" w:hAnsi="Garamond"/>
          <w:color w:val="000000"/>
          <w:szCs w:val="24"/>
          <w:lang w:val="sq-AL"/>
        </w:rPr>
        <w:t xml:space="preserve"> sa </w:t>
      </w:r>
      <w:r w:rsidR="00ED1487">
        <w:rPr>
          <w:rFonts w:ascii="Garamond" w:hAnsi="Garamond"/>
          <w:color w:val="000000"/>
          <w:szCs w:val="24"/>
          <w:lang w:val="sq-AL"/>
        </w:rPr>
        <w:t>u</w:t>
      </w:r>
      <w:r w:rsidRPr="00532946">
        <w:rPr>
          <w:rFonts w:ascii="Garamond" w:hAnsi="Garamond"/>
          <w:color w:val="000000"/>
          <w:szCs w:val="24"/>
          <w:lang w:val="sq-AL"/>
        </w:rPr>
        <w:t xml:space="preserve"> takon investimeve në matëse inteligjente dhe shërbime di</w:t>
      </w:r>
      <w:r w:rsidR="00493DC3">
        <w:rPr>
          <w:rFonts w:ascii="Garamond" w:hAnsi="Garamond"/>
          <w:color w:val="000000"/>
          <w:szCs w:val="24"/>
          <w:lang w:val="sq-AL"/>
        </w:rPr>
        <w:t>gj</w:t>
      </w:r>
      <w:r w:rsidRPr="00532946">
        <w:rPr>
          <w:rFonts w:ascii="Garamond" w:hAnsi="Garamond"/>
          <w:color w:val="000000"/>
          <w:szCs w:val="24"/>
          <w:lang w:val="sq-AL"/>
        </w:rPr>
        <w:t xml:space="preserve">itale në shërbim të konsumatorëve. </w:t>
      </w:r>
    </w:p>
    <w:p w14:paraId="273C0D45" w14:textId="142E08ED"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Sipas nenit 20 të ligjit nr. 43/2015, në rastet e vonesave në ndryshimin e tarifave, ERE miraton tarifa të përkohshme dhe, nëse këto dallojnë nga tarifat përfundimtare, vendos masa kompensuese.</w:t>
      </w:r>
    </w:p>
    <w:p w14:paraId="45D5D0F5" w14:textId="206B615F"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Meq</w:t>
      </w:r>
      <w:r w:rsidR="00E15524">
        <w:rPr>
          <w:rFonts w:ascii="Garamond" w:hAnsi="Garamond"/>
          <w:color w:val="000000"/>
          <w:szCs w:val="24"/>
          <w:lang w:val="sq-AL"/>
        </w:rPr>
        <w:t>e</w:t>
      </w:r>
      <w:r w:rsidRPr="00532946">
        <w:rPr>
          <w:rFonts w:ascii="Garamond" w:hAnsi="Garamond"/>
          <w:color w:val="000000"/>
          <w:szCs w:val="24"/>
          <w:lang w:val="sq-AL"/>
        </w:rPr>
        <w:t>nëse aktiviteti financiar i shoqërisë ka rezultat pozitiv, OSSH sh.a. mund të përdorë këtë diferencë për të mbuluar kostot e paparashikuara për humbjet e rrjetit të shpërndarjes në vitin 2025, për investime të domosdoshme dhe për të rikuperuar kapitalin negativ të akumuluar. Në përputhje me metodologjinë e miratuar me vendimin nr. 182, datë 10.11.2017, ERE do të vendosë masa kompensuese në rastet kur tarifat e miratuara ndryshojnë nga ato të përkohshme, siç është vepruar edhe në procedurat e mëparshme.</w:t>
      </w:r>
    </w:p>
    <w:p w14:paraId="47598E3A" w14:textId="08529582"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Për gjithë sa më sipër, </w:t>
      </w:r>
      <w:r w:rsidR="00E15524" w:rsidRPr="00532946">
        <w:rPr>
          <w:rFonts w:ascii="Garamond" w:hAnsi="Garamond"/>
          <w:color w:val="000000"/>
          <w:szCs w:val="24"/>
          <w:lang w:val="sq-AL"/>
        </w:rPr>
        <w:t xml:space="preserve">Bordi </w:t>
      </w:r>
      <w:r w:rsidRPr="00532946">
        <w:rPr>
          <w:rFonts w:ascii="Garamond" w:hAnsi="Garamond"/>
          <w:color w:val="000000"/>
          <w:szCs w:val="24"/>
          <w:lang w:val="sq-AL"/>
        </w:rPr>
        <w:t xml:space="preserve">i ERE-s </w:t>
      </w:r>
    </w:p>
    <w:p w14:paraId="03BBA827" w14:textId="77777777"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p>
    <w:p w14:paraId="5145A7C3" w14:textId="25D193CC" w:rsidR="0091428D" w:rsidRPr="00532946" w:rsidRDefault="0091428D" w:rsidP="0091428D">
      <w:pPr>
        <w:autoSpaceDE w:val="0"/>
        <w:autoSpaceDN w:val="0"/>
        <w:adjustRightInd w:val="0"/>
        <w:spacing w:after="0" w:line="240" w:lineRule="auto"/>
        <w:ind w:firstLine="284"/>
        <w:jc w:val="center"/>
        <w:rPr>
          <w:rFonts w:ascii="Garamond" w:hAnsi="Garamond"/>
          <w:bCs/>
          <w:color w:val="000000"/>
          <w:szCs w:val="24"/>
          <w:lang w:val="sq-AL"/>
        </w:rPr>
      </w:pPr>
      <w:r w:rsidRPr="00532946">
        <w:rPr>
          <w:rFonts w:ascii="Garamond" w:hAnsi="Garamond"/>
          <w:bCs/>
          <w:color w:val="000000"/>
          <w:szCs w:val="24"/>
          <w:lang w:val="sq-AL"/>
        </w:rPr>
        <w:t>VENDOSI:</w:t>
      </w:r>
    </w:p>
    <w:p w14:paraId="7841C34C" w14:textId="77777777" w:rsidR="0091428D" w:rsidRPr="00532946" w:rsidRDefault="0091428D" w:rsidP="0091428D">
      <w:pPr>
        <w:autoSpaceDE w:val="0"/>
        <w:autoSpaceDN w:val="0"/>
        <w:adjustRightInd w:val="0"/>
        <w:spacing w:after="0" w:line="240" w:lineRule="auto"/>
        <w:ind w:firstLine="284"/>
        <w:rPr>
          <w:rFonts w:ascii="Garamond" w:hAnsi="Garamond"/>
          <w:b/>
          <w:bCs/>
          <w:color w:val="000000"/>
          <w:szCs w:val="24"/>
          <w:lang w:val="sq-AL"/>
        </w:rPr>
      </w:pPr>
    </w:p>
    <w:p w14:paraId="0DEE2430" w14:textId="30DD8C84"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1. Të zgjasë fuqinë juridike të vendimit të </w:t>
      </w:r>
      <w:r w:rsidR="006457FA" w:rsidRPr="00532946">
        <w:rPr>
          <w:rFonts w:ascii="Garamond" w:hAnsi="Garamond"/>
          <w:color w:val="000000"/>
          <w:szCs w:val="24"/>
          <w:lang w:val="sq-AL"/>
        </w:rPr>
        <w:t xml:space="preserve">Bordit </w:t>
      </w:r>
      <w:r w:rsidRPr="00532946">
        <w:rPr>
          <w:rFonts w:ascii="Garamond" w:hAnsi="Garamond"/>
          <w:color w:val="000000"/>
          <w:szCs w:val="24"/>
          <w:lang w:val="sq-AL"/>
        </w:rPr>
        <w:t>të ERE-s nr. 73, datë 13.4.2022, deri në miratimin e një vendimi të ri bazuar në aplikimin e shoqërisë OSSH sh.a. për vitin 2025, në përputhje me dispozitat ligjore dhe nënligjore në fuqi.</w:t>
      </w:r>
    </w:p>
    <w:p w14:paraId="016E3F15" w14:textId="60B732F5"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2. Nëse do të rezultojnë efekte mbi të ardhurat e shoqërisë OSSH sh.a., ato do të përditësohen dhe </w:t>
      </w:r>
      <w:r w:rsidR="0047798B">
        <w:rPr>
          <w:rFonts w:ascii="Garamond" w:hAnsi="Garamond"/>
          <w:color w:val="000000"/>
          <w:szCs w:val="24"/>
          <w:lang w:val="sq-AL"/>
        </w:rPr>
        <w:t xml:space="preserve">do të </w:t>
      </w:r>
      <w:r w:rsidRPr="00532946">
        <w:rPr>
          <w:rFonts w:ascii="Garamond" w:hAnsi="Garamond"/>
          <w:color w:val="000000"/>
          <w:szCs w:val="24"/>
          <w:lang w:val="sq-AL"/>
        </w:rPr>
        <w:t>kompensohen në përputhje me përcaktimet e nenit 20, germa “c”</w:t>
      </w:r>
      <w:r w:rsidR="001931A8">
        <w:rPr>
          <w:rFonts w:ascii="Garamond" w:hAnsi="Garamond"/>
          <w:color w:val="000000"/>
          <w:szCs w:val="24"/>
          <w:lang w:val="sq-AL"/>
        </w:rPr>
        <w:t>,</w:t>
      </w:r>
      <w:r w:rsidRPr="00532946">
        <w:rPr>
          <w:rFonts w:ascii="Garamond" w:hAnsi="Garamond"/>
          <w:color w:val="000000"/>
          <w:szCs w:val="24"/>
          <w:lang w:val="sq-AL"/>
        </w:rPr>
        <w:t xml:space="preserve"> të </w:t>
      </w:r>
      <w:r w:rsidR="001931A8" w:rsidRPr="00532946">
        <w:rPr>
          <w:rFonts w:ascii="Garamond" w:hAnsi="Garamond"/>
          <w:color w:val="000000"/>
          <w:szCs w:val="24"/>
          <w:lang w:val="sq-AL"/>
        </w:rPr>
        <w:t xml:space="preserve">ligjit </w:t>
      </w:r>
      <w:r w:rsidRPr="00532946">
        <w:rPr>
          <w:rFonts w:ascii="Garamond" w:hAnsi="Garamond"/>
          <w:color w:val="000000"/>
          <w:szCs w:val="24"/>
          <w:lang w:val="sq-AL"/>
        </w:rPr>
        <w:t>nr. 43/2015</w:t>
      </w:r>
      <w:r w:rsidR="001931A8">
        <w:rPr>
          <w:rFonts w:ascii="Garamond" w:hAnsi="Garamond"/>
          <w:color w:val="000000"/>
          <w:szCs w:val="24"/>
          <w:lang w:val="sq-AL"/>
        </w:rPr>
        <w:t>,</w:t>
      </w:r>
      <w:r w:rsidRPr="00532946">
        <w:rPr>
          <w:rFonts w:ascii="Garamond" w:hAnsi="Garamond"/>
          <w:color w:val="000000"/>
          <w:szCs w:val="24"/>
          <w:lang w:val="sq-AL"/>
        </w:rPr>
        <w:t xml:space="preserve"> “Për sektorin e energjisë elektrike”, </w:t>
      </w:r>
      <w:r w:rsidR="001931A8">
        <w:rPr>
          <w:rFonts w:ascii="Garamond" w:hAnsi="Garamond"/>
          <w:color w:val="000000"/>
          <w:szCs w:val="24"/>
          <w:lang w:val="sq-AL"/>
        </w:rPr>
        <w:t>të</w:t>
      </w:r>
      <w:r w:rsidRPr="00532946">
        <w:rPr>
          <w:rFonts w:ascii="Garamond" w:hAnsi="Garamond"/>
          <w:color w:val="000000"/>
          <w:szCs w:val="24"/>
          <w:lang w:val="sq-AL"/>
        </w:rPr>
        <w:t xml:space="preserve"> ndryshuar, dhe metodologjinë përkatëse të miratuar nga Bordi i ERE-s.</w:t>
      </w:r>
    </w:p>
    <w:p w14:paraId="4D0A4147" w14:textId="72AF06D0"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3. Drejtoria e Tarifave dhe</w:t>
      </w:r>
      <w:r w:rsidR="00E66866">
        <w:rPr>
          <w:rFonts w:ascii="Garamond" w:hAnsi="Garamond"/>
          <w:color w:val="000000"/>
          <w:szCs w:val="24"/>
          <w:lang w:val="sq-AL"/>
        </w:rPr>
        <w:t xml:space="preserve"> </w:t>
      </w:r>
      <w:bookmarkStart w:id="0" w:name="_GoBack"/>
      <w:bookmarkEnd w:id="0"/>
      <w:r w:rsidRPr="00532946">
        <w:rPr>
          <w:rFonts w:ascii="Garamond" w:hAnsi="Garamond"/>
          <w:color w:val="000000"/>
          <w:szCs w:val="24"/>
          <w:lang w:val="sq-AL"/>
        </w:rPr>
        <w:t>Çmimeve</w:t>
      </w:r>
      <w:r w:rsidR="001931A8">
        <w:rPr>
          <w:rFonts w:ascii="Garamond" w:hAnsi="Garamond"/>
          <w:color w:val="000000"/>
          <w:szCs w:val="24"/>
          <w:lang w:val="sq-AL"/>
        </w:rPr>
        <w:t xml:space="preserve"> </w:t>
      </w:r>
      <w:r w:rsidRPr="00532946">
        <w:rPr>
          <w:rFonts w:ascii="Garamond" w:hAnsi="Garamond"/>
          <w:color w:val="000000"/>
          <w:szCs w:val="24"/>
          <w:lang w:val="sq-AL"/>
        </w:rPr>
        <w:t xml:space="preserve">të njoftojë shoqërinë OSSH sh.a. për vendimin e </w:t>
      </w:r>
      <w:r w:rsidR="001931A8" w:rsidRPr="00532946">
        <w:rPr>
          <w:rFonts w:ascii="Garamond" w:hAnsi="Garamond"/>
          <w:color w:val="000000"/>
          <w:szCs w:val="24"/>
          <w:lang w:val="sq-AL"/>
        </w:rPr>
        <w:t xml:space="preserve">Bordit </w:t>
      </w:r>
      <w:r w:rsidRPr="00532946">
        <w:rPr>
          <w:rFonts w:ascii="Garamond" w:hAnsi="Garamond"/>
          <w:color w:val="000000"/>
          <w:szCs w:val="24"/>
          <w:lang w:val="sq-AL"/>
        </w:rPr>
        <w:t>të ERE-s.</w:t>
      </w:r>
    </w:p>
    <w:p w14:paraId="6F9D050D" w14:textId="0669DD35"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Ky vendim hyn në fuqi menjëherë.</w:t>
      </w:r>
    </w:p>
    <w:p w14:paraId="75D7C007" w14:textId="4AD6D22B"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 xml:space="preserve">Çdo palë e përfshirë në këtë procedurë mund t’i kërkojë ERE-s, brenda 7 ditëve kalendarike nga data e marrjes së vendimit, rishikimin e vendimit të </w:t>
      </w:r>
      <w:r w:rsidR="001931A8" w:rsidRPr="00532946">
        <w:rPr>
          <w:rFonts w:ascii="Garamond" w:hAnsi="Garamond"/>
          <w:color w:val="000000"/>
          <w:szCs w:val="24"/>
          <w:lang w:val="sq-AL"/>
        </w:rPr>
        <w:t>Bordit</w:t>
      </w:r>
      <w:r w:rsidR="001931A8">
        <w:rPr>
          <w:rFonts w:ascii="Garamond" w:hAnsi="Garamond"/>
          <w:color w:val="000000"/>
          <w:szCs w:val="24"/>
          <w:lang w:val="sq-AL"/>
        </w:rPr>
        <w:t>,</w:t>
      </w:r>
      <w:r w:rsidR="001931A8" w:rsidRPr="00532946">
        <w:rPr>
          <w:rFonts w:ascii="Garamond" w:hAnsi="Garamond"/>
          <w:color w:val="000000"/>
          <w:szCs w:val="24"/>
          <w:lang w:val="sq-AL"/>
        </w:rPr>
        <w:t xml:space="preserve"> </w:t>
      </w:r>
      <w:r w:rsidRPr="00532946">
        <w:rPr>
          <w:rFonts w:ascii="Garamond" w:hAnsi="Garamond"/>
          <w:color w:val="000000"/>
          <w:szCs w:val="24"/>
          <w:lang w:val="sq-AL"/>
        </w:rPr>
        <w:t xml:space="preserve">në rast se ka siguruar prova të reja që mund ta çojnë </w:t>
      </w:r>
      <w:r w:rsidR="004F1E1F" w:rsidRPr="00532946">
        <w:rPr>
          <w:rFonts w:ascii="Garamond" w:hAnsi="Garamond"/>
          <w:color w:val="000000"/>
          <w:szCs w:val="24"/>
          <w:lang w:val="sq-AL"/>
        </w:rPr>
        <w:t xml:space="preserve">Bordin </w:t>
      </w:r>
      <w:r w:rsidRPr="00532946">
        <w:rPr>
          <w:rFonts w:ascii="Garamond"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9F32956" w14:textId="05E4D640"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r w:rsidRPr="00532946">
        <w:rPr>
          <w:rFonts w:ascii="Garamond" w:hAnsi="Garamond"/>
          <w:color w:val="000000"/>
          <w:szCs w:val="24"/>
          <w:lang w:val="sq-AL"/>
        </w:rPr>
        <w:t>Ky vendim botohet në Fletoren Zyrtare.</w:t>
      </w:r>
    </w:p>
    <w:p w14:paraId="2EE0F15A" w14:textId="77777777" w:rsidR="0091428D" w:rsidRPr="00532946" w:rsidRDefault="0091428D" w:rsidP="0091428D">
      <w:pPr>
        <w:autoSpaceDE w:val="0"/>
        <w:autoSpaceDN w:val="0"/>
        <w:adjustRightInd w:val="0"/>
        <w:spacing w:after="0" w:line="240" w:lineRule="auto"/>
        <w:ind w:firstLine="284"/>
        <w:rPr>
          <w:rFonts w:ascii="Garamond" w:hAnsi="Garamond"/>
          <w:color w:val="000000"/>
          <w:szCs w:val="24"/>
          <w:lang w:val="sq-AL"/>
        </w:rPr>
      </w:pPr>
    </w:p>
    <w:p w14:paraId="2922A93C" w14:textId="74D33DB8" w:rsidR="0091428D" w:rsidRPr="00532946" w:rsidRDefault="0091428D" w:rsidP="0091428D">
      <w:pPr>
        <w:autoSpaceDE w:val="0"/>
        <w:autoSpaceDN w:val="0"/>
        <w:adjustRightInd w:val="0"/>
        <w:spacing w:after="0" w:line="240" w:lineRule="auto"/>
        <w:ind w:firstLine="284"/>
        <w:jc w:val="right"/>
        <w:rPr>
          <w:rFonts w:ascii="Garamond" w:hAnsi="Garamond"/>
          <w:bCs/>
          <w:color w:val="000000"/>
          <w:szCs w:val="24"/>
          <w:lang w:val="sq-AL"/>
        </w:rPr>
      </w:pPr>
      <w:r w:rsidRPr="00532946">
        <w:rPr>
          <w:rFonts w:ascii="Garamond" w:hAnsi="Garamond"/>
          <w:bCs/>
          <w:color w:val="000000"/>
          <w:szCs w:val="24"/>
          <w:lang w:val="sq-AL"/>
        </w:rPr>
        <w:t>KRYETAR</w:t>
      </w:r>
    </w:p>
    <w:p w14:paraId="31C33020" w14:textId="04A01ABA" w:rsidR="0091428D" w:rsidRPr="00532946" w:rsidRDefault="0091428D" w:rsidP="0091428D">
      <w:pPr>
        <w:autoSpaceDE w:val="0"/>
        <w:autoSpaceDN w:val="0"/>
        <w:adjustRightInd w:val="0"/>
        <w:spacing w:after="0" w:line="240" w:lineRule="auto"/>
        <w:ind w:firstLine="284"/>
        <w:jc w:val="right"/>
        <w:rPr>
          <w:rFonts w:ascii="Garamond" w:hAnsi="Garamond"/>
          <w:b/>
          <w:bCs/>
          <w:color w:val="000000"/>
          <w:szCs w:val="24"/>
          <w:lang w:val="sq-AL"/>
        </w:rPr>
      </w:pPr>
      <w:r w:rsidRPr="00532946">
        <w:rPr>
          <w:rFonts w:ascii="Garamond" w:hAnsi="Garamond"/>
          <w:b/>
          <w:bCs/>
          <w:color w:val="000000"/>
          <w:szCs w:val="24"/>
          <w:lang w:val="sq-AL"/>
        </w:rPr>
        <w:t>Petrit Ahmeti</w:t>
      </w:r>
    </w:p>
    <w:p w14:paraId="281A007C" w14:textId="77777777" w:rsidR="0091428D" w:rsidRPr="00532946" w:rsidRDefault="0091428D" w:rsidP="0091428D">
      <w:pPr>
        <w:autoSpaceDE w:val="0"/>
        <w:autoSpaceDN w:val="0"/>
        <w:adjustRightInd w:val="0"/>
        <w:spacing w:after="0" w:line="240" w:lineRule="auto"/>
        <w:ind w:firstLine="284"/>
        <w:jc w:val="right"/>
        <w:rPr>
          <w:rFonts w:ascii="Garamond" w:hAnsi="Garamond"/>
          <w:color w:val="000000"/>
          <w:szCs w:val="24"/>
          <w:lang w:val="sq-AL"/>
        </w:rPr>
      </w:pPr>
    </w:p>
    <w:p w14:paraId="36FC13AB" w14:textId="77777777" w:rsidR="005C3C6E" w:rsidRPr="00532946" w:rsidRDefault="005C3C6E" w:rsidP="0091428D">
      <w:pPr>
        <w:spacing w:after="0" w:line="240" w:lineRule="auto"/>
        <w:ind w:firstLine="284"/>
        <w:rPr>
          <w:rFonts w:ascii="Garamond" w:hAnsi="Garamond"/>
          <w:szCs w:val="24"/>
          <w:lang w:val="sq-AL"/>
        </w:rPr>
      </w:pPr>
    </w:p>
    <w:sectPr w:rsidR="005C3C6E" w:rsidRPr="00532946" w:rsidSect="0091428D">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7AC49" w14:textId="77777777" w:rsidR="00132E5D" w:rsidRDefault="00132E5D">
      <w:pPr>
        <w:spacing w:after="0" w:line="240" w:lineRule="auto"/>
      </w:pPr>
      <w:r>
        <w:separator/>
      </w:r>
    </w:p>
  </w:endnote>
  <w:endnote w:type="continuationSeparator" w:id="0">
    <w:p w14:paraId="312CD16F" w14:textId="77777777" w:rsidR="00132E5D" w:rsidRDefault="00132E5D">
      <w:pPr>
        <w:spacing w:after="0" w:line="240" w:lineRule="auto"/>
      </w:pPr>
      <w:r>
        <w:continuationSeparator/>
      </w:r>
    </w:p>
  </w:endnote>
  <w:endnote w:type="continuationNotice" w:id="1">
    <w:p w14:paraId="734D08DB" w14:textId="77777777" w:rsidR="00132E5D" w:rsidRDefault="00132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79176" w14:textId="77777777" w:rsidR="00132E5D" w:rsidRDefault="00132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4250B" w14:textId="77777777" w:rsidR="00132E5D" w:rsidRDefault="00132E5D">
      <w:pPr>
        <w:spacing w:after="0" w:line="240" w:lineRule="auto"/>
      </w:pPr>
      <w:r>
        <w:separator/>
      </w:r>
    </w:p>
  </w:footnote>
  <w:footnote w:type="continuationSeparator" w:id="0">
    <w:p w14:paraId="0DB8F8B9" w14:textId="77777777" w:rsidR="00132E5D" w:rsidRDefault="00132E5D">
      <w:pPr>
        <w:spacing w:after="0" w:line="240" w:lineRule="auto"/>
      </w:pPr>
      <w:r>
        <w:continuationSeparator/>
      </w:r>
    </w:p>
  </w:footnote>
  <w:footnote w:type="continuationNotice" w:id="1">
    <w:p w14:paraId="58EB7FD2" w14:textId="77777777" w:rsidR="00132E5D" w:rsidRDefault="00132E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3"/>
    <w:multiLevelType w:val="hybridMultilevel"/>
    <w:tmpl w:val="BEF8CB94"/>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1D"/>
    <w:multiLevelType w:val="hybridMultilevel"/>
    <w:tmpl w:val="642A213C"/>
    <w:lvl w:ilvl="0" w:tplc="57E0A49C">
      <w:start w:val="1"/>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DEA0CEC"/>
    <w:multiLevelType w:val="hybridMultilevel"/>
    <w:tmpl w:val="D8748DD4"/>
    <w:lvl w:ilvl="0" w:tplc="8BF843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51F6D"/>
    <w:multiLevelType w:val="hybridMultilevel"/>
    <w:tmpl w:val="E7CCF998"/>
    <w:lvl w:ilvl="0" w:tplc="0809000B">
      <w:start w:val="1"/>
      <w:numFmt w:val="bullet"/>
      <w:lvlText w:val=""/>
      <w:lvlJc w:val="left"/>
      <w:pPr>
        <w:ind w:left="1170" w:hanging="360"/>
      </w:pPr>
      <w:rPr>
        <w:rFonts w:ascii="Wingdings" w:hAnsi="Wingding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C407F36"/>
    <w:multiLevelType w:val="multilevel"/>
    <w:tmpl w:val="2DC69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7A508A"/>
    <w:multiLevelType w:val="hybridMultilevel"/>
    <w:tmpl w:val="1CDEC8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A6760"/>
    <w:multiLevelType w:val="hybridMultilevel"/>
    <w:tmpl w:val="547ED33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074FDD"/>
    <w:multiLevelType w:val="hybridMultilevel"/>
    <w:tmpl w:val="35186C2C"/>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A524F1"/>
    <w:multiLevelType w:val="hybridMultilevel"/>
    <w:tmpl w:val="BEDC8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0956D7"/>
    <w:multiLevelType w:val="hybridMultilevel"/>
    <w:tmpl w:val="68A2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118E5"/>
    <w:multiLevelType w:val="hybridMultilevel"/>
    <w:tmpl w:val="6B08B48E"/>
    <w:lvl w:ilvl="0" w:tplc="8BF8439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0D6BD3"/>
    <w:multiLevelType w:val="hybridMultilevel"/>
    <w:tmpl w:val="5F86F3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49C3074B"/>
    <w:multiLevelType w:val="multilevel"/>
    <w:tmpl w:val="CB48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830ADC"/>
    <w:multiLevelType w:val="hybridMultilevel"/>
    <w:tmpl w:val="75B0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270D05"/>
    <w:multiLevelType w:val="hybridMultilevel"/>
    <w:tmpl w:val="9D6010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BC5BDF"/>
    <w:multiLevelType w:val="multilevel"/>
    <w:tmpl w:val="9FF2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6F4725"/>
    <w:multiLevelType w:val="multilevel"/>
    <w:tmpl w:val="5510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981199"/>
    <w:multiLevelType w:val="multilevel"/>
    <w:tmpl w:val="9E1AB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703D8E"/>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13"/>
  </w:num>
  <w:num w:numId="5">
    <w:abstractNumId w:val="10"/>
  </w:num>
  <w:num w:numId="6">
    <w:abstractNumId w:val="11"/>
  </w:num>
  <w:num w:numId="7">
    <w:abstractNumId w:val="9"/>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4"/>
  </w:num>
  <w:num w:numId="13">
    <w:abstractNumId w:val="17"/>
  </w:num>
  <w:num w:numId="14">
    <w:abstractNumId w:val="12"/>
  </w:num>
  <w:num w:numId="15">
    <w:abstractNumId w:val="15"/>
  </w:num>
  <w:num w:numId="16">
    <w:abstractNumId w:val="16"/>
  </w:num>
  <w:num w:numId="17">
    <w:abstractNumId w:val="14"/>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38"/>
    <w:rsid w:val="00015C68"/>
    <w:rsid w:val="00034B34"/>
    <w:rsid w:val="00040C4C"/>
    <w:rsid w:val="00042FF4"/>
    <w:rsid w:val="000459E5"/>
    <w:rsid w:val="00061794"/>
    <w:rsid w:val="0008247C"/>
    <w:rsid w:val="000833BB"/>
    <w:rsid w:val="000904C9"/>
    <w:rsid w:val="000B44EC"/>
    <w:rsid w:val="000E6D13"/>
    <w:rsid w:val="00132E5D"/>
    <w:rsid w:val="001931A8"/>
    <w:rsid w:val="001951DA"/>
    <w:rsid w:val="001B60DD"/>
    <w:rsid w:val="001C2B3A"/>
    <w:rsid w:val="002113AD"/>
    <w:rsid w:val="00211C5E"/>
    <w:rsid w:val="00216CDE"/>
    <w:rsid w:val="00241A75"/>
    <w:rsid w:val="00376622"/>
    <w:rsid w:val="00392352"/>
    <w:rsid w:val="003F0102"/>
    <w:rsid w:val="0044227D"/>
    <w:rsid w:val="00452496"/>
    <w:rsid w:val="00453E6A"/>
    <w:rsid w:val="0047798B"/>
    <w:rsid w:val="004801D9"/>
    <w:rsid w:val="00493DC3"/>
    <w:rsid w:val="004C4334"/>
    <w:rsid w:val="004F1E1F"/>
    <w:rsid w:val="00532946"/>
    <w:rsid w:val="00554E4B"/>
    <w:rsid w:val="005C3C6E"/>
    <w:rsid w:val="00623089"/>
    <w:rsid w:val="006457FA"/>
    <w:rsid w:val="00657938"/>
    <w:rsid w:val="00684859"/>
    <w:rsid w:val="006A5EC5"/>
    <w:rsid w:val="006E071C"/>
    <w:rsid w:val="00721C4B"/>
    <w:rsid w:val="007400A0"/>
    <w:rsid w:val="00742411"/>
    <w:rsid w:val="008241A1"/>
    <w:rsid w:val="008765A3"/>
    <w:rsid w:val="008958B6"/>
    <w:rsid w:val="008A2C4C"/>
    <w:rsid w:val="008A3C38"/>
    <w:rsid w:val="008B493A"/>
    <w:rsid w:val="008F6E1E"/>
    <w:rsid w:val="009137F8"/>
    <w:rsid w:val="0091428D"/>
    <w:rsid w:val="009843FC"/>
    <w:rsid w:val="009D5E98"/>
    <w:rsid w:val="009F4C5D"/>
    <w:rsid w:val="00A60A21"/>
    <w:rsid w:val="00A95F4D"/>
    <w:rsid w:val="00AD60D7"/>
    <w:rsid w:val="00AE33AF"/>
    <w:rsid w:val="00AE707D"/>
    <w:rsid w:val="00AF4BAA"/>
    <w:rsid w:val="00B24748"/>
    <w:rsid w:val="00B37CDB"/>
    <w:rsid w:val="00B50352"/>
    <w:rsid w:val="00B72D60"/>
    <w:rsid w:val="00BB1C8D"/>
    <w:rsid w:val="00BC261D"/>
    <w:rsid w:val="00BF3FCB"/>
    <w:rsid w:val="00C57F31"/>
    <w:rsid w:val="00C61771"/>
    <w:rsid w:val="00CF1582"/>
    <w:rsid w:val="00D66EEA"/>
    <w:rsid w:val="00D913E5"/>
    <w:rsid w:val="00DB3CAB"/>
    <w:rsid w:val="00E14BF1"/>
    <w:rsid w:val="00E15524"/>
    <w:rsid w:val="00E320AB"/>
    <w:rsid w:val="00E66866"/>
    <w:rsid w:val="00E929DF"/>
    <w:rsid w:val="00ED1487"/>
    <w:rsid w:val="00F01BC9"/>
    <w:rsid w:val="00F53ABF"/>
    <w:rsid w:val="00F65640"/>
    <w:rsid w:val="00F6571F"/>
    <w:rsid w:val="00FC50A6"/>
    <w:rsid w:val="00FD39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524C8"/>
  <w15:chartTrackingRefBased/>
  <w15:docId w15:val="{C337C896-A98B-49AE-A78E-818345E2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sz w:val="24"/>
        <w:szCs w:val="22"/>
        <w:lang w:val="en-GB"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57938"/>
    <w:pPr>
      <w:tabs>
        <w:tab w:val="center" w:pos="4513"/>
        <w:tab w:val="right" w:pos="9026"/>
      </w:tabs>
      <w:spacing w:after="0" w:line="240" w:lineRule="auto"/>
      <w:jc w:val="left"/>
    </w:pPr>
    <w:rPr>
      <w:rFonts w:asciiTheme="minorHAnsi" w:hAnsiTheme="minorHAnsi" w:cstheme="minorBidi"/>
      <w:sz w:val="22"/>
      <w:lang w:val="sq-AL"/>
    </w:rPr>
  </w:style>
  <w:style w:type="character" w:customStyle="1" w:styleId="FooterChar">
    <w:name w:val="Footer Char"/>
    <w:basedOn w:val="DefaultParagraphFont"/>
    <w:link w:val="Footer"/>
    <w:uiPriority w:val="99"/>
    <w:rsid w:val="00657938"/>
    <w:rPr>
      <w:rFonts w:asciiTheme="minorHAnsi" w:hAnsiTheme="minorHAnsi" w:cstheme="minorBidi"/>
      <w:sz w:val="22"/>
      <w:lang w:val="sq-AL"/>
    </w:rPr>
  </w:style>
  <w:style w:type="character" w:styleId="Hyperlink">
    <w:name w:val="Hyperlink"/>
    <w:uiPriority w:val="99"/>
    <w:rsid w:val="00657938"/>
    <w:rPr>
      <w:color w:val="0563C1"/>
      <w:u w:val="single"/>
    </w:rPr>
  </w:style>
  <w:style w:type="paragraph" w:styleId="ListParagraph">
    <w:name w:val="List Paragraph"/>
    <w:aliases w:val="Akapit z listą BS,List Paragraph1,Bullet1,Indent Paragraph,Numbered Para 1,Dot pt,No Spacing1,List Paragraph Char Char Char,Indicator Text,Bullet Points,MAIN CONTENT,List Paragraph12,F5 List Paragraph,Heading 2_sj,Lettre d'introduction,Ha"/>
    <w:basedOn w:val="Normal"/>
    <w:link w:val="ListParagraphChar"/>
    <w:uiPriority w:val="34"/>
    <w:qFormat/>
    <w:rsid w:val="00657938"/>
    <w:pPr>
      <w:spacing w:after="0" w:line="240" w:lineRule="auto"/>
      <w:ind w:left="720"/>
      <w:contextualSpacing/>
      <w:jc w:val="left"/>
    </w:pPr>
    <w:rPr>
      <w:rFonts w:eastAsia="Times New Roman"/>
      <w:szCs w:val="24"/>
      <w:lang w:val="en-US"/>
    </w:rPr>
  </w:style>
  <w:style w:type="paragraph" w:styleId="Header">
    <w:name w:val="header"/>
    <w:basedOn w:val="Normal"/>
    <w:link w:val="HeaderChar"/>
    <w:uiPriority w:val="99"/>
    <w:unhideWhenUsed/>
    <w:rsid w:val="001C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3A"/>
  </w:style>
  <w:style w:type="paragraph" w:styleId="NormalWeb">
    <w:name w:val="Normal (Web)"/>
    <w:basedOn w:val="Normal"/>
    <w:uiPriority w:val="99"/>
    <w:semiHidden/>
    <w:unhideWhenUsed/>
    <w:rsid w:val="00211C5E"/>
    <w:pPr>
      <w:spacing w:before="100" w:beforeAutospacing="1" w:after="100" w:afterAutospacing="1" w:line="240" w:lineRule="auto"/>
      <w:jc w:val="left"/>
    </w:pPr>
    <w:rPr>
      <w:rFonts w:eastAsia="Times New Roman"/>
      <w:szCs w:val="24"/>
      <w:lang w:val="en-US"/>
    </w:rPr>
  </w:style>
  <w:style w:type="character" w:styleId="Strong">
    <w:name w:val="Strong"/>
    <w:basedOn w:val="DefaultParagraphFont"/>
    <w:uiPriority w:val="22"/>
    <w:qFormat/>
    <w:rsid w:val="00211C5E"/>
    <w:rPr>
      <w:b/>
      <w:bCs/>
    </w:rPr>
  </w:style>
  <w:style w:type="character" w:customStyle="1" w:styleId="ListParagraphChar">
    <w:name w:val="List Paragraph Char"/>
    <w:aliases w:val="Akapit z listą BS Char,List Paragraph1 Char,Bullet1 Char,Indent Paragraph Char,Numbered Para 1 Char,Dot pt Char,No Spacing1 Char,List Paragraph Char Char Char Char,Indicator Text Char,Bullet Points Char,MAIN CONTENT Char,Ha Char"/>
    <w:link w:val="ListParagraph"/>
    <w:uiPriority w:val="34"/>
    <w:qFormat/>
    <w:locked/>
    <w:rsid w:val="000833BB"/>
    <w:rPr>
      <w:rFonts w:eastAsia="Times New Roman"/>
      <w:szCs w:val="24"/>
      <w:lang w:val="en-US"/>
    </w:rPr>
  </w:style>
  <w:style w:type="character" w:customStyle="1" w:styleId="overflow-hidden">
    <w:name w:val="overflow-hidden"/>
    <w:basedOn w:val="DefaultParagraphFont"/>
    <w:rsid w:val="00623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6698">
      <w:bodyDiv w:val="1"/>
      <w:marLeft w:val="0"/>
      <w:marRight w:val="0"/>
      <w:marTop w:val="0"/>
      <w:marBottom w:val="0"/>
      <w:divBdr>
        <w:top w:val="none" w:sz="0" w:space="0" w:color="auto"/>
        <w:left w:val="none" w:sz="0" w:space="0" w:color="auto"/>
        <w:bottom w:val="none" w:sz="0" w:space="0" w:color="auto"/>
        <w:right w:val="none" w:sz="0" w:space="0" w:color="auto"/>
      </w:divBdr>
    </w:div>
    <w:div w:id="225379664">
      <w:bodyDiv w:val="1"/>
      <w:marLeft w:val="0"/>
      <w:marRight w:val="0"/>
      <w:marTop w:val="0"/>
      <w:marBottom w:val="0"/>
      <w:divBdr>
        <w:top w:val="none" w:sz="0" w:space="0" w:color="auto"/>
        <w:left w:val="none" w:sz="0" w:space="0" w:color="auto"/>
        <w:bottom w:val="none" w:sz="0" w:space="0" w:color="auto"/>
        <w:right w:val="none" w:sz="0" w:space="0" w:color="auto"/>
      </w:divBdr>
    </w:div>
    <w:div w:id="260070314">
      <w:bodyDiv w:val="1"/>
      <w:marLeft w:val="0"/>
      <w:marRight w:val="0"/>
      <w:marTop w:val="0"/>
      <w:marBottom w:val="0"/>
      <w:divBdr>
        <w:top w:val="none" w:sz="0" w:space="0" w:color="auto"/>
        <w:left w:val="none" w:sz="0" w:space="0" w:color="auto"/>
        <w:bottom w:val="none" w:sz="0" w:space="0" w:color="auto"/>
        <w:right w:val="none" w:sz="0" w:space="0" w:color="auto"/>
      </w:divBdr>
      <w:divsChild>
        <w:div w:id="442001556">
          <w:marLeft w:val="0"/>
          <w:marRight w:val="0"/>
          <w:marTop w:val="0"/>
          <w:marBottom w:val="0"/>
          <w:divBdr>
            <w:top w:val="none" w:sz="0" w:space="0" w:color="auto"/>
            <w:left w:val="none" w:sz="0" w:space="0" w:color="auto"/>
            <w:bottom w:val="none" w:sz="0" w:space="0" w:color="auto"/>
            <w:right w:val="none" w:sz="0" w:space="0" w:color="auto"/>
          </w:divBdr>
          <w:divsChild>
            <w:div w:id="88234274">
              <w:marLeft w:val="0"/>
              <w:marRight w:val="0"/>
              <w:marTop w:val="0"/>
              <w:marBottom w:val="0"/>
              <w:divBdr>
                <w:top w:val="none" w:sz="0" w:space="0" w:color="auto"/>
                <w:left w:val="none" w:sz="0" w:space="0" w:color="auto"/>
                <w:bottom w:val="none" w:sz="0" w:space="0" w:color="auto"/>
                <w:right w:val="none" w:sz="0" w:space="0" w:color="auto"/>
              </w:divBdr>
              <w:divsChild>
                <w:div w:id="40443439">
                  <w:marLeft w:val="0"/>
                  <w:marRight w:val="0"/>
                  <w:marTop w:val="0"/>
                  <w:marBottom w:val="0"/>
                  <w:divBdr>
                    <w:top w:val="none" w:sz="0" w:space="0" w:color="auto"/>
                    <w:left w:val="none" w:sz="0" w:space="0" w:color="auto"/>
                    <w:bottom w:val="none" w:sz="0" w:space="0" w:color="auto"/>
                    <w:right w:val="none" w:sz="0" w:space="0" w:color="auto"/>
                  </w:divBdr>
                  <w:divsChild>
                    <w:div w:id="6098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87940">
          <w:marLeft w:val="0"/>
          <w:marRight w:val="0"/>
          <w:marTop w:val="0"/>
          <w:marBottom w:val="0"/>
          <w:divBdr>
            <w:top w:val="none" w:sz="0" w:space="0" w:color="auto"/>
            <w:left w:val="none" w:sz="0" w:space="0" w:color="auto"/>
            <w:bottom w:val="none" w:sz="0" w:space="0" w:color="auto"/>
            <w:right w:val="none" w:sz="0" w:space="0" w:color="auto"/>
          </w:divBdr>
          <w:divsChild>
            <w:div w:id="1485273622">
              <w:marLeft w:val="0"/>
              <w:marRight w:val="0"/>
              <w:marTop w:val="0"/>
              <w:marBottom w:val="0"/>
              <w:divBdr>
                <w:top w:val="none" w:sz="0" w:space="0" w:color="auto"/>
                <w:left w:val="none" w:sz="0" w:space="0" w:color="auto"/>
                <w:bottom w:val="none" w:sz="0" w:space="0" w:color="auto"/>
                <w:right w:val="none" w:sz="0" w:space="0" w:color="auto"/>
              </w:divBdr>
              <w:divsChild>
                <w:div w:id="295336974">
                  <w:marLeft w:val="0"/>
                  <w:marRight w:val="0"/>
                  <w:marTop w:val="0"/>
                  <w:marBottom w:val="0"/>
                  <w:divBdr>
                    <w:top w:val="none" w:sz="0" w:space="0" w:color="auto"/>
                    <w:left w:val="none" w:sz="0" w:space="0" w:color="auto"/>
                    <w:bottom w:val="none" w:sz="0" w:space="0" w:color="auto"/>
                    <w:right w:val="none" w:sz="0" w:space="0" w:color="auto"/>
                  </w:divBdr>
                  <w:divsChild>
                    <w:div w:id="2220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486219">
      <w:bodyDiv w:val="1"/>
      <w:marLeft w:val="0"/>
      <w:marRight w:val="0"/>
      <w:marTop w:val="0"/>
      <w:marBottom w:val="0"/>
      <w:divBdr>
        <w:top w:val="none" w:sz="0" w:space="0" w:color="auto"/>
        <w:left w:val="none" w:sz="0" w:space="0" w:color="auto"/>
        <w:bottom w:val="none" w:sz="0" w:space="0" w:color="auto"/>
        <w:right w:val="none" w:sz="0" w:space="0" w:color="auto"/>
      </w:divBdr>
    </w:div>
    <w:div w:id="1191604281">
      <w:bodyDiv w:val="1"/>
      <w:marLeft w:val="0"/>
      <w:marRight w:val="0"/>
      <w:marTop w:val="0"/>
      <w:marBottom w:val="0"/>
      <w:divBdr>
        <w:top w:val="none" w:sz="0" w:space="0" w:color="auto"/>
        <w:left w:val="none" w:sz="0" w:space="0" w:color="auto"/>
        <w:bottom w:val="none" w:sz="0" w:space="0" w:color="auto"/>
        <w:right w:val="none" w:sz="0" w:space="0" w:color="auto"/>
      </w:divBdr>
    </w:div>
    <w:div w:id="1354727223">
      <w:bodyDiv w:val="1"/>
      <w:marLeft w:val="0"/>
      <w:marRight w:val="0"/>
      <w:marTop w:val="0"/>
      <w:marBottom w:val="0"/>
      <w:divBdr>
        <w:top w:val="none" w:sz="0" w:space="0" w:color="auto"/>
        <w:left w:val="none" w:sz="0" w:space="0" w:color="auto"/>
        <w:bottom w:val="none" w:sz="0" w:space="0" w:color="auto"/>
        <w:right w:val="none" w:sz="0" w:space="0" w:color="auto"/>
      </w:divBdr>
    </w:div>
    <w:div w:id="137607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Nr_x002e__x0020_akti>
    <Data_x0020_e_x0020_Krijimit xmlns="0e656187-b300-4fb0-8bf4-3a50f872073c">2024-12-30T14:21:38Z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2024-12-30T00:00:00Z</Date_x0020_protokolli>
    <Titulli xmlns="0e656187-b300-4fb0-8bf4-3a50f872073c">Mbi lënien në fuqi të vendimit të Bordit të ERE-s nr. 73, datë 13.04.2022</Titulli>
    <Modifikuesi xmlns="0e656187-b300-4fb0-8bf4-3a50f872073c">nevila.samarxhi</Modifikuesi>
    <Nr_x002e__x0020_prot_x0020_QBZ xmlns="0e656187-b300-4fb0-8bf4-3a50f872073c">2254/2</Nr_x002e__x0020_prot_x0020_QBZ>
    <Data_x0020_e_x0020_Modifikimit xmlns="0e656187-b300-4fb0-8bf4-3a50f872073c">2024-12-30T14:47:41Z</Data_x0020_e_x0020_Modifikimit>
    <Dekretuar xmlns="0e656187-b300-4fb0-8bf4-3a50f872073c">false</Dekretuar>
    <Data xmlns="0e656187-b300-4fb0-8bf4-3a50f872073c">2024-12-23T00:00:00Z</Data>
    <Nr_x002e__x0020_protokolli_x0020_i_x0020_aktit xmlns="0e656187-b300-4fb0-8bf4-3a50f872073c">2647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1D70AE12E7453C80B6BE0C3F1174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21D70AE12E7453C80B6BE0C3F1174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9D2BAB-C8EF-4F71-943A-137AC15D4CCF}">
  <ds:schemaRefs>
    <ds:schemaRef ds:uri="http://www.w3.org/XML/1998/namespace"/>
    <ds:schemaRef ds:uri="http://schemas.openxmlformats.org/package/2006/metadata/core-properties"/>
    <ds:schemaRef ds:uri="http://schemas.microsoft.com/office/2006/metadata/properties"/>
    <ds:schemaRef ds:uri="http://purl.org/dc/terms/"/>
    <ds:schemaRef ds:uri="0e656187-b300-4fb0-8bf4-3a50f872073c"/>
    <ds:schemaRef ds:uri="http://purl.org/dc/elements/1.1/"/>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AA594B30-47C4-400A-A4FB-65BC339CA69D}">
  <ds:schemaRefs>
    <ds:schemaRef ds:uri="http://schemas.microsoft.com/sharepoint/v3/contenttype/forms"/>
  </ds:schemaRefs>
</ds:datastoreItem>
</file>

<file path=customXml/itemProps3.xml><?xml version="1.0" encoding="utf-8"?>
<ds:datastoreItem xmlns:ds="http://schemas.openxmlformats.org/officeDocument/2006/customXml" ds:itemID="{7B4C93E7-6823-475B-AFA6-2C58E73B0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857FFE-91A7-4026-90B7-34CE158F5B62}">
  <ds:schemaRefs>
    <ds:schemaRef ds:uri="http://schemas.microsoft.com/sharepoint/v3/contenttype/forms"/>
  </ds:schemaRefs>
</ds:datastoreItem>
</file>

<file path=customXml/itemProps5.xml><?xml version="1.0" encoding="utf-8"?>
<ds:datastoreItem xmlns:ds="http://schemas.openxmlformats.org/officeDocument/2006/customXml" ds:itemID="{7ED40CB1-72CF-4EE5-A25F-634BD80BC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Mbi lënien në fuqi të vendimit të Bordit të ERE-s nr. 73, datë 13.04.2022</vt:lpstr>
    </vt:vector>
  </TitlesOfParts>
  <Company>Hewlett-Packard Company</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lënien në fuqi të vendimit të Bordit të ERE-s nr. 73, datë 13.04.2022</dc:title>
  <dc:creator>Ajlin</dc:creator>
  <cp:lastModifiedBy>Alma Lisaku</cp:lastModifiedBy>
  <cp:revision>26</cp:revision>
  <cp:lastPrinted>2024-12-30T11:47:00Z</cp:lastPrinted>
  <dcterms:created xsi:type="dcterms:W3CDTF">2024-12-30T12:47:00Z</dcterms:created>
  <dcterms:modified xsi:type="dcterms:W3CDTF">2024-12-30T14:08:00Z</dcterms:modified>
</cp:coreProperties>
</file>