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88F2A" w14:textId="62465CEA" w:rsidR="002E514B" w:rsidRPr="00EB718C" w:rsidRDefault="002E514B" w:rsidP="002E514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EB718C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18192669" w14:textId="56F39E9E" w:rsidR="002E514B" w:rsidRPr="00EB718C" w:rsidRDefault="002E514B" w:rsidP="002E514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EB718C">
        <w:rPr>
          <w:rFonts w:ascii="Garamond" w:hAnsi="Garamond"/>
          <w:i w:val="0"/>
          <w:iCs w:val="0"/>
          <w:sz w:val="24"/>
          <w:szCs w:val="24"/>
        </w:rPr>
        <w:t>Nr. 279, datë 30.12.2024</w:t>
      </w:r>
    </w:p>
    <w:p w14:paraId="17E3500E" w14:textId="77777777" w:rsidR="002E514B" w:rsidRPr="00EB718C" w:rsidRDefault="002E514B" w:rsidP="002E514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80912D1" w14:textId="50D85090" w:rsidR="002E514B" w:rsidRPr="00EB718C" w:rsidRDefault="002E514B" w:rsidP="002E514B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EB718C">
        <w:rPr>
          <w:rFonts w:ascii="Garamond" w:hAnsi="Garamond"/>
          <w:b/>
          <w:bCs/>
        </w:rPr>
        <w:t>MBI MIRATIMIN E TARIFËS SË TRANSMETIMIT TË ENERGJISË ELEKTRIKE PËR PERIUDHËN 2025</w:t>
      </w:r>
      <w:r w:rsidR="00EB718C">
        <w:rPr>
          <w:rFonts w:ascii="Garamond" w:hAnsi="Garamond"/>
          <w:b/>
          <w:bCs/>
        </w:rPr>
        <w:t>–</w:t>
      </w:r>
      <w:r w:rsidRPr="00EB718C">
        <w:rPr>
          <w:rFonts w:ascii="Garamond" w:hAnsi="Garamond"/>
          <w:b/>
          <w:bCs/>
        </w:rPr>
        <w:t>2027</w:t>
      </w:r>
    </w:p>
    <w:p w14:paraId="3F23B996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</w:p>
    <w:p w14:paraId="58938B47" w14:textId="118EEAAA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 xml:space="preserve">Në mbështetje të neneve 16, 19, </w:t>
      </w:r>
      <w:r w:rsidR="00EB718C" w:rsidRPr="00EB718C">
        <w:rPr>
          <w:rFonts w:ascii="Garamond" w:hAnsi="Garamond"/>
        </w:rPr>
        <w:t>germa</w:t>
      </w:r>
      <w:r w:rsidRPr="00EB718C">
        <w:rPr>
          <w:rFonts w:ascii="Garamond" w:hAnsi="Garamond"/>
        </w:rPr>
        <w:t xml:space="preserve"> “c”, pika “i”, të ligjit nr. 43/2015, “Për sektorin e energjisë elektrike”, </w:t>
      </w:r>
      <w:r w:rsidR="00EB718C" w:rsidRPr="00EB718C">
        <w:rPr>
          <w:rFonts w:ascii="Garamond" w:hAnsi="Garamond"/>
        </w:rPr>
        <w:t>të</w:t>
      </w:r>
      <w:r w:rsidRPr="00EB718C">
        <w:rPr>
          <w:rFonts w:ascii="Garamond" w:hAnsi="Garamond"/>
        </w:rPr>
        <w:t xml:space="preserve"> ndryshuar; </w:t>
      </w:r>
      <w:r w:rsidR="00EB718C" w:rsidRPr="00EB718C">
        <w:rPr>
          <w:rFonts w:ascii="Garamond" w:hAnsi="Garamond"/>
        </w:rPr>
        <w:t xml:space="preserve">të </w:t>
      </w:r>
      <w:r w:rsidRPr="00EB718C">
        <w:rPr>
          <w:rFonts w:ascii="Garamond" w:hAnsi="Garamond"/>
        </w:rPr>
        <w:t xml:space="preserve">nenit 15 dhe nenit 22, të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Rregullores për organizimin, funksionimin dhe procedurat e ERE-s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,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Entit Rregullator të Energjisë (ERE) </w:t>
      </w:r>
      <w:r w:rsidR="00EB718C">
        <w:rPr>
          <w:rFonts w:ascii="Garamond" w:hAnsi="Garamond"/>
        </w:rPr>
        <w:t>n</w:t>
      </w:r>
      <w:r w:rsidRPr="00EB718C">
        <w:rPr>
          <w:rFonts w:ascii="Garamond" w:hAnsi="Garamond"/>
        </w:rPr>
        <w:t xml:space="preserve">r. 96, datë 17.6.2016; </w:t>
      </w:r>
      <w:r w:rsidR="00EB718C" w:rsidRPr="00EB718C">
        <w:rPr>
          <w:rFonts w:ascii="Garamond" w:hAnsi="Garamond"/>
        </w:rPr>
        <w:t xml:space="preserve">të </w:t>
      </w:r>
      <w:r w:rsidR="00EB718C">
        <w:rPr>
          <w:rFonts w:ascii="Garamond" w:hAnsi="Garamond"/>
        </w:rPr>
        <w:t>v</w:t>
      </w:r>
      <w:r w:rsidRPr="00EB718C">
        <w:rPr>
          <w:rFonts w:ascii="Garamond" w:hAnsi="Garamond"/>
        </w:rPr>
        <w:t xml:space="preserve">endimit të Këshillit të Ministrave (VKM) </w:t>
      </w:r>
      <w:r w:rsidR="00EB718C">
        <w:rPr>
          <w:rFonts w:ascii="Garamond" w:hAnsi="Garamond"/>
        </w:rPr>
        <w:t>n</w:t>
      </w:r>
      <w:r w:rsidRPr="00EB718C">
        <w:rPr>
          <w:rFonts w:ascii="Garamond" w:hAnsi="Garamond"/>
        </w:rPr>
        <w:t>r. 456, datë 29.6.2022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“</w:t>
      </w:r>
      <w:r w:rsidRPr="00EB718C">
        <w:rPr>
          <w:rFonts w:ascii="Garamond" w:hAnsi="Garamond"/>
          <w:iCs/>
        </w:rPr>
        <w:t>Kushtet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EB718C">
        <w:rPr>
          <w:rFonts w:ascii="Garamond" w:hAnsi="Garamond"/>
        </w:rPr>
        <w:t xml:space="preserve">”, </w:t>
      </w:r>
      <w:r w:rsidR="00EB718C" w:rsidRPr="00EB718C">
        <w:rPr>
          <w:rFonts w:ascii="Garamond" w:hAnsi="Garamond"/>
        </w:rPr>
        <w:t>të</w:t>
      </w:r>
      <w:r w:rsidRPr="00EB718C">
        <w:rPr>
          <w:rFonts w:ascii="Garamond" w:hAnsi="Garamond"/>
        </w:rPr>
        <w:t xml:space="preserve"> ndryshuar; </w:t>
      </w:r>
      <w:r w:rsidR="00EB718C" w:rsidRPr="00EB718C">
        <w:rPr>
          <w:rFonts w:ascii="Garamond" w:hAnsi="Garamond"/>
        </w:rPr>
        <w:t xml:space="preserve">të </w:t>
      </w:r>
      <w:r w:rsidRPr="00EB718C">
        <w:rPr>
          <w:rFonts w:ascii="Garamond" w:hAnsi="Garamond"/>
        </w:rPr>
        <w:t>“Metodologjisë së llogaritjes së tarifave të transmetimit të energjisë elektrike”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ERE-s nr.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 xml:space="preserve">180, datë 8.11.2017, si dhe vendimit të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ERE-s nr. 244, datë 26.11.2018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“Për miratimin e sistemit të </w:t>
      </w:r>
      <w:r w:rsidR="00EB718C" w:rsidRPr="00EB718C">
        <w:rPr>
          <w:rFonts w:ascii="Garamond" w:hAnsi="Garamond"/>
        </w:rPr>
        <w:t>njehsuar</w:t>
      </w:r>
      <w:r w:rsidRPr="00EB718C">
        <w:rPr>
          <w:rFonts w:ascii="Garamond" w:hAnsi="Garamond"/>
        </w:rPr>
        <w:t xml:space="preserve"> dhe të standardizuar të llogarive për të licencuarit në sektorin e energjisë elektrike për aktivitetet e transmetimit, shpërndarjes dhe </w:t>
      </w:r>
      <w:r w:rsidR="00EB718C" w:rsidRPr="00EB718C">
        <w:rPr>
          <w:rFonts w:ascii="Garamond" w:hAnsi="Garamond"/>
        </w:rPr>
        <w:t xml:space="preserve">Furnizuesit </w:t>
      </w:r>
      <w:r w:rsidRPr="00EB718C">
        <w:rPr>
          <w:rFonts w:ascii="Garamond" w:hAnsi="Garamond"/>
        </w:rPr>
        <w:t xml:space="preserve">të </w:t>
      </w:r>
      <w:r w:rsidR="00EB718C" w:rsidRPr="00EB718C">
        <w:rPr>
          <w:rFonts w:ascii="Garamond" w:hAnsi="Garamond"/>
        </w:rPr>
        <w:t xml:space="preserve">Shërbimit Universal </w:t>
      </w:r>
      <w:r w:rsidRPr="00EB718C">
        <w:rPr>
          <w:rFonts w:ascii="Garamond" w:hAnsi="Garamond"/>
        </w:rPr>
        <w:t xml:space="preserve">të energjisë elektrike”; </w:t>
      </w:r>
      <w:r w:rsidR="00EB718C" w:rsidRPr="00EB718C">
        <w:rPr>
          <w:rFonts w:ascii="Garamond" w:hAnsi="Garamond"/>
        </w:rPr>
        <w:t xml:space="preserve">Bordi </w:t>
      </w:r>
      <w:r w:rsidRPr="00EB718C">
        <w:rPr>
          <w:rFonts w:ascii="Garamond" w:hAnsi="Garamond"/>
        </w:rPr>
        <w:t>i ERE-s, në mbledhjen e tij të datës 16.12.2021, pasi shqyrtoi relacionin me nr. 1859/25 prot., datë 16.12.2024, të përgatitur nga Drejtoria e Tarifave dhe Çmimeve “</w:t>
      </w:r>
      <w:r w:rsidRPr="00EB718C">
        <w:rPr>
          <w:rFonts w:ascii="Garamond" w:hAnsi="Garamond"/>
          <w:iCs/>
        </w:rPr>
        <w:t>Mbi miratimin e tarifës së transmetimit të energjisë elektrike për periudhën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  <w:iCs/>
        </w:rPr>
        <w:t>2027</w:t>
      </w:r>
      <w:r w:rsidRPr="00EB718C">
        <w:rPr>
          <w:rFonts w:ascii="Garamond" w:hAnsi="Garamond"/>
        </w:rPr>
        <w:t>”,</w:t>
      </w:r>
    </w:p>
    <w:p w14:paraId="20A0E2C6" w14:textId="0620D0E2" w:rsidR="002E514B" w:rsidRPr="00EB718C" w:rsidRDefault="00EB718C" w:rsidP="002E514B">
      <w:pPr>
        <w:ind w:firstLine="284"/>
        <w:jc w:val="both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>k</w:t>
      </w:r>
      <w:r w:rsidR="002E514B" w:rsidRPr="00EB718C">
        <w:rPr>
          <w:rFonts w:ascii="Garamond" w:hAnsi="Garamond"/>
          <w:bCs/>
        </w:rPr>
        <w:t>onstatoi se:</w:t>
      </w:r>
    </w:p>
    <w:p w14:paraId="10250026" w14:textId="4B155746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Bordi i ERE-s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 vendimin  nr. 192, datë 18.9.2024, vendosi për: “Fillimin e procedurës për shqyrtimin e aplikimit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për tarifën e transmetimit të energjisë elektrike për periudhën 2025–2027”.</w:t>
      </w:r>
    </w:p>
    <w:p w14:paraId="2CDF29A7" w14:textId="4BA1D81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ERE gjatë procesit të shqyrtimit të aplikimit, në kuadër të nevojës për sqarime të mëtejshme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në lidhje me çështjet e evidentuara në </w:t>
      </w:r>
      <w:r w:rsidR="00EB718C">
        <w:rPr>
          <w:rFonts w:ascii="Garamond" w:hAnsi="Garamond"/>
        </w:rPr>
        <w:t>a</w:t>
      </w:r>
      <w:r w:rsidRPr="00EB718C">
        <w:rPr>
          <w:rFonts w:ascii="Garamond" w:hAnsi="Garamond"/>
        </w:rPr>
        <w:t xml:space="preserve">plikim, i ka dërguar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kërkesat për informacion me nr. 1859/2 prot., datë 20.9.2024, si dhe nr. 1859/12 prot., datë 20.11.2024, në </w:t>
      </w:r>
      <w:r w:rsidR="00EB718C" w:rsidRPr="00EB718C">
        <w:rPr>
          <w:rFonts w:ascii="Garamond" w:hAnsi="Garamond"/>
        </w:rPr>
        <w:t>përgjigje</w:t>
      </w:r>
      <w:r w:rsidRPr="00EB718C">
        <w:rPr>
          <w:rFonts w:ascii="Garamond" w:hAnsi="Garamond"/>
        </w:rPr>
        <w:t xml:space="preserve"> të së cilave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përcjellë korrespondencat me nr. 6004/2 prot., datë 7.10.2024, protokolluar me tonën me nr. 1859/4 prot., datë 9.10.2024, dhe nr. 6004/7 prot., datë 2.12.2024, protokolluar me tonën me nr. 1859/19 prot., datë 3.12.2024.</w:t>
      </w:r>
    </w:p>
    <w:p w14:paraId="29516CE7" w14:textId="61AD030D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Më datë 28.10.2024, u zhvillua seanca teknike ndërmjet përfaqësuesve të ERE-s dhe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informacionin, </w:t>
      </w:r>
      <w:r w:rsidR="00EB718C" w:rsidRPr="00EB718C">
        <w:rPr>
          <w:rFonts w:ascii="Garamond" w:hAnsi="Garamond"/>
        </w:rPr>
        <w:t>argumentet</w:t>
      </w:r>
      <w:r w:rsidRPr="00EB718C">
        <w:rPr>
          <w:rFonts w:ascii="Garamond" w:hAnsi="Garamond"/>
        </w:rPr>
        <w:t xml:space="preserve"> dhe dokumentacionin e paraqitur nga shoqëria në aplikim.</w:t>
      </w:r>
    </w:p>
    <w:p w14:paraId="25914F9F" w14:textId="46CD2EE8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Në përputhje me pikën 7, të nenit 22, të “Rregullores për organizimin, funksionimin dhe procedurat e ERE-s”,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ERE-s nr. 96, datë 17.6.2016, ERE zhvilloi më datë 6.12.2024, seancën  zyrtare publike me përfaqësues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si dhe me palët e interesit, lidhur me aplikimin për përcaktimin e tarifës së transmetimit për periudhën rregullatorë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</w:rPr>
        <w:t>2027.</w:t>
      </w:r>
    </w:p>
    <w:p w14:paraId="1C6CF536" w14:textId="304E7EC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Në zbatim të afateve të përcaktuara në “</w:t>
      </w:r>
      <w:r w:rsidRPr="00EB718C">
        <w:rPr>
          <w:rFonts w:ascii="Garamond" w:hAnsi="Garamond"/>
          <w:iCs/>
        </w:rPr>
        <w:t>Rregulloren për organizimin, funksionimin dhe procedurat e ERE-s”</w:t>
      </w:r>
      <w:r w:rsidRPr="00EB718C">
        <w:rPr>
          <w:rFonts w:ascii="Garamond" w:hAnsi="Garamond"/>
        </w:rPr>
        <w:t xml:space="preserve">, është kryer publikimi në faqen elektronike të ERE-s, www.ere.gov.al, i aplikimit, çdo korrespondence të depozituar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</w:t>
      </w:r>
      <w:r w:rsidR="00EB718C">
        <w:rPr>
          <w:rFonts w:ascii="Garamond" w:hAnsi="Garamond"/>
        </w:rPr>
        <w:t>.,</w:t>
      </w:r>
      <w:r w:rsidRPr="00EB718C">
        <w:rPr>
          <w:rFonts w:ascii="Garamond" w:hAnsi="Garamond"/>
        </w:rPr>
        <w:t xml:space="preserve"> si dhe i komenteve të kryera nga palët e interesit.</w:t>
      </w:r>
    </w:p>
    <w:p w14:paraId="182A23FE" w14:textId="4CB70044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depozituar parashikimin e saj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kërkesën për energji për periudhën rregullatorë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</w:rPr>
        <w:t xml:space="preserve">2027, mbështetur në mesataren historike të energjisë të transmetuar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për konsum, si dhe gradientin në rritje të kërkesës për energji prej 0.29 %.</w:t>
      </w:r>
    </w:p>
    <w:p w14:paraId="39DA4E01" w14:textId="0A19E87C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</w:rPr>
      </w:pPr>
      <w:r w:rsidRPr="00EB718C">
        <w:rPr>
          <w:rFonts w:ascii="Garamond" w:hAnsi="Garamond" w:cs="Symbol"/>
        </w:rPr>
        <w:t xml:space="preserve">- </w:t>
      </w:r>
      <w:r w:rsidR="00EB718C">
        <w:rPr>
          <w:rFonts w:ascii="Garamond" w:hAnsi="Garamond" w:cs="Symbol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  <w:b/>
          <w:bCs/>
        </w:rPr>
        <w:t xml:space="preserve"> </w:t>
      </w:r>
      <w:r w:rsidRPr="00EB718C">
        <w:rPr>
          <w:rFonts w:ascii="Garamond" w:hAnsi="Garamond"/>
        </w:rPr>
        <w:t xml:space="preserve">me shkresën nr. 1859/19 prot., datë 3.12.2024,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deklaroi se në vlerësimin  e kryer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në lidhje me konsumin në rënie për vitin 2026 dhe 2027, është marrë n</w:t>
      </w:r>
      <w:r w:rsid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konsiderat</w:t>
      </w:r>
      <w:r w:rsid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integrimi i </w:t>
      </w:r>
      <w:r w:rsidR="00EB718C" w:rsidRPr="00EB718C">
        <w:rPr>
          <w:rFonts w:ascii="Garamond" w:hAnsi="Garamond"/>
        </w:rPr>
        <w:t xml:space="preserve">parqeve fotovoltaike </w:t>
      </w:r>
      <w:r w:rsidRPr="00EB718C">
        <w:rPr>
          <w:rFonts w:ascii="Garamond" w:hAnsi="Garamond"/>
        </w:rPr>
        <w:t>që pritet t</w:t>
      </w:r>
      <w:r w:rsidR="00EB718C" w:rsidRP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futen n</w:t>
      </w:r>
      <w:r w:rsidR="00EB718C" w:rsidRP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operim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 dhe “Vetëprodhues-it” që prodhojnë energji elektrike, e cila konsumohet kryesisht n</w:t>
      </w:r>
      <w:r w:rsidR="00EB718C" w:rsidRPr="00EB718C">
        <w:rPr>
          <w:rFonts w:ascii="Garamond" w:hAnsi="Garamond"/>
        </w:rPr>
        <w:t>ë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rrjetin shpërndarës.</w:t>
      </w:r>
    </w:p>
    <w:p w14:paraId="28070C57" w14:textId="60CEFBC8" w:rsidR="002E514B" w:rsidRPr="00EB718C" w:rsidRDefault="002E514B" w:rsidP="002E514B">
      <w:pPr>
        <w:pStyle w:val="PlainText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718C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Pr="00EB718C">
        <w:rPr>
          <w:rFonts w:ascii="Garamond" w:hAnsi="Garamond"/>
          <w:sz w:val="24"/>
          <w:szCs w:val="24"/>
          <w:lang w:val="sq-AL"/>
        </w:rPr>
        <w:t>Kosto</w:t>
      </w:r>
      <w:r w:rsidR="00EB718C">
        <w:rPr>
          <w:rFonts w:ascii="Garamond" w:hAnsi="Garamond"/>
          <w:sz w:val="24"/>
          <w:szCs w:val="24"/>
          <w:lang w:val="sq-AL"/>
        </w:rPr>
        <w:t>ja</w:t>
      </w:r>
      <w:r w:rsidRPr="00EB718C">
        <w:rPr>
          <w:rFonts w:ascii="Garamond" w:hAnsi="Garamond"/>
          <w:sz w:val="24"/>
          <w:szCs w:val="24"/>
          <w:lang w:val="sq-AL"/>
        </w:rPr>
        <w:t xml:space="preserve"> e blerjes së energjisë elektrike për mbulimin e humbjeve në rrjetin e transmetimit për periudhën 2025</w:t>
      </w:r>
      <w:r w:rsidR="00EB718C">
        <w:rPr>
          <w:rFonts w:ascii="Garamond" w:hAnsi="Garamond"/>
          <w:sz w:val="24"/>
          <w:szCs w:val="24"/>
          <w:lang w:val="sq-AL"/>
        </w:rPr>
        <w:t>–</w:t>
      </w:r>
      <w:r w:rsidRPr="00EB718C">
        <w:rPr>
          <w:rFonts w:ascii="Garamond" w:hAnsi="Garamond"/>
          <w:sz w:val="24"/>
          <w:szCs w:val="24"/>
          <w:lang w:val="sq-AL"/>
        </w:rPr>
        <w:t xml:space="preserve">2027, </w:t>
      </w:r>
      <w:r w:rsidRPr="00EB718C">
        <w:rPr>
          <w:rFonts w:ascii="Garamond" w:hAnsi="Garamond" w:cs="Times New Roman"/>
          <w:sz w:val="24"/>
          <w:szCs w:val="24"/>
          <w:lang w:val="sq-AL"/>
        </w:rPr>
        <w:t xml:space="preserve">i janë referuar çmimeve të publikuara për secilën periudhë respektive në HUDEX, i cili bë kushtet ku Bursa Shqiptare e Energjisë nuk ofron ende produkte derivative, konsiderohet si një ndër tregjet më përfaqësuese të rajonit.  </w:t>
      </w:r>
    </w:p>
    <w:p w14:paraId="5BD900EB" w14:textId="402B03A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Vlera e shpenzimeve ndihmëse për periudhën e ardhshme rregullatore është përllogaritur duke u bazuar në koston mesatare të  realizimit për vitet 202 2023, si dhe në koston e pritshme për mbylljen e vitit 2024.</w:t>
      </w:r>
    </w:p>
    <w:p w14:paraId="7385B2DA" w14:textId="6ED5247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Baza e Rregulluar e Aseteve dhe Amortizimi i akumuluar është vlerësuar në të ardhurat e kërkuara sipas kostos historike të deklaruar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</w:p>
    <w:p w14:paraId="75E89949" w14:textId="140F135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Bordi i ERE-s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</w:t>
      </w:r>
      <w:r w:rsidRPr="00EB718C">
        <w:rPr>
          <w:rFonts w:ascii="Garamond" w:hAnsi="Garamond"/>
          <w:b/>
          <w:bCs/>
        </w:rPr>
        <w:t xml:space="preserve"> </w:t>
      </w:r>
      <w:r w:rsidR="00EB718C">
        <w:rPr>
          <w:rFonts w:ascii="Garamond" w:hAnsi="Garamond"/>
        </w:rPr>
        <w:t>v</w:t>
      </w:r>
      <w:r w:rsidRPr="00EB718C">
        <w:rPr>
          <w:rFonts w:ascii="Garamond" w:hAnsi="Garamond"/>
        </w:rPr>
        <w:t xml:space="preserve">endimin nr. 247, datë 18.11.2024, vendosi fillimin e procedurës për shqyrtimin e planit të investimeve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për periudhën rregullatore 2025–2027. Në rrethanat, ku procedura për miratimin e </w:t>
      </w:r>
      <w:r w:rsidRPr="00EB718C">
        <w:rPr>
          <w:rFonts w:ascii="Garamond" w:hAnsi="Garamond"/>
          <w:iCs/>
        </w:rPr>
        <w:t>“Planit të investimeve për periudhën rregullatore 2025–2027</w:t>
      </w:r>
      <w:r w:rsidRPr="00EB718C">
        <w:rPr>
          <w:rFonts w:ascii="Garamond" w:hAnsi="Garamond"/>
        </w:rPr>
        <w:t>” gjendet ende në proces, u konsiderua se investimet të cilat mund të pranohen në bazën e rregulluar të aseteve për periudhën 2025</w:t>
      </w:r>
      <w:r w:rsidR="00EB718C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 të ishin vlerat  e paraqitura në dokumentin e sipërcituar, për të cilin ERE pritet të dalë me një vendim.</w:t>
      </w:r>
    </w:p>
    <w:p w14:paraId="72217232" w14:textId="67F026F0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Në zbatim të nenit 7, pika 4.2.6. të “Metodologjisë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për përcaktimin e tarifave të transmetimit”, në rast se “</w:t>
      </w:r>
      <w:r w:rsidRPr="00EB718C">
        <w:rPr>
          <w:rFonts w:ascii="Garamond" w:hAnsi="Garamond"/>
          <w:iCs/>
        </w:rPr>
        <w:t>Plani i investimeve për periudhën rregullatore 2025–2027</w:t>
      </w:r>
      <w:r w:rsidRPr="00EB718C">
        <w:rPr>
          <w:rFonts w:ascii="Garamond" w:hAnsi="Garamond"/>
        </w:rPr>
        <w:t>”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i miratuar nga ERE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do të ketë ndryshime nga sa propozuar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sh.a,  ERE do të konsiderojë rishikimin e CAPEX</w:t>
      </w:r>
      <w:r w:rsidR="00EB718C">
        <w:rPr>
          <w:rFonts w:ascii="Garamond" w:hAnsi="Garamond"/>
        </w:rPr>
        <w:t>-it</w:t>
      </w:r>
      <w:r w:rsidRPr="00EB718C">
        <w:rPr>
          <w:rFonts w:ascii="Garamond" w:hAnsi="Garamond"/>
        </w:rPr>
        <w:t xml:space="preserve"> lidhur </w:t>
      </w:r>
      <w:r w:rsidRPr="00AF3224">
        <w:rPr>
          <w:rFonts w:ascii="Garamond" w:hAnsi="Garamond"/>
        </w:rPr>
        <w:t>me inve</w:t>
      </w:r>
      <w:r w:rsidR="00EB718C" w:rsidRPr="00AF3224">
        <w:rPr>
          <w:rFonts w:ascii="Garamond" w:hAnsi="Garamond"/>
        </w:rPr>
        <w:t>s</w:t>
      </w:r>
      <w:r w:rsidRPr="00AF3224">
        <w:rPr>
          <w:rFonts w:ascii="Garamond" w:hAnsi="Garamond"/>
        </w:rPr>
        <w:t>timet që</w:t>
      </w:r>
      <w:r w:rsidRPr="00EB718C">
        <w:rPr>
          <w:rFonts w:ascii="Garamond" w:hAnsi="Garamond"/>
        </w:rPr>
        <w:t xml:space="preserve"> priten të realizohen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</w:t>
      </w:r>
      <w:r w:rsidR="00EB718C">
        <w:rPr>
          <w:rFonts w:ascii="Garamond" w:hAnsi="Garamond"/>
        </w:rPr>
        <w:t>.</w:t>
      </w:r>
      <w:r w:rsidRPr="00EB718C">
        <w:rPr>
          <w:rFonts w:ascii="Garamond" w:hAnsi="Garamond"/>
        </w:rPr>
        <w:t>, në periudhën pasardhëse.</w:t>
      </w:r>
    </w:p>
    <w:p w14:paraId="55A7C72C" w14:textId="0D719949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Kosto mesatare e ponderuar e kapitalit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për periudhën 2025–2027 është përllogaritur në nivelin 2.46%.</w:t>
      </w:r>
    </w:p>
    <w:p w14:paraId="6E913AD4" w14:textId="154258DF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Nga shqyrtimi i të dhënave të aplikimit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pasqyrave financiare të shoqërisë, u konstatua se gjatë periudhës 2022–2023, si dhe tetëmujorit të mbyllur të vitit 2024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realizuar të ardhura nga tregu i balancimit.</w:t>
      </w:r>
    </w:p>
    <w:p w14:paraId="68A3E83C" w14:textId="144AA0A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Shoqëria ka deklaruar në </w:t>
      </w:r>
      <w:r w:rsidR="00EB718C" w:rsidRPr="00EB718C">
        <w:rPr>
          <w:rFonts w:ascii="Garamond" w:hAnsi="Garamond"/>
        </w:rPr>
        <w:t>korrespondencat</w:t>
      </w:r>
      <w:r w:rsidRPr="00EB718C">
        <w:rPr>
          <w:rFonts w:ascii="Garamond" w:hAnsi="Garamond"/>
        </w:rPr>
        <w:t xml:space="preserve"> e saj gjatë procesit të shqyrtimit të aplikimit se: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  <w:iCs/>
        </w:rPr>
        <w:t xml:space="preserve">Bazuar në Rregullat e Tregut Shqiptar të Balancimit, </w:t>
      </w:r>
      <w:r w:rsidR="00EB718C">
        <w:rPr>
          <w:rFonts w:ascii="Garamond" w:hAnsi="Garamond"/>
          <w:iCs/>
        </w:rPr>
        <w:t>n</w:t>
      </w:r>
      <w:r w:rsidRPr="00EB718C">
        <w:rPr>
          <w:rFonts w:ascii="Garamond" w:hAnsi="Garamond"/>
          <w:iCs/>
        </w:rPr>
        <w:t>eni 12.3</w:t>
      </w:r>
      <w:r w:rsidR="00EB718C">
        <w:rPr>
          <w:rFonts w:ascii="Garamond" w:hAnsi="Garamond"/>
          <w:iCs/>
        </w:rPr>
        <w:t>,</w:t>
      </w:r>
      <w:r w:rsidRPr="00EB718C">
        <w:rPr>
          <w:rFonts w:ascii="Garamond" w:hAnsi="Garamond"/>
          <w:iCs/>
        </w:rPr>
        <w:t xml:space="preserve"> përkatësisht pika 3.5</w:t>
      </w:r>
      <w:r w:rsidR="00EB718C">
        <w:rPr>
          <w:rFonts w:ascii="Garamond" w:hAnsi="Garamond"/>
          <w:iCs/>
        </w:rPr>
        <w:t>,</w:t>
      </w:r>
      <w:r w:rsidRPr="00EB718C">
        <w:rPr>
          <w:rFonts w:ascii="Garamond" w:hAnsi="Garamond"/>
          <w:iCs/>
        </w:rPr>
        <w:t xml:space="preserve"> “</w:t>
      </w:r>
      <w:r w:rsidR="00EB718C" w:rsidRPr="00EB718C">
        <w:rPr>
          <w:rFonts w:ascii="Garamond" w:hAnsi="Garamond"/>
          <w:iCs/>
        </w:rPr>
        <w:t>Komponent</w:t>
      </w:r>
      <w:r w:rsidR="00EB718C">
        <w:rPr>
          <w:rFonts w:ascii="Garamond" w:hAnsi="Garamond"/>
          <w:iCs/>
        </w:rPr>
        <w:t>i</w:t>
      </w:r>
      <w:r w:rsidRPr="00EB718C">
        <w:rPr>
          <w:rFonts w:ascii="Garamond" w:hAnsi="Garamond"/>
          <w:iCs/>
        </w:rPr>
        <w:t xml:space="preserve"> </w:t>
      </w:r>
      <w:r w:rsidR="00EB718C" w:rsidRPr="00EB718C">
        <w:rPr>
          <w:rFonts w:ascii="Garamond" w:hAnsi="Garamond"/>
          <w:iCs/>
        </w:rPr>
        <w:t>Nxitës</w:t>
      </w:r>
      <w:r w:rsidRPr="00EB718C">
        <w:rPr>
          <w:rFonts w:ascii="Garamond" w:hAnsi="Garamond"/>
          <w:iCs/>
        </w:rPr>
        <w:t xml:space="preserve">”, parashikohet korrektimit i </w:t>
      </w:r>
      <w:r w:rsidR="00EB718C" w:rsidRPr="00EB718C">
        <w:rPr>
          <w:rFonts w:ascii="Garamond" w:hAnsi="Garamond"/>
          <w:iCs/>
        </w:rPr>
        <w:t>çmimeve</w:t>
      </w:r>
      <w:r w:rsidRPr="00EB718C">
        <w:rPr>
          <w:rFonts w:ascii="Garamond" w:hAnsi="Garamond"/>
          <w:iCs/>
        </w:rPr>
        <w:t xml:space="preserve"> të disbalancave nëpërmjet një komponent</w:t>
      </w:r>
      <w:r w:rsidR="00EB718C">
        <w:rPr>
          <w:rFonts w:ascii="Garamond" w:hAnsi="Garamond"/>
          <w:iCs/>
        </w:rPr>
        <w:t>i</w:t>
      </w:r>
      <w:r w:rsidRPr="00EB718C">
        <w:rPr>
          <w:rFonts w:ascii="Garamond" w:hAnsi="Garamond"/>
          <w:iCs/>
        </w:rPr>
        <w:t xml:space="preserve"> nxitës, për të cilën </w:t>
      </w:r>
      <w:r w:rsidR="00EB718C">
        <w:rPr>
          <w:rFonts w:ascii="Garamond" w:hAnsi="Garamond"/>
          <w:iCs/>
        </w:rPr>
        <w:t>“</w:t>
      </w:r>
      <w:r w:rsidRPr="00EB718C">
        <w:rPr>
          <w:rFonts w:ascii="Garamond" w:hAnsi="Garamond"/>
          <w:iCs/>
        </w:rPr>
        <w:t>OST</w:t>
      </w:r>
      <w:r w:rsidR="00EB718C">
        <w:rPr>
          <w:rFonts w:ascii="Garamond" w:hAnsi="Garamond"/>
          <w:iCs/>
        </w:rPr>
        <w:t>”</w:t>
      </w:r>
      <w:r w:rsidRPr="00EB718C">
        <w:rPr>
          <w:rFonts w:ascii="Garamond" w:hAnsi="Garamond"/>
          <w:iCs/>
        </w:rPr>
        <w:t xml:space="preserve"> ka hartuar një procedur</w:t>
      </w:r>
      <w:r w:rsidR="00EB718C">
        <w:rPr>
          <w:rFonts w:ascii="Garamond" w:hAnsi="Garamond"/>
          <w:iCs/>
        </w:rPr>
        <w:t>ë</w:t>
      </w:r>
      <w:r w:rsidRPr="00EB718C">
        <w:rPr>
          <w:rFonts w:ascii="Garamond" w:hAnsi="Garamond"/>
          <w:iCs/>
        </w:rPr>
        <w:t xml:space="preserve"> dhe ju është bërë me dije palëve që operojnë tregun</w:t>
      </w:r>
      <w:r w:rsidRPr="00EB718C">
        <w:rPr>
          <w:rFonts w:ascii="Garamond" w:hAnsi="Garamond"/>
        </w:rPr>
        <w:t>...</w:t>
      </w:r>
      <w:r w:rsidR="00BD0DA0">
        <w:rPr>
          <w:rFonts w:ascii="Garamond" w:hAnsi="Garamond"/>
        </w:rPr>
        <w:t>”</w:t>
      </w:r>
      <w:r w:rsidRPr="00EB718C">
        <w:rPr>
          <w:rFonts w:ascii="Garamond" w:hAnsi="Garamond"/>
        </w:rPr>
        <w:t>, procedurë për të cilën duhet të bëjë me dije dhe ERE.</w:t>
      </w:r>
    </w:p>
    <w:p w14:paraId="77E5691C" w14:textId="2EE254AB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="00BD0DA0">
        <w:rPr>
          <w:rFonts w:ascii="Garamond" w:hAnsi="Garamond" w:cs="Symbol"/>
        </w:rPr>
        <w:t>“</w:t>
      </w:r>
      <w:r w:rsidRPr="00EB718C">
        <w:rPr>
          <w:rFonts w:ascii="Garamond" w:hAnsi="Garamond"/>
        </w:rPr>
        <w:t>OST</w:t>
      </w:r>
      <w:r w:rsidR="00BD0DA0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duhet të hartojë dhe zbatojë një mekanizëm për shpërndarjen e këtyre të ardhurave, në mënyrë transparente dhe jodiskriminuese për të gjithë përdoruesit e rrjetit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duhet të korrektojë </w:t>
      </w:r>
      <w:r w:rsidR="00BD0DA0" w:rsidRPr="00EB718C">
        <w:rPr>
          <w:rFonts w:ascii="Garamond" w:hAnsi="Garamond"/>
        </w:rPr>
        <w:t>komponentin</w:t>
      </w:r>
      <w:r w:rsidRPr="00EB718C">
        <w:rPr>
          <w:rFonts w:ascii="Garamond" w:hAnsi="Garamond"/>
        </w:rPr>
        <w:t xml:space="preserve"> nxitës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 qëllim garantimin e neutralitetin të saj financiar të rregulluar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shërbimet e balancimit në përputhje me Rregullat e Tregut  Shqiptar të Balancimit të Energjisë Elektrike, të miratuara me vendimin </w:t>
      </w:r>
      <w:r w:rsidR="00BD0DA0">
        <w:rPr>
          <w:rFonts w:ascii="Garamond" w:hAnsi="Garamond"/>
        </w:rPr>
        <w:t>n</w:t>
      </w:r>
      <w:r w:rsidRPr="00EB718C">
        <w:rPr>
          <w:rFonts w:ascii="Garamond" w:hAnsi="Garamond"/>
        </w:rPr>
        <w:t>r.</w:t>
      </w:r>
      <w:r w:rsidR="00BD0DA0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106, datë 2.7.2020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të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</w:t>
      </w:r>
      <w:r w:rsidR="00BD0DA0">
        <w:rPr>
          <w:rFonts w:ascii="Garamond" w:hAnsi="Garamond"/>
        </w:rPr>
        <w:t>-s</w:t>
      </w:r>
      <w:r w:rsidRPr="00EB718C">
        <w:rPr>
          <w:rFonts w:ascii="Garamond" w:hAnsi="Garamond"/>
        </w:rPr>
        <w:t>, dhe të bëjë me dije ERE-n mbi masat e marra për zbatimin</w:t>
      </w:r>
      <w:r w:rsidR="00BD0DA0">
        <w:rPr>
          <w:rFonts w:ascii="Garamond" w:hAnsi="Garamond"/>
        </w:rPr>
        <w:t xml:space="preserve"> e</w:t>
      </w:r>
      <w:r w:rsidRPr="00EB718C">
        <w:rPr>
          <w:rFonts w:ascii="Garamond" w:hAnsi="Garamond"/>
        </w:rPr>
        <w:t xml:space="preserve"> dispozitave të legjislacionit në fuqi.</w:t>
      </w:r>
    </w:p>
    <w:p w14:paraId="36FE50EE" w14:textId="42776F62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Të ardhurat e realizuara në periudhën 2022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2024 nga alokimi i kapaciteteve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ato të parashikuara për periudhën 2025–2027, sipas vlerësimeve të ERE-s, janë konsideruar si të zbritshme </w:t>
      </w:r>
      <w:r w:rsidR="00BD0DA0">
        <w:rPr>
          <w:rFonts w:ascii="Garamond" w:hAnsi="Garamond"/>
        </w:rPr>
        <w:t>n</w:t>
      </w:r>
      <w:r w:rsidRPr="00EB718C">
        <w:rPr>
          <w:rFonts w:ascii="Garamond" w:hAnsi="Garamond"/>
        </w:rPr>
        <w:t>ga të ardhurat e kërkuara.</w:t>
      </w:r>
    </w:p>
    <w:p w14:paraId="4F045486" w14:textId="2572170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Tarifat e transmetimit të energjisë elektrike për çdo vit të periudhës rregullatore 2025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 rezultojnë: a) 0.82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2025; b) 0.86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2026; c) 0.88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2027.</w:t>
      </w:r>
    </w:p>
    <w:p w14:paraId="40653A8B" w14:textId="10B4B7E3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Nga sa më sipër, tarifa e transmetimit për periudhën rregullatore 2025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2027, rezulton 0.85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h.</w:t>
      </w:r>
    </w:p>
    <w:p w14:paraId="05FB05FD" w14:textId="5F45111C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ERE do të rishikojë të ardhurat e kërkuara përgjatë periudhës rregullatore, në përputhje me përcaktimet </w:t>
      </w:r>
      <w:r w:rsidR="00BD0DA0">
        <w:rPr>
          <w:rFonts w:ascii="Garamond" w:hAnsi="Garamond"/>
        </w:rPr>
        <w:t xml:space="preserve">e </w:t>
      </w:r>
      <w:r w:rsidRPr="00EB718C">
        <w:rPr>
          <w:rFonts w:ascii="Garamond" w:hAnsi="Garamond"/>
        </w:rPr>
        <w:t>“</w:t>
      </w:r>
      <w:r w:rsidRPr="00BD0DA0">
        <w:rPr>
          <w:rFonts w:ascii="Garamond" w:hAnsi="Garamond"/>
          <w:iCs/>
        </w:rPr>
        <w:t>Metodologjisë së llogaritjes së tarifave të transmetimit të energjisë elektrike</w:t>
      </w:r>
      <w:r w:rsidR="00BD0DA0">
        <w:rPr>
          <w:rFonts w:ascii="Garamond" w:hAnsi="Garamond"/>
          <w:iCs/>
        </w:rPr>
        <w:t>”</w:t>
      </w:r>
      <w:r w:rsidRPr="00EB718C">
        <w:rPr>
          <w:rFonts w:ascii="Garamond" w:hAnsi="Garamond"/>
        </w:rPr>
        <w:t xml:space="preserve">, miratuar me vendimin e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ERE-s nr. 180, datë 8.11.2017. </w:t>
      </w:r>
    </w:p>
    <w:p w14:paraId="51FD389E" w14:textId="34EF2904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 xml:space="preserve">Për gjithë sa më sipër, </w:t>
      </w:r>
      <w:r w:rsidR="00BD0DA0" w:rsidRPr="00EB718C">
        <w:rPr>
          <w:rFonts w:ascii="Garamond" w:hAnsi="Garamond"/>
        </w:rPr>
        <w:t xml:space="preserve">Bordi </w:t>
      </w:r>
      <w:r w:rsidRPr="00EB718C">
        <w:rPr>
          <w:rFonts w:ascii="Garamond" w:hAnsi="Garamond"/>
        </w:rPr>
        <w:t>i ERE-s</w:t>
      </w:r>
    </w:p>
    <w:p w14:paraId="7A71DEDC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4804549C" w14:textId="02C3D9CB" w:rsidR="002E514B" w:rsidRPr="00EB718C" w:rsidRDefault="002E514B" w:rsidP="002E514B">
      <w:pPr>
        <w:tabs>
          <w:tab w:val="center" w:pos="4680"/>
        </w:tabs>
        <w:ind w:firstLine="284"/>
        <w:jc w:val="center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>VENDOSI:</w:t>
      </w:r>
    </w:p>
    <w:p w14:paraId="692ECD32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4382DFEA" w14:textId="064DE6B5" w:rsidR="002E514B" w:rsidRPr="00EB718C" w:rsidRDefault="002E514B" w:rsidP="002E514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B718C">
        <w:rPr>
          <w:rFonts w:ascii="Garamond" w:hAnsi="Garamond"/>
          <w:lang w:val="sq-AL"/>
        </w:rPr>
        <w:t xml:space="preserve">1. Miratimin e tarifës së shërbimit të transmetimit të energjisë elektrike për periudhën rregullatore 1 </w:t>
      </w:r>
      <w:r w:rsidR="00BD0DA0">
        <w:rPr>
          <w:rFonts w:ascii="Garamond" w:hAnsi="Garamond"/>
          <w:lang w:val="sq-AL"/>
        </w:rPr>
        <w:t>j</w:t>
      </w:r>
      <w:r w:rsidRPr="00EB718C">
        <w:rPr>
          <w:rFonts w:ascii="Garamond" w:hAnsi="Garamond"/>
          <w:lang w:val="sq-AL"/>
        </w:rPr>
        <w:t xml:space="preserve">anar 2025–31 </w:t>
      </w:r>
      <w:r w:rsidR="00BD0DA0">
        <w:rPr>
          <w:rFonts w:ascii="Garamond" w:hAnsi="Garamond"/>
          <w:lang w:val="sq-AL"/>
        </w:rPr>
        <w:t>d</w:t>
      </w:r>
      <w:r w:rsidRPr="00EB718C">
        <w:rPr>
          <w:rFonts w:ascii="Garamond" w:hAnsi="Garamond"/>
          <w:lang w:val="sq-AL"/>
        </w:rPr>
        <w:t>hjetor 2027, prej 0.85 lekë/k</w:t>
      </w:r>
      <w:r w:rsidR="00BD0DA0">
        <w:rPr>
          <w:rFonts w:ascii="Garamond" w:hAnsi="Garamond"/>
          <w:lang w:val="sq-AL"/>
        </w:rPr>
        <w:t>w</w:t>
      </w:r>
      <w:r w:rsidRPr="00EB718C">
        <w:rPr>
          <w:rFonts w:ascii="Garamond" w:hAnsi="Garamond"/>
          <w:lang w:val="sq-AL"/>
        </w:rPr>
        <w:t xml:space="preserve">h. </w:t>
      </w:r>
      <w:bookmarkStart w:id="0" w:name="_GoBack"/>
      <w:bookmarkEnd w:id="0"/>
    </w:p>
    <w:p w14:paraId="1953B3E7" w14:textId="6E303722" w:rsidR="002E514B" w:rsidRPr="00EB718C" w:rsidRDefault="002E514B" w:rsidP="002E514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B718C">
        <w:rPr>
          <w:rFonts w:ascii="Garamond" w:hAnsi="Garamond"/>
          <w:lang w:val="sq-AL"/>
        </w:rPr>
        <w:t xml:space="preserve">2. </w:t>
      </w:r>
      <w:r w:rsidRPr="00EB718C">
        <w:rPr>
          <w:rFonts w:ascii="Garamond" w:hAnsi="Garamond"/>
          <w:spacing w:val="-4"/>
          <w:lang w:val="sq-AL"/>
        </w:rPr>
        <w:t xml:space="preserve">Drejtoria e Tarifave dhe Çmimeve të njoftojë palët e interesuara për </w:t>
      </w:r>
      <w:r w:rsidR="00BD0DA0">
        <w:rPr>
          <w:rFonts w:ascii="Garamond" w:hAnsi="Garamond"/>
          <w:spacing w:val="-4"/>
          <w:lang w:val="sq-AL"/>
        </w:rPr>
        <w:t>v</w:t>
      </w:r>
      <w:r w:rsidRPr="00EB718C">
        <w:rPr>
          <w:rFonts w:ascii="Garamond" w:hAnsi="Garamond"/>
          <w:spacing w:val="-4"/>
          <w:lang w:val="sq-AL"/>
        </w:rPr>
        <w:t xml:space="preserve">endimin e </w:t>
      </w:r>
      <w:r w:rsidR="00BD0DA0">
        <w:rPr>
          <w:rFonts w:ascii="Garamond" w:hAnsi="Garamond"/>
          <w:spacing w:val="-4"/>
          <w:lang w:val="sq-AL"/>
        </w:rPr>
        <w:t>b</w:t>
      </w:r>
      <w:r w:rsidRPr="00EB718C">
        <w:rPr>
          <w:rFonts w:ascii="Garamond" w:hAnsi="Garamond"/>
          <w:spacing w:val="-4"/>
          <w:lang w:val="sq-AL"/>
        </w:rPr>
        <w:t>ordit të ERE-s.</w:t>
      </w:r>
    </w:p>
    <w:p w14:paraId="79836EE9" w14:textId="77777777" w:rsidR="002E514B" w:rsidRPr="00EB718C" w:rsidRDefault="002E514B" w:rsidP="002E514B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EB718C">
        <w:rPr>
          <w:rFonts w:ascii="Garamond" w:hAnsi="Garamond"/>
          <w:lang w:val="sq-AL"/>
        </w:rPr>
        <w:t>Ky vendim hyn në fuqi menjëherë.</w:t>
      </w:r>
    </w:p>
    <w:p w14:paraId="1C81C218" w14:textId="052F7223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 w:cs="Segoe UI"/>
        </w:rPr>
        <w:t>Çdo palë e përfshirë në këtë procedurë mund t’i kërkojë ERE-s,</w:t>
      </w:r>
      <w:r w:rsidRPr="00EB718C">
        <w:rPr>
          <w:rFonts w:ascii="Garamond" w:hAnsi="Garamond"/>
        </w:rPr>
        <w:t xml:space="preserve"> brenda 7 ditëve kalendarike nga data e marrjes së vendimit, rishikimin e vendimit të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në rast se ka siguruar prova të reja që mund ta çojnë </w:t>
      </w:r>
      <w:r w:rsidR="00BD0DA0" w:rsidRPr="00EB718C">
        <w:rPr>
          <w:rFonts w:ascii="Garamond" w:hAnsi="Garamond"/>
        </w:rPr>
        <w:t xml:space="preserve">Bordin </w:t>
      </w:r>
      <w:r w:rsidRPr="00EB718C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D48BE70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>Ky vendim botohet në Fletoren Zyrtare.</w:t>
      </w:r>
    </w:p>
    <w:p w14:paraId="12874FDC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</w:p>
    <w:p w14:paraId="32C6E181" w14:textId="221D12BD" w:rsidR="002E514B" w:rsidRPr="00EB718C" w:rsidRDefault="002E514B" w:rsidP="002E514B">
      <w:pPr>
        <w:ind w:firstLine="284"/>
        <w:jc w:val="right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 xml:space="preserve">KRYETAR </w:t>
      </w:r>
    </w:p>
    <w:p w14:paraId="12C5DBD3" w14:textId="472E9B77" w:rsidR="002E514B" w:rsidRPr="00EB718C" w:rsidRDefault="002E514B" w:rsidP="002E514B">
      <w:pPr>
        <w:ind w:firstLine="284"/>
        <w:jc w:val="right"/>
        <w:rPr>
          <w:rFonts w:ascii="Garamond" w:hAnsi="Garamond"/>
          <w:b/>
          <w:bCs/>
        </w:rPr>
      </w:pPr>
      <w:r w:rsidRPr="00EB718C">
        <w:rPr>
          <w:rFonts w:ascii="Garamond" w:hAnsi="Garamond"/>
          <w:b/>
          <w:bCs/>
        </w:rPr>
        <w:t>Petrit Ahmeti</w:t>
      </w:r>
    </w:p>
    <w:p w14:paraId="4B8EDC7B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7B766D69" w14:textId="043E5702" w:rsidR="00F4440E" w:rsidRPr="00EB718C" w:rsidRDefault="00F4440E" w:rsidP="002E514B">
      <w:pPr>
        <w:ind w:firstLine="284"/>
        <w:rPr>
          <w:rFonts w:ascii="Garamond" w:eastAsia="Batang" w:hAnsi="Garamond"/>
        </w:rPr>
      </w:pPr>
    </w:p>
    <w:sectPr w:rsidR="00F4440E" w:rsidRPr="00EB718C" w:rsidSect="004E5828">
      <w:footerReference w:type="default" r:id="rId24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217B7" w14:textId="77777777" w:rsidR="00B90822" w:rsidRDefault="00B90822">
      <w:r>
        <w:separator/>
      </w:r>
    </w:p>
  </w:endnote>
  <w:endnote w:type="continuationSeparator" w:id="0">
    <w:p w14:paraId="2AD6592F" w14:textId="77777777" w:rsidR="00B90822" w:rsidRDefault="00B90822">
      <w:r>
        <w:continuationSeparator/>
      </w:r>
    </w:p>
  </w:endnote>
  <w:endnote w:type="continuationNotice" w:id="1">
    <w:p w14:paraId="29772EE7" w14:textId="77777777" w:rsidR="00B90822" w:rsidRDefault="00B908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B6BE" w14:textId="70C7FBAF" w:rsidR="00B90822" w:rsidRDefault="00B90822">
    <w:pPr>
      <w:pStyle w:val="Footer"/>
      <w:jc w:val="center"/>
      <w:rPr>
        <w:sz w:val="20"/>
        <w:szCs w:val="20"/>
      </w:rPr>
    </w:pPr>
  </w:p>
  <w:p w14:paraId="2F118817" w14:textId="77777777" w:rsidR="00B90822" w:rsidRDefault="00B90822">
    <w:pPr>
      <w:pStyle w:val="Footer"/>
    </w:pPr>
  </w:p>
  <w:p w14:paraId="4E9EB7DE" w14:textId="77777777" w:rsidR="00B90822" w:rsidRDefault="00B90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27A87" w14:textId="77777777" w:rsidR="00B90822" w:rsidRDefault="00B90822">
      <w:r>
        <w:separator/>
      </w:r>
    </w:p>
  </w:footnote>
  <w:footnote w:type="continuationSeparator" w:id="0">
    <w:p w14:paraId="64374CFB" w14:textId="77777777" w:rsidR="00B90822" w:rsidRDefault="00B90822">
      <w:r>
        <w:continuationSeparator/>
      </w:r>
    </w:p>
  </w:footnote>
  <w:footnote w:type="continuationNotice" w:id="1">
    <w:p w14:paraId="322EAC5C" w14:textId="77777777" w:rsidR="00B90822" w:rsidRDefault="00B908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231C2703"/>
    <w:multiLevelType w:val="hybridMultilevel"/>
    <w:tmpl w:val="A3D0E8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6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11A1C"/>
    <w:multiLevelType w:val="hybridMultilevel"/>
    <w:tmpl w:val="C0E6D3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9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2"/>
  </w:num>
  <w:num w:numId="38">
    <w:abstractNumId w:val="37"/>
  </w:num>
  <w:num w:numId="39">
    <w:abstractNumId w:val="36"/>
  </w:num>
  <w:num w:numId="40">
    <w:abstractNumId w:val="40"/>
  </w:num>
  <w:num w:numId="41">
    <w:abstractNumId w:val="38"/>
  </w:num>
  <w:num w:numId="42">
    <w:abstractNumId w:val="41"/>
  </w:num>
  <w:num w:numId="43">
    <w:abstractNumId w:val="35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06202"/>
    <w:rsid w:val="00047F20"/>
    <w:rsid w:val="00071527"/>
    <w:rsid w:val="00076FB4"/>
    <w:rsid w:val="000D67EF"/>
    <w:rsid w:val="0010084D"/>
    <w:rsid w:val="0011321D"/>
    <w:rsid w:val="0014106A"/>
    <w:rsid w:val="0018005B"/>
    <w:rsid w:val="001C202D"/>
    <w:rsid w:val="001E7D6B"/>
    <w:rsid w:val="001F3591"/>
    <w:rsid w:val="00201141"/>
    <w:rsid w:val="00210A76"/>
    <w:rsid w:val="002135DC"/>
    <w:rsid w:val="0022267F"/>
    <w:rsid w:val="00246B84"/>
    <w:rsid w:val="00264E4C"/>
    <w:rsid w:val="0029240B"/>
    <w:rsid w:val="002A6B38"/>
    <w:rsid w:val="002E514B"/>
    <w:rsid w:val="00381D65"/>
    <w:rsid w:val="003E2922"/>
    <w:rsid w:val="003F1BA9"/>
    <w:rsid w:val="003F6714"/>
    <w:rsid w:val="0041055B"/>
    <w:rsid w:val="00422D13"/>
    <w:rsid w:val="0043186A"/>
    <w:rsid w:val="00442AE6"/>
    <w:rsid w:val="004437C7"/>
    <w:rsid w:val="00446011"/>
    <w:rsid w:val="004D580C"/>
    <w:rsid w:val="004E5828"/>
    <w:rsid w:val="0053592C"/>
    <w:rsid w:val="0055729F"/>
    <w:rsid w:val="00575426"/>
    <w:rsid w:val="00581735"/>
    <w:rsid w:val="00586B0D"/>
    <w:rsid w:val="005B23D3"/>
    <w:rsid w:val="005B5A4F"/>
    <w:rsid w:val="005C4D40"/>
    <w:rsid w:val="005D5D7E"/>
    <w:rsid w:val="005E3367"/>
    <w:rsid w:val="005E5B1B"/>
    <w:rsid w:val="005F16BD"/>
    <w:rsid w:val="006018DD"/>
    <w:rsid w:val="00610C70"/>
    <w:rsid w:val="0061233F"/>
    <w:rsid w:val="00622888"/>
    <w:rsid w:val="00632C5F"/>
    <w:rsid w:val="0064775C"/>
    <w:rsid w:val="0065232F"/>
    <w:rsid w:val="006869EB"/>
    <w:rsid w:val="00690A46"/>
    <w:rsid w:val="006951AE"/>
    <w:rsid w:val="006965E7"/>
    <w:rsid w:val="006C7AC7"/>
    <w:rsid w:val="006D12A3"/>
    <w:rsid w:val="006F04D5"/>
    <w:rsid w:val="006F5DEC"/>
    <w:rsid w:val="00705FDE"/>
    <w:rsid w:val="0070627E"/>
    <w:rsid w:val="00722700"/>
    <w:rsid w:val="00731C89"/>
    <w:rsid w:val="00733109"/>
    <w:rsid w:val="007420CD"/>
    <w:rsid w:val="007467D0"/>
    <w:rsid w:val="00771E6A"/>
    <w:rsid w:val="008106D0"/>
    <w:rsid w:val="008223A7"/>
    <w:rsid w:val="00884CF6"/>
    <w:rsid w:val="0089368A"/>
    <w:rsid w:val="008A6150"/>
    <w:rsid w:val="008A7FC8"/>
    <w:rsid w:val="008D3B59"/>
    <w:rsid w:val="008E343C"/>
    <w:rsid w:val="008F7E2B"/>
    <w:rsid w:val="009135A3"/>
    <w:rsid w:val="00940D02"/>
    <w:rsid w:val="00947C08"/>
    <w:rsid w:val="009A1AF7"/>
    <w:rsid w:val="009B31C0"/>
    <w:rsid w:val="009B7DE8"/>
    <w:rsid w:val="009C17EE"/>
    <w:rsid w:val="009D232B"/>
    <w:rsid w:val="009E262F"/>
    <w:rsid w:val="009E2A26"/>
    <w:rsid w:val="00A04A9C"/>
    <w:rsid w:val="00A35FCD"/>
    <w:rsid w:val="00A755DD"/>
    <w:rsid w:val="00A96B01"/>
    <w:rsid w:val="00AE00D2"/>
    <w:rsid w:val="00AF3224"/>
    <w:rsid w:val="00B141B9"/>
    <w:rsid w:val="00B15485"/>
    <w:rsid w:val="00B173B9"/>
    <w:rsid w:val="00B31F3A"/>
    <w:rsid w:val="00B5129F"/>
    <w:rsid w:val="00B61F5A"/>
    <w:rsid w:val="00B90822"/>
    <w:rsid w:val="00B94F5F"/>
    <w:rsid w:val="00BB00A8"/>
    <w:rsid w:val="00BB38E2"/>
    <w:rsid w:val="00BD0DA0"/>
    <w:rsid w:val="00BE4E0D"/>
    <w:rsid w:val="00BF14FB"/>
    <w:rsid w:val="00BF4FBE"/>
    <w:rsid w:val="00C0194B"/>
    <w:rsid w:val="00C06B3F"/>
    <w:rsid w:val="00C15E5E"/>
    <w:rsid w:val="00C45935"/>
    <w:rsid w:val="00CA67C8"/>
    <w:rsid w:val="00D01D32"/>
    <w:rsid w:val="00D10BAE"/>
    <w:rsid w:val="00D40601"/>
    <w:rsid w:val="00D52502"/>
    <w:rsid w:val="00D61AD7"/>
    <w:rsid w:val="00D92AD4"/>
    <w:rsid w:val="00DE63A7"/>
    <w:rsid w:val="00E01DE5"/>
    <w:rsid w:val="00E25F99"/>
    <w:rsid w:val="00E33BEB"/>
    <w:rsid w:val="00E55B15"/>
    <w:rsid w:val="00E5726E"/>
    <w:rsid w:val="00E95CB7"/>
    <w:rsid w:val="00EA05F2"/>
    <w:rsid w:val="00EB718C"/>
    <w:rsid w:val="00EC4312"/>
    <w:rsid w:val="00F01E7C"/>
    <w:rsid w:val="00F35860"/>
    <w:rsid w:val="00F4440E"/>
    <w:rsid w:val="00F82687"/>
    <w:rsid w:val="00FA431D"/>
    <w:rsid w:val="00FF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EC299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E2A26"/>
    <w:rPr>
      <w:rFonts w:ascii="Calibri" w:eastAsiaTheme="minorHAnsi" w:hAnsi="Calibri" w:cstheme="minorBid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E2A26"/>
    <w:rPr>
      <w:rFonts w:eastAsiaTheme="minorHAnsi" w:cstheme="minorBid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2024-12-30T14:21:38Z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Miratimin e tarifës së transmetimit të energjisë elektrike për periudhën 2025-2027</Titulli>
    <Modifikuesi xmlns="0e656187-b300-4fb0-8bf4-3a50f872073c">Fjora.Cahani</Modifikuesi>
    <Nr_x002e__x0020_prot_x0020_QBZ xmlns="0e656187-b300-4fb0-8bf4-3a50f872073c">2254/1</Nr_x002e__x0020_prot_x0020_QBZ>
    <Data_x0020_e_x0020_Modifikimit xmlns="0e656187-b300-4fb0-8bf4-3a50f872073c">2024-12-30T15:07:07Z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2647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90B0100B43FFB44E37870D8AD7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90B0100B43FFB44E37870D8AD7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B9D25EE-F13F-4325-B3CD-450384E2785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ADC971F-F545-4BF9-8258-C8C5F6C1DA09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6E6A84DF-EDA0-4730-864D-33B647EC3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4D6A794-5F8D-4797-8FA6-56BAD8BCA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ABEEDAFE-DF8E-4335-BA13-2FD9BACAFC74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E9B8FF49-7042-4330-B0C6-36D5161E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tarifës së transmetimit të energjisë elektrike për periudhën 2025-2027</vt:lpstr>
    </vt:vector>
  </TitlesOfParts>
  <Company>Hewlett-Packard Company</Company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tarifës së transmetimit të energjisë elektrike për periudhën 2025-2027</dc:title>
  <dc:creator>DJZM</dc:creator>
  <cp:lastModifiedBy>Amarilda Muja</cp:lastModifiedBy>
  <cp:revision>7</cp:revision>
  <cp:lastPrinted>2024-02-20T14:33:00Z</cp:lastPrinted>
  <dcterms:created xsi:type="dcterms:W3CDTF">2024-12-30T12:46:00Z</dcterms:created>
  <dcterms:modified xsi:type="dcterms:W3CDTF">2024-12-30T14:14:00Z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