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customXml/itemProps7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C04BC7F" w14:textId="77777777" w:rsidR="00FD5D1B" w:rsidRPr="00FD5D1B" w:rsidRDefault="00FD5D1B" w:rsidP="00FD5D1B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/>
          <w:b/>
          <w:bCs/>
          <w:color w:val="000000"/>
          <w:sz w:val="24"/>
          <w:szCs w:val="24"/>
        </w:rPr>
      </w:pPr>
      <w:r w:rsidRPr="00FD5D1B">
        <w:rPr>
          <w:rFonts w:ascii="Garamond" w:hAnsi="Garamond"/>
          <w:b/>
          <w:bCs/>
          <w:color w:val="000000"/>
          <w:sz w:val="24"/>
          <w:szCs w:val="24"/>
        </w:rPr>
        <w:t>VENDIM</w:t>
      </w:r>
    </w:p>
    <w:p w14:paraId="4CC014B9" w14:textId="7B76A076" w:rsidR="00FD5D1B" w:rsidRDefault="00FD5D1B" w:rsidP="00FD5D1B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/>
          <w:b/>
          <w:bCs/>
          <w:color w:val="000000"/>
          <w:sz w:val="24"/>
          <w:szCs w:val="24"/>
        </w:rPr>
      </w:pPr>
      <w:r w:rsidRPr="00FD5D1B">
        <w:rPr>
          <w:rFonts w:ascii="Garamond" w:hAnsi="Garamond"/>
          <w:b/>
          <w:bCs/>
          <w:color w:val="000000"/>
          <w:sz w:val="24"/>
          <w:szCs w:val="24"/>
        </w:rPr>
        <w:t xml:space="preserve">Nr. 6, </w:t>
      </w:r>
      <w:r>
        <w:rPr>
          <w:rFonts w:ascii="Garamond" w:hAnsi="Garamond"/>
          <w:b/>
          <w:bCs/>
          <w:color w:val="000000"/>
          <w:sz w:val="24"/>
          <w:szCs w:val="24"/>
        </w:rPr>
        <w:t>d</w:t>
      </w:r>
      <w:r w:rsidRPr="00FD5D1B">
        <w:rPr>
          <w:rFonts w:ascii="Garamond" w:hAnsi="Garamond"/>
          <w:b/>
          <w:bCs/>
          <w:color w:val="000000"/>
          <w:sz w:val="24"/>
          <w:szCs w:val="24"/>
        </w:rPr>
        <w:t>atë 6.1.2025</w:t>
      </w:r>
    </w:p>
    <w:p w14:paraId="3AEE3606" w14:textId="77777777" w:rsidR="00FD5D1B" w:rsidRPr="00FD5D1B" w:rsidRDefault="00FD5D1B" w:rsidP="00FD5D1B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/>
          <w:b/>
          <w:bCs/>
          <w:color w:val="000000"/>
          <w:sz w:val="24"/>
          <w:szCs w:val="24"/>
        </w:rPr>
      </w:pPr>
    </w:p>
    <w:p w14:paraId="7F7ED302" w14:textId="236CEED0" w:rsidR="00FD5D1B" w:rsidRDefault="00FD5D1B" w:rsidP="00FD5D1B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/>
          <w:b/>
          <w:bCs/>
          <w:color w:val="000000"/>
          <w:sz w:val="24"/>
          <w:szCs w:val="24"/>
        </w:rPr>
      </w:pPr>
      <w:r w:rsidRPr="00FD5D1B">
        <w:rPr>
          <w:rFonts w:ascii="Garamond" w:hAnsi="Garamond"/>
          <w:b/>
          <w:bCs/>
          <w:color w:val="000000"/>
          <w:sz w:val="24"/>
          <w:szCs w:val="24"/>
        </w:rPr>
        <w:t>MBI</w:t>
      </w:r>
      <w:r>
        <w:rPr>
          <w:rFonts w:ascii="Garamond" w:hAnsi="Garamond"/>
          <w:b/>
          <w:bCs/>
          <w:color w:val="000000"/>
          <w:sz w:val="24"/>
          <w:szCs w:val="24"/>
        </w:rPr>
        <w:t xml:space="preserve"> </w:t>
      </w:r>
      <w:r w:rsidRPr="00FD5D1B">
        <w:rPr>
          <w:rFonts w:ascii="Garamond" w:hAnsi="Garamond"/>
          <w:b/>
          <w:bCs/>
          <w:color w:val="000000"/>
          <w:sz w:val="24"/>
          <w:szCs w:val="24"/>
        </w:rPr>
        <w:t xml:space="preserve">FILLIMIN E PROCEDURËS PËR SHQYRTIMIN E KËRKESËS SË SHOQËRISË “VOLTON” SHPK PËR LICENCIM NË VEPRIMTARINË E TREGTIMIT TË ENERGJISË ELEKTRIKE </w:t>
      </w:r>
    </w:p>
    <w:p w14:paraId="42088BC1" w14:textId="77777777" w:rsidR="00FD5D1B" w:rsidRPr="00FD5D1B" w:rsidRDefault="00FD5D1B" w:rsidP="00FD5D1B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/>
          <w:b/>
          <w:bCs/>
          <w:color w:val="000000"/>
          <w:sz w:val="24"/>
          <w:szCs w:val="24"/>
        </w:rPr>
      </w:pPr>
    </w:p>
    <w:p w14:paraId="3F71DD27" w14:textId="507DBFEC" w:rsidR="00FD5D1B" w:rsidRPr="004A4A40" w:rsidRDefault="00FD5D1B" w:rsidP="00FD5D1B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szCs w:val="24"/>
        </w:rPr>
      </w:pPr>
      <w:r w:rsidRPr="004A4A40">
        <w:rPr>
          <w:rFonts w:ascii="Garamond" w:hAnsi="Garamond"/>
          <w:color w:val="000000"/>
          <w:sz w:val="24"/>
          <w:szCs w:val="24"/>
        </w:rPr>
        <w:t xml:space="preserve">Në mbështetje të neneve 16 dhe 37, pika 2, </w:t>
      </w:r>
      <w:r w:rsidR="004A4A40" w:rsidRPr="004A4A40">
        <w:rPr>
          <w:rFonts w:ascii="Garamond" w:hAnsi="Garamond"/>
          <w:color w:val="000000"/>
          <w:sz w:val="24"/>
          <w:szCs w:val="24"/>
        </w:rPr>
        <w:t>germa</w:t>
      </w:r>
      <w:r w:rsidRPr="004A4A40">
        <w:rPr>
          <w:rFonts w:ascii="Garamond" w:hAnsi="Garamond"/>
          <w:color w:val="000000"/>
          <w:sz w:val="24"/>
          <w:szCs w:val="24"/>
        </w:rPr>
        <w:t xml:space="preserve"> “d”, të ligjit nr. 43/2015</w:t>
      </w:r>
      <w:r w:rsidR="004A4A40">
        <w:rPr>
          <w:rFonts w:ascii="Garamond" w:hAnsi="Garamond"/>
          <w:color w:val="000000"/>
          <w:sz w:val="24"/>
          <w:szCs w:val="24"/>
        </w:rPr>
        <w:t>,</w:t>
      </w:r>
      <w:r w:rsidRPr="004A4A40">
        <w:rPr>
          <w:rFonts w:ascii="Garamond" w:hAnsi="Garamond"/>
          <w:color w:val="000000"/>
          <w:sz w:val="24"/>
          <w:szCs w:val="24"/>
        </w:rPr>
        <w:t xml:space="preserve"> </w:t>
      </w:r>
      <w:r w:rsidRPr="004A4A40">
        <w:rPr>
          <w:rFonts w:ascii="Garamond" w:hAnsi="Garamond"/>
          <w:iCs/>
          <w:color w:val="000000"/>
          <w:sz w:val="24"/>
          <w:szCs w:val="24"/>
        </w:rPr>
        <w:t>“Për sektorin e energjisë elektrike”,</w:t>
      </w:r>
      <w:r w:rsidRPr="004A4A40">
        <w:rPr>
          <w:rFonts w:ascii="Garamond" w:hAnsi="Garamond"/>
          <w:color w:val="000000"/>
          <w:sz w:val="24"/>
          <w:szCs w:val="24"/>
        </w:rPr>
        <w:t xml:space="preserve"> </w:t>
      </w:r>
      <w:r w:rsidR="004A4A40" w:rsidRPr="004A4A40">
        <w:rPr>
          <w:rFonts w:ascii="Garamond" w:hAnsi="Garamond"/>
          <w:color w:val="000000"/>
          <w:sz w:val="24"/>
          <w:szCs w:val="24"/>
        </w:rPr>
        <w:t>të</w:t>
      </w:r>
      <w:r w:rsidRPr="004A4A40">
        <w:rPr>
          <w:rFonts w:ascii="Garamond" w:hAnsi="Garamond"/>
          <w:color w:val="000000"/>
          <w:sz w:val="24"/>
          <w:szCs w:val="24"/>
        </w:rPr>
        <w:t xml:space="preserve"> ndryshuar; </w:t>
      </w:r>
      <w:r w:rsidR="004A4A40" w:rsidRPr="004A4A40">
        <w:rPr>
          <w:rFonts w:ascii="Garamond" w:hAnsi="Garamond"/>
          <w:color w:val="000000"/>
          <w:sz w:val="24"/>
          <w:szCs w:val="24"/>
        </w:rPr>
        <w:t xml:space="preserve">të </w:t>
      </w:r>
      <w:r w:rsidRPr="004A4A40">
        <w:rPr>
          <w:rFonts w:ascii="Garamond" w:hAnsi="Garamond"/>
          <w:color w:val="000000"/>
          <w:sz w:val="24"/>
          <w:szCs w:val="24"/>
        </w:rPr>
        <w:t xml:space="preserve">neneve 4, pika 1, </w:t>
      </w:r>
      <w:r w:rsidR="004A4A40" w:rsidRPr="004A4A40">
        <w:rPr>
          <w:rFonts w:ascii="Garamond" w:hAnsi="Garamond"/>
          <w:color w:val="000000"/>
          <w:sz w:val="24"/>
          <w:szCs w:val="24"/>
        </w:rPr>
        <w:t>germa</w:t>
      </w:r>
      <w:r w:rsidRPr="004A4A40">
        <w:rPr>
          <w:rFonts w:ascii="Garamond" w:hAnsi="Garamond"/>
          <w:color w:val="000000"/>
          <w:sz w:val="24"/>
          <w:szCs w:val="24"/>
        </w:rPr>
        <w:t xml:space="preserve"> “e”, 5, pika 1, </w:t>
      </w:r>
      <w:r w:rsidR="004A4A40" w:rsidRPr="004A4A40">
        <w:rPr>
          <w:rFonts w:ascii="Garamond" w:hAnsi="Garamond"/>
          <w:color w:val="000000"/>
          <w:sz w:val="24"/>
          <w:szCs w:val="24"/>
        </w:rPr>
        <w:t>germa</w:t>
      </w:r>
      <w:r w:rsidRPr="004A4A40">
        <w:rPr>
          <w:rFonts w:ascii="Garamond" w:hAnsi="Garamond"/>
          <w:color w:val="000000"/>
          <w:sz w:val="24"/>
          <w:szCs w:val="24"/>
        </w:rPr>
        <w:t xml:space="preserve"> “e”, dhe 10, pikat 1 dhe 3</w:t>
      </w:r>
      <w:r w:rsidR="004A4A40">
        <w:rPr>
          <w:rFonts w:ascii="Garamond" w:hAnsi="Garamond"/>
          <w:color w:val="000000"/>
          <w:sz w:val="24"/>
          <w:szCs w:val="24"/>
        </w:rPr>
        <w:t>,</w:t>
      </w:r>
      <w:r w:rsidRPr="004A4A40">
        <w:rPr>
          <w:rFonts w:ascii="Garamond" w:hAnsi="Garamond"/>
          <w:color w:val="000000"/>
          <w:sz w:val="24"/>
          <w:szCs w:val="24"/>
        </w:rPr>
        <w:t xml:space="preserve"> të </w:t>
      </w:r>
      <w:r w:rsidR="004A4A40">
        <w:rPr>
          <w:rFonts w:ascii="Garamond" w:hAnsi="Garamond"/>
          <w:color w:val="000000"/>
          <w:sz w:val="24"/>
          <w:szCs w:val="24"/>
        </w:rPr>
        <w:t>“</w:t>
      </w:r>
      <w:r w:rsidRPr="004A4A40">
        <w:rPr>
          <w:rFonts w:ascii="Garamond" w:hAnsi="Garamond"/>
          <w:iCs/>
          <w:color w:val="000000"/>
          <w:sz w:val="24"/>
          <w:szCs w:val="24"/>
        </w:rPr>
        <w:t>Rregullores për procedurat dhe afatet për dhënien, modifikimin, transferimin, rinovimin, njohjen dhe heqjen e licencave në sektorin e energjisë elektrike</w:t>
      </w:r>
      <w:r w:rsidR="004A4A40">
        <w:rPr>
          <w:rFonts w:ascii="Garamond" w:hAnsi="Garamond"/>
          <w:iCs/>
          <w:color w:val="000000"/>
          <w:sz w:val="24"/>
          <w:szCs w:val="24"/>
        </w:rPr>
        <w:t>”</w:t>
      </w:r>
      <w:r w:rsidRPr="004A4A40">
        <w:rPr>
          <w:rFonts w:ascii="Garamond" w:hAnsi="Garamond"/>
          <w:color w:val="000000"/>
          <w:sz w:val="24"/>
          <w:szCs w:val="24"/>
        </w:rPr>
        <w:t xml:space="preserve">, të miratuar me vendimin e </w:t>
      </w:r>
      <w:r w:rsidR="004A4A40" w:rsidRPr="004A4A40">
        <w:rPr>
          <w:rFonts w:ascii="Garamond" w:hAnsi="Garamond"/>
          <w:color w:val="000000"/>
          <w:sz w:val="24"/>
          <w:szCs w:val="24"/>
        </w:rPr>
        <w:t xml:space="preserve">Bordit </w:t>
      </w:r>
      <w:r w:rsidRPr="004A4A40">
        <w:rPr>
          <w:rFonts w:ascii="Garamond" w:hAnsi="Garamond"/>
          <w:color w:val="000000"/>
          <w:sz w:val="24"/>
          <w:szCs w:val="24"/>
        </w:rPr>
        <w:t xml:space="preserve">të Entit Rregullator të Energjisë (ERE) nr. 109, datë 29.6.2016, </w:t>
      </w:r>
      <w:r w:rsidR="004A4A40" w:rsidRPr="004A4A40">
        <w:rPr>
          <w:rFonts w:ascii="Garamond" w:hAnsi="Garamond"/>
          <w:color w:val="000000"/>
          <w:sz w:val="24"/>
          <w:szCs w:val="24"/>
        </w:rPr>
        <w:t>të</w:t>
      </w:r>
      <w:r w:rsidRPr="004A4A40">
        <w:rPr>
          <w:rFonts w:ascii="Garamond" w:hAnsi="Garamond"/>
          <w:color w:val="000000"/>
          <w:sz w:val="24"/>
          <w:szCs w:val="24"/>
        </w:rPr>
        <w:t xml:space="preserve"> ndryshuar; si dhe </w:t>
      </w:r>
      <w:r w:rsidR="004A4A40" w:rsidRPr="004A4A40">
        <w:rPr>
          <w:rFonts w:ascii="Garamond" w:hAnsi="Garamond"/>
          <w:color w:val="000000"/>
          <w:sz w:val="24"/>
          <w:szCs w:val="24"/>
        </w:rPr>
        <w:t xml:space="preserve">të </w:t>
      </w:r>
      <w:r w:rsidRPr="004A4A40">
        <w:rPr>
          <w:rFonts w:ascii="Garamond" w:hAnsi="Garamond"/>
          <w:color w:val="000000"/>
          <w:sz w:val="24"/>
          <w:szCs w:val="24"/>
        </w:rPr>
        <w:t xml:space="preserve">neneve 15 dhe 19, pika 1, </w:t>
      </w:r>
      <w:r w:rsidR="004A4A40" w:rsidRPr="004A4A40">
        <w:rPr>
          <w:rFonts w:ascii="Garamond" w:hAnsi="Garamond"/>
          <w:color w:val="000000"/>
          <w:sz w:val="24"/>
          <w:szCs w:val="24"/>
        </w:rPr>
        <w:t>germa</w:t>
      </w:r>
      <w:r w:rsidRPr="004A4A40">
        <w:rPr>
          <w:rFonts w:ascii="Garamond" w:hAnsi="Garamond"/>
          <w:color w:val="000000"/>
          <w:sz w:val="24"/>
          <w:szCs w:val="24"/>
        </w:rPr>
        <w:t xml:space="preserve"> “a”</w:t>
      </w:r>
      <w:r w:rsidR="004A4A40">
        <w:rPr>
          <w:rFonts w:ascii="Garamond" w:hAnsi="Garamond"/>
          <w:color w:val="000000"/>
          <w:sz w:val="24"/>
          <w:szCs w:val="24"/>
        </w:rPr>
        <w:t>,</w:t>
      </w:r>
      <w:r w:rsidRPr="004A4A40">
        <w:rPr>
          <w:rFonts w:ascii="Garamond" w:hAnsi="Garamond"/>
          <w:color w:val="000000"/>
          <w:sz w:val="24"/>
          <w:szCs w:val="24"/>
        </w:rPr>
        <w:t xml:space="preserve"> të </w:t>
      </w:r>
      <w:r w:rsidR="004A4A40">
        <w:rPr>
          <w:rFonts w:ascii="Garamond" w:hAnsi="Garamond"/>
          <w:color w:val="000000"/>
          <w:sz w:val="24"/>
          <w:szCs w:val="24"/>
        </w:rPr>
        <w:t>“</w:t>
      </w:r>
      <w:r w:rsidRPr="004A4A40">
        <w:rPr>
          <w:rFonts w:ascii="Garamond" w:hAnsi="Garamond"/>
          <w:iCs/>
          <w:color w:val="000000"/>
          <w:sz w:val="24"/>
          <w:szCs w:val="24"/>
        </w:rPr>
        <w:t>Rregullores për organizimin, funksionimin dhe procedurat e ERE-</w:t>
      </w:r>
      <w:r w:rsidRPr="004A4A40">
        <w:rPr>
          <w:rFonts w:ascii="Garamond" w:hAnsi="Garamond"/>
          <w:color w:val="000000"/>
          <w:sz w:val="24"/>
          <w:szCs w:val="24"/>
        </w:rPr>
        <w:t>s</w:t>
      </w:r>
      <w:r w:rsidR="004A4A40">
        <w:rPr>
          <w:rFonts w:ascii="Garamond" w:hAnsi="Garamond"/>
          <w:color w:val="000000"/>
          <w:sz w:val="24"/>
          <w:szCs w:val="24"/>
        </w:rPr>
        <w:t>”</w:t>
      </w:r>
      <w:r w:rsidRPr="004A4A40">
        <w:rPr>
          <w:rFonts w:ascii="Garamond" w:hAnsi="Garamond"/>
          <w:color w:val="000000"/>
          <w:sz w:val="24"/>
          <w:szCs w:val="24"/>
        </w:rPr>
        <w:t xml:space="preserve">, miratuar me vendimin e </w:t>
      </w:r>
      <w:r w:rsidR="004A4A40" w:rsidRPr="004A4A40">
        <w:rPr>
          <w:rFonts w:ascii="Garamond" w:hAnsi="Garamond"/>
          <w:color w:val="000000"/>
          <w:sz w:val="24"/>
          <w:szCs w:val="24"/>
        </w:rPr>
        <w:t xml:space="preserve">Bordit </w:t>
      </w:r>
      <w:r w:rsidRPr="004A4A40">
        <w:rPr>
          <w:rFonts w:ascii="Garamond" w:hAnsi="Garamond"/>
          <w:color w:val="000000"/>
          <w:sz w:val="24"/>
          <w:szCs w:val="24"/>
        </w:rPr>
        <w:t>të ERE-s nr. 96, datë 17.6.2016; Bordi i ERE-s, në mbledhjen e tij të datës 6.1.2025, mbasi shqyrtoi relacionin me nr. 2584/1 prot., datë 27.12.2024, të Drejtorisë së Licencimit dhe Autorizimeve “</w:t>
      </w:r>
      <w:r w:rsidRPr="004A4A40">
        <w:rPr>
          <w:rFonts w:ascii="Garamond" w:hAnsi="Garamond"/>
          <w:iCs/>
          <w:color w:val="000000"/>
          <w:sz w:val="24"/>
          <w:szCs w:val="24"/>
        </w:rPr>
        <w:t xml:space="preserve">Mbi kërkesën e shoqërisë </w:t>
      </w:r>
      <w:r w:rsidR="004A4A40">
        <w:rPr>
          <w:rFonts w:ascii="Garamond" w:hAnsi="Garamond"/>
          <w:iCs/>
          <w:color w:val="000000"/>
          <w:sz w:val="24"/>
          <w:szCs w:val="24"/>
        </w:rPr>
        <w:t>‘</w:t>
      </w:r>
      <w:r w:rsidR="004A4A40" w:rsidRPr="004A4A40">
        <w:rPr>
          <w:rFonts w:ascii="Garamond" w:hAnsi="Garamond"/>
          <w:iCs/>
          <w:color w:val="000000"/>
          <w:sz w:val="24"/>
          <w:szCs w:val="24"/>
        </w:rPr>
        <w:t>Volton</w:t>
      </w:r>
      <w:r w:rsidR="004A4A40">
        <w:rPr>
          <w:rFonts w:ascii="Garamond" w:hAnsi="Garamond"/>
          <w:iCs/>
          <w:color w:val="000000"/>
          <w:sz w:val="24"/>
          <w:szCs w:val="24"/>
        </w:rPr>
        <w:t>’</w:t>
      </w:r>
      <w:r w:rsidR="004A4A40" w:rsidRPr="004A4A40">
        <w:rPr>
          <w:rFonts w:ascii="Garamond" w:hAnsi="Garamond"/>
          <w:iCs/>
          <w:color w:val="000000"/>
          <w:sz w:val="24"/>
          <w:szCs w:val="24"/>
        </w:rPr>
        <w:t xml:space="preserve"> </w:t>
      </w:r>
      <w:r w:rsidRPr="004A4A40">
        <w:rPr>
          <w:rFonts w:ascii="Garamond" w:hAnsi="Garamond"/>
          <w:iCs/>
          <w:color w:val="000000"/>
          <w:sz w:val="24"/>
          <w:szCs w:val="24"/>
        </w:rPr>
        <w:t>sh.p.k. për licencim në veprimtarinë e tregtimit të energjisë elektrike”</w:t>
      </w:r>
      <w:r w:rsidRPr="004A4A40">
        <w:rPr>
          <w:rFonts w:ascii="Garamond" w:hAnsi="Garamond"/>
          <w:color w:val="000000"/>
          <w:sz w:val="24"/>
          <w:szCs w:val="24"/>
        </w:rPr>
        <w:t>,</w:t>
      </w:r>
    </w:p>
    <w:p w14:paraId="785AE9D9" w14:textId="30CAA5D4" w:rsidR="00FD5D1B" w:rsidRPr="004A4A40" w:rsidRDefault="004A4A40" w:rsidP="00FD5D1B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bCs/>
          <w:color w:val="000000"/>
          <w:sz w:val="24"/>
          <w:szCs w:val="24"/>
        </w:rPr>
      </w:pPr>
      <w:r>
        <w:rPr>
          <w:rFonts w:ascii="Garamond" w:hAnsi="Garamond"/>
          <w:bCs/>
          <w:color w:val="000000"/>
          <w:sz w:val="24"/>
          <w:szCs w:val="24"/>
        </w:rPr>
        <w:t>k</w:t>
      </w:r>
      <w:r w:rsidR="00FD5D1B" w:rsidRPr="004A4A40">
        <w:rPr>
          <w:rFonts w:ascii="Garamond" w:hAnsi="Garamond"/>
          <w:bCs/>
          <w:color w:val="000000"/>
          <w:sz w:val="24"/>
          <w:szCs w:val="24"/>
        </w:rPr>
        <w:t xml:space="preserve">onstatoi se: </w:t>
      </w:r>
    </w:p>
    <w:p w14:paraId="52CA1B7F" w14:textId="7EAD4494" w:rsidR="00FD5D1B" w:rsidRPr="004A4A40" w:rsidRDefault="00FD5D1B" w:rsidP="00FD5D1B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szCs w:val="24"/>
        </w:rPr>
      </w:pPr>
      <w:r w:rsidRPr="004A4A40">
        <w:rPr>
          <w:rFonts w:ascii="Garamond" w:hAnsi="Garamond"/>
          <w:color w:val="000000"/>
          <w:sz w:val="24"/>
          <w:szCs w:val="24"/>
        </w:rPr>
        <w:t>- Shoqëria “</w:t>
      </w:r>
      <w:r w:rsidR="004A4A40" w:rsidRPr="004A4A40">
        <w:rPr>
          <w:rFonts w:ascii="Garamond" w:hAnsi="Garamond"/>
          <w:color w:val="000000"/>
          <w:sz w:val="24"/>
          <w:szCs w:val="24"/>
        </w:rPr>
        <w:t>Volton</w:t>
      </w:r>
      <w:r w:rsidRPr="004A4A40">
        <w:rPr>
          <w:rFonts w:ascii="Garamond" w:hAnsi="Garamond"/>
          <w:color w:val="000000"/>
          <w:sz w:val="24"/>
          <w:szCs w:val="24"/>
        </w:rPr>
        <w:t>” sh.p.k., me shkresën e protokolluar në ERE me nr. 2584 prot., datë 19.12.2024, ka paraqitur kërkesën për licencim në veprimtarinë e tregtimit të energjisë elektrike.</w:t>
      </w:r>
    </w:p>
    <w:p w14:paraId="0FF5D407" w14:textId="1495051B" w:rsidR="00FD5D1B" w:rsidRPr="004A4A40" w:rsidRDefault="00FD5D1B" w:rsidP="00FD5D1B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szCs w:val="24"/>
        </w:rPr>
      </w:pPr>
      <w:r w:rsidRPr="004A4A40">
        <w:rPr>
          <w:rFonts w:ascii="Garamond" w:hAnsi="Garamond"/>
          <w:color w:val="000000"/>
          <w:sz w:val="24"/>
          <w:szCs w:val="24"/>
        </w:rPr>
        <w:t>- Nga shqyrtimi i aplikimit, në referencë të përcaktimeve të “</w:t>
      </w:r>
      <w:r w:rsidRPr="004A4A40">
        <w:rPr>
          <w:rFonts w:ascii="Garamond" w:hAnsi="Garamond"/>
          <w:iCs/>
          <w:color w:val="000000"/>
          <w:sz w:val="24"/>
          <w:szCs w:val="24"/>
        </w:rPr>
        <w:t>Rregullores për procedurat dhe afatet për dhënien, modifikimin, transferimin, rinovimin, njohjen dhe heqjen e licencave në sektorin e energjisë elektrike”</w:t>
      </w:r>
      <w:r w:rsidRPr="004A4A40">
        <w:rPr>
          <w:rFonts w:ascii="Garamond" w:hAnsi="Garamond"/>
          <w:color w:val="000000"/>
          <w:sz w:val="24"/>
          <w:szCs w:val="24"/>
        </w:rPr>
        <w:t xml:space="preserve">, të ndryshuar, rezulton se shoqëria ka kryer pagesën e aplikimit sipas përcaktimeve të </w:t>
      </w:r>
      <w:r w:rsidR="004A4A40">
        <w:rPr>
          <w:rFonts w:ascii="Garamond" w:hAnsi="Garamond"/>
          <w:color w:val="000000"/>
          <w:sz w:val="24"/>
          <w:szCs w:val="24"/>
        </w:rPr>
        <w:t>a</w:t>
      </w:r>
      <w:r w:rsidRPr="004A4A40">
        <w:rPr>
          <w:rFonts w:ascii="Garamond" w:hAnsi="Garamond"/>
          <w:color w:val="000000"/>
          <w:sz w:val="24"/>
          <w:szCs w:val="24"/>
        </w:rPr>
        <w:t xml:space="preserve">neksit A dhe ka plotësuar dokumentacionin e kërkuar në zbatim të nenit 9, për pikën 1.1, </w:t>
      </w:r>
      <w:r w:rsidR="004A4A40" w:rsidRPr="004A4A40">
        <w:rPr>
          <w:rFonts w:ascii="Garamond" w:hAnsi="Garamond"/>
          <w:color w:val="000000"/>
          <w:sz w:val="24"/>
          <w:szCs w:val="24"/>
        </w:rPr>
        <w:t>germat</w:t>
      </w:r>
      <w:r w:rsidR="004A4A40">
        <w:rPr>
          <w:rFonts w:ascii="Garamond" w:hAnsi="Garamond"/>
          <w:color w:val="000000"/>
          <w:sz w:val="24"/>
          <w:szCs w:val="24"/>
        </w:rPr>
        <w:t>:</w:t>
      </w:r>
      <w:r w:rsidRPr="004A4A40">
        <w:rPr>
          <w:rFonts w:ascii="Garamond" w:hAnsi="Garamond"/>
          <w:color w:val="000000"/>
          <w:sz w:val="24"/>
          <w:szCs w:val="24"/>
        </w:rPr>
        <w:t xml:space="preserve"> “a”</w:t>
      </w:r>
      <w:r w:rsidR="004A4A40">
        <w:rPr>
          <w:rFonts w:ascii="Garamond" w:hAnsi="Garamond"/>
          <w:color w:val="000000"/>
          <w:sz w:val="24"/>
          <w:szCs w:val="24"/>
        </w:rPr>
        <w:t>,</w:t>
      </w:r>
      <w:r w:rsidRPr="004A4A40">
        <w:rPr>
          <w:rFonts w:ascii="Garamond" w:hAnsi="Garamond"/>
          <w:color w:val="000000"/>
          <w:sz w:val="24"/>
          <w:szCs w:val="24"/>
        </w:rPr>
        <w:t xml:space="preserve"> “b” dhe “c”; si dhe për pikën 1.2, </w:t>
      </w:r>
      <w:r w:rsidR="004A4A40" w:rsidRPr="004A4A40">
        <w:rPr>
          <w:rFonts w:ascii="Garamond" w:hAnsi="Garamond"/>
          <w:color w:val="000000"/>
          <w:sz w:val="24"/>
          <w:szCs w:val="24"/>
        </w:rPr>
        <w:t>germat</w:t>
      </w:r>
      <w:r w:rsidR="004A4A40">
        <w:rPr>
          <w:rFonts w:ascii="Garamond" w:hAnsi="Garamond"/>
          <w:color w:val="000000"/>
          <w:sz w:val="24"/>
          <w:szCs w:val="24"/>
        </w:rPr>
        <w:t>:</w:t>
      </w:r>
      <w:r w:rsidRPr="004A4A40">
        <w:rPr>
          <w:rFonts w:ascii="Garamond" w:hAnsi="Garamond"/>
          <w:color w:val="000000"/>
          <w:sz w:val="24"/>
          <w:szCs w:val="24"/>
        </w:rPr>
        <w:t xml:space="preserve"> “a”, “b” dhe “d”.</w:t>
      </w:r>
    </w:p>
    <w:p w14:paraId="295359AA" w14:textId="5D0E1342" w:rsidR="00FD5D1B" w:rsidRPr="004A4A40" w:rsidRDefault="00FD5D1B" w:rsidP="00FD5D1B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szCs w:val="24"/>
        </w:rPr>
      </w:pPr>
      <w:r w:rsidRPr="004A4A40">
        <w:rPr>
          <w:rFonts w:ascii="Garamond" w:hAnsi="Garamond"/>
          <w:color w:val="000000"/>
          <w:sz w:val="24"/>
          <w:szCs w:val="24"/>
        </w:rPr>
        <w:t>- Nga ky aplikim nevojitet të plotësohet dhe informacioni/dokumentacioni në vijim:</w:t>
      </w:r>
    </w:p>
    <w:p w14:paraId="16321C38" w14:textId="23A86304" w:rsidR="00FD5D1B" w:rsidRPr="004A4A40" w:rsidRDefault="004A4A40" w:rsidP="004A4A40">
      <w:pPr>
        <w:tabs>
          <w:tab w:val="left" w:pos="260"/>
        </w:tabs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/>
          <w:bCs/>
          <w:color w:val="000000"/>
          <w:sz w:val="24"/>
          <w:szCs w:val="24"/>
        </w:rPr>
      </w:pPr>
      <w:r w:rsidRPr="004A4A40">
        <w:rPr>
          <w:rFonts w:ascii="Garamond" w:hAnsi="Garamond"/>
          <w:bCs/>
          <w:color w:val="000000"/>
          <w:sz w:val="24"/>
          <w:szCs w:val="24"/>
        </w:rPr>
        <w:t xml:space="preserve">Neni </w:t>
      </w:r>
      <w:r w:rsidR="00FD5D1B" w:rsidRPr="004A4A40">
        <w:rPr>
          <w:rFonts w:ascii="Garamond" w:hAnsi="Garamond"/>
          <w:bCs/>
          <w:color w:val="000000"/>
          <w:sz w:val="24"/>
          <w:szCs w:val="24"/>
        </w:rPr>
        <w:t>9</w:t>
      </w:r>
      <w:r>
        <w:rPr>
          <w:rFonts w:ascii="Garamond" w:hAnsi="Garamond"/>
          <w:bCs/>
          <w:color w:val="000000"/>
          <w:sz w:val="24"/>
          <w:szCs w:val="24"/>
        </w:rPr>
        <w:t xml:space="preserve">. </w:t>
      </w:r>
      <w:r w:rsidR="00FD5D1B" w:rsidRPr="004A4A40">
        <w:rPr>
          <w:rFonts w:ascii="Garamond" w:hAnsi="Garamond"/>
          <w:bCs/>
          <w:color w:val="000000"/>
          <w:sz w:val="24"/>
          <w:szCs w:val="24"/>
        </w:rPr>
        <w:t>Formati dhe dokumentacioni për aplikim</w:t>
      </w:r>
      <w:r>
        <w:rPr>
          <w:rFonts w:ascii="Garamond" w:hAnsi="Garamond"/>
          <w:bCs/>
          <w:color w:val="000000"/>
          <w:sz w:val="24"/>
          <w:szCs w:val="24"/>
        </w:rPr>
        <w:t>:</w:t>
      </w:r>
    </w:p>
    <w:p w14:paraId="1B71543B" w14:textId="0DEB46EE" w:rsidR="00FD5D1B" w:rsidRPr="004A4A40" w:rsidRDefault="00FD5D1B" w:rsidP="00FD5D1B">
      <w:pPr>
        <w:tabs>
          <w:tab w:val="left" w:pos="260"/>
        </w:tabs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/>
          <w:bCs/>
          <w:iCs/>
          <w:color w:val="000000"/>
          <w:sz w:val="24"/>
          <w:szCs w:val="24"/>
        </w:rPr>
      </w:pPr>
      <w:r w:rsidRPr="004A4A40">
        <w:rPr>
          <w:rFonts w:ascii="Garamond" w:hAnsi="Garamond"/>
          <w:bCs/>
          <w:iCs/>
          <w:color w:val="000000"/>
          <w:sz w:val="24"/>
          <w:szCs w:val="24"/>
        </w:rPr>
        <w:t>Pika 1, Dokumentacioni i përgjithshëm për të gjitha aplikimet për pajisje me licencë</w:t>
      </w:r>
      <w:r w:rsidR="004A4A40">
        <w:rPr>
          <w:rFonts w:ascii="Garamond" w:hAnsi="Garamond"/>
          <w:bCs/>
          <w:iCs/>
          <w:color w:val="000000"/>
          <w:sz w:val="24"/>
          <w:szCs w:val="24"/>
        </w:rPr>
        <w:t>:</w:t>
      </w:r>
    </w:p>
    <w:p w14:paraId="65B924A3" w14:textId="6FCB1498" w:rsidR="00FD5D1B" w:rsidRPr="004A4A40" w:rsidRDefault="00FD5D1B" w:rsidP="00FD5D1B">
      <w:pPr>
        <w:tabs>
          <w:tab w:val="left" w:pos="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szCs w:val="24"/>
        </w:rPr>
      </w:pPr>
      <w:r w:rsidRPr="004A4A40">
        <w:rPr>
          <w:rFonts w:ascii="Garamond" w:hAnsi="Garamond"/>
          <w:color w:val="000000"/>
          <w:sz w:val="24"/>
          <w:szCs w:val="24"/>
        </w:rPr>
        <w:t xml:space="preserve">- </w:t>
      </w:r>
      <w:r w:rsidR="004A4A40" w:rsidRPr="004A4A40">
        <w:rPr>
          <w:rFonts w:ascii="Garamond" w:hAnsi="Garamond"/>
          <w:bCs/>
          <w:color w:val="000000"/>
          <w:sz w:val="24"/>
          <w:szCs w:val="24"/>
        </w:rPr>
        <w:t>germa</w:t>
      </w:r>
      <w:r w:rsidRPr="004A4A40">
        <w:rPr>
          <w:rFonts w:ascii="Garamond" w:hAnsi="Garamond"/>
          <w:bCs/>
          <w:color w:val="000000"/>
          <w:sz w:val="24"/>
          <w:szCs w:val="24"/>
        </w:rPr>
        <w:t xml:space="preserve"> “c”:</w:t>
      </w:r>
      <w:r w:rsidRPr="004A4A40">
        <w:rPr>
          <w:rFonts w:ascii="Garamond" w:hAnsi="Garamond"/>
          <w:color w:val="000000"/>
          <w:sz w:val="24"/>
          <w:szCs w:val="24"/>
        </w:rPr>
        <w:t xml:space="preserve"> Shoqëria duhet të depozitojë dokumentin mbi strukturën organizative të saj me nënshkrimin dhe/ose vulën përkatëse</w:t>
      </w:r>
      <w:r w:rsidR="004A4A40">
        <w:rPr>
          <w:rFonts w:ascii="Garamond" w:hAnsi="Garamond"/>
          <w:color w:val="000000"/>
          <w:sz w:val="24"/>
          <w:szCs w:val="24"/>
        </w:rPr>
        <w:t>;</w:t>
      </w:r>
    </w:p>
    <w:p w14:paraId="6CBE3B1B" w14:textId="5CE210D1" w:rsidR="00FD5D1B" w:rsidRPr="004A4A40" w:rsidRDefault="00FD5D1B" w:rsidP="00FD5D1B">
      <w:pPr>
        <w:tabs>
          <w:tab w:val="left" w:pos="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szCs w:val="24"/>
        </w:rPr>
      </w:pPr>
      <w:r w:rsidRPr="004A4A40">
        <w:rPr>
          <w:rFonts w:ascii="Garamond" w:hAnsi="Garamond"/>
          <w:color w:val="000000"/>
          <w:sz w:val="24"/>
          <w:szCs w:val="24"/>
        </w:rPr>
        <w:t xml:space="preserve">- </w:t>
      </w:r>
      <w:r w:rsidRPr="004A4A40">
        <w:rPr>
          <w:rFonts w:ascii="Garamond" w:hAnsi="Garamond"/>
          <w:iCs/>
          <w:color w:val="000000"/>
          <w:sz w:val="24"/>
          <w:szCs w:val="24"/>
        </w:rPr>
        <w:t>Pika 1.3.</w:t>
      </w:r>
      <w:r w:rsidRPr="004A4A40">
        <w:rPr>
          <w:rFonts w:ascii="Garamond" w:hAnsi="Garamond"/>
          <w:color w:val="000000"/>
          <w:sz w:val="24"/>
          <w:szCs w:val="24"/>
        </w:rPr>
        <w:t xml:space="preserve"> </w:t>
      </w:r>
      <w:r w:rsidRPr="004A4A40">
        <w:rPr>
          <w:rFonts w:ascii="Garamond" w:hAnsi="Garamond"/>
          <w:iCs/>
          <w:color w:val="000000"/>
          <w:sz w:val="24"/>
          <w:szCs w:val="24"/>
        </w:rPr>
        <w:t>Dokumentacioni financiar dhe fiskal</w:t>
      </w:r>
      <w:r w:rsidR="004A4A40">
        <w:rPr>
          <w:rFonts w:ascii="Garamond" w:hAnsi="Garamond"/>
          <w:iCs/>
          <w:color w:val="000000"/>
          <w:sz w:val="24"/>
          <w:szCs w:val="24"/>
        </w:rPr>
        <w:t>:</w:t>
      </w:r>
    </w:p>
    <w:p w14:paraId="58EE68F4" w14:textId="4C8633D2" w:rsidR="00FD5D1B" w:rsidRPr="004A4A40" w:rsidRDefault="00FD5D1B" w:rsidP="00FD5D1B">
      <w:pPr>
        <w:tabs>
          <w:tab w:val="left" w:pos="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szCs w:val="24"/>
        </w:rPr>
      </w:pPr>
      <w:r w:rsidRPr="004A4A40">
        <w:rPr>
          <w:rFonts w:ascii="Garamond" w:hAnsi="Garamond"/>
          <w:color w:val="000000"/>
          <w:sz w:val="24"/>
          <w:szCs w:val="24"/>
        </w:rPr>
        <w:t xml:space="preserve">- </w:t>
      </w:r>
      <w:r w:rsidR="004A4A40" w:rsidRPr="004A4A40">
        <w:rPr>
          <w:rFonts w:ascii="Garamond" w:hAnsi="Garamond"/>
          <w:bCs/>
          <w:color w:val="000000"/>
          <w:sz w:val="24"/>
          <w:szCs w:val="24"/>
        </w:rPr>
        <w:t>germa</w:t>
      </w:r>
      <w:r w:rsidRPr="004A4A40">
        <w:rPr>
          <w:rFonts w:ascii="Garamond" w:hAnsi="Garamond"/>
          <w:bCs/>
          <w:color w:val="000000"/>
          <w:sz w:val="24"/>
          <w:szCs w:val="24"/>
        </w:rPr>
        <w:t xml:space="preserve"> “a”:</w:t>
      </w:r>
      <w:r w:rsidRPr="004A4A40">
        <w:rPr>
          <w:rFonts w:ascii="Garamond" w:hAnsi="Garamond"/>
          <w:color w:val="000000"/>
          <w:sz w:val="24"/>
          <w:szCs w:val="24"/>
        </w:rPr>
        <w:t xml:space="preserve"> Shoqëria duhet të depozitojë vërtetimin që nuk ka detyrime të pashlyera ndaj organit të sigurimeve shoqërore dhe shëndetësore</w:t>
      </w:r>
      <w:r w:rsidR="004A4A40">
        <w:rPr>
          <w:rFonts w:ascii="Garamond" w:hAnsi="Garamond"/>
          <w:color w:val="000000"/>
          <w:sz w:val="24"/>
          <w:szCs w:val="24"/>
        </w:rPr>
        <w:t>;</w:t>
      </w:r>
    </w:p>
    <w:p w14:paraId="4D3D3314" w14:textId="1CB9081B" w:rsidR="00FD5D1B" w:rsidRPr="004A4A40" w:rsidRDefault="00FD5D1B" w:rsidP="00FD5D1B">
      <w:pPr>
        <w:tabs>
          <w:tab w:val="left" w:pos="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szCs w:val="24"/>
        </w:rPr>
      </w:pPr>
      <w:r w:rsidRPr="004A4A40">
        <w:rPr>
          <w:rFonts w:ascii="Garamond" w:hAnsi="Garamond"/>
          <w:color w:val="000000"/>
          <w:sz w:val="24"/>
          <w:szCs w:val="24"/>
        </w:rPr>
        <w:t xml:space="preserve">- </w:t>
      </w:r>
      <w:r w:rsidR="004A4A40" w:rsidRPr="004A4A40">
        <w:rPr>
          <w:rFonts w:ascii="Garamond" w:hAnsi="Garamond"/>
          <w:bCs/>
          <w:color w:val="000000"/>
          <w:sz w:val="24"/>
          <w:szCs w:val="24"/>
        </w:rPr>
        <w:t>germa</w:t>
      </w:r>
      <w:r w:rsidRPr="004A4A40">
        <w:rPr>
          <w:rFonts w:ascii="Garamond" w:hAnsi="Garamond"/>
          <w:bCs/>
          <w:color w:val="000000"/>
          <w:sz w:val="24"/>
          <w:szCs w:val="24"/>
        </w:rPr>
        <w:t xml:space="preserve"> “b”:</w:t>
      </w:r>
      <w:r w:rsidRPr="004A4A40">
        <w:rPr>
          <w:rFonts w:ascii="Garamond" w:hAnsi="Garamond"/>
          <w:color w:val="000000"/>
          <w:sz w:val="24"/>
          <w:szCs w:val="24"/>
        </w:rPr>
        <w:t xml:space="preserve"> Shoqëria duhet të dokumentojë aftësinë financiare për të garantuar ushtrimin e veprimtarisë së tregtimit të energjisë elektrike për të paktën 1 muaj, në përputhje me parashikimet e planit të biznesit. Edhe pse është depozituar një kontratë huaje e datës 22.10.2024</w:t>
      </w:r>
      <w:r w:rsidR="004A4A40">
        <w:rPr>
          <w:rFonts w:ascii="Garamond" w:hAnsi="Garamond"/>
          <w:color w:val="000000"/>
          <w:sz w:val="24"/>
          <w:szCs w:val="24"/>
        </w:rPr>
        <w:t>,</w:t>
      </w:r>
      <w:r w:rsidRPr="004A4A40">
        <w:rPr>
          <w:rFonts w:ascii="Garamond" w:hAnsi="Garamond"/>
          <w:color w:val="000000"/>
          <w:sz w:val="24"/>
          <w:szCs w:val="24"/>
        </w:rPr>
        <w:t xml:space="preserve"> midis “</w:t>
      </w:r>
      <w:r w:rsidRPr="004A4A40">
        <w:rPr>
          <w:rFonts w:ascii="Garamond" w:hAnsi="Garamond"/>
          <w:i/>
          <w:color w:val="000000"/>
          <w:sz w:val="24"/>
          <w:szCs w:val="24"/>
        </w:rPr>
        <w:t>Albanian Development Company ADC</w:t>
      </w:r>
      <w:r w:rsidRPr="004A4A40">
        <w:rPr>
          <w:rFonts w:ascii="Garamond" w:hAnsi="Garamond"/>
          <w:color w:val="000000"/>
          <w:sz w:val="24"/>
          <w:szCs w:val="24"/>
        </w:rPr>
        <w:t>” sh.p.k. dhe “</w:t>
      </w:r>
      <w:r w:rsidR="004A4A40" w:rsidRPr="004A4A40">
        <w:rPr>
          <w:rFonts w:ascii="Garamond" w:hAnsi="Garamond"/>
          <w:color w:val="000000"/>
          <w:sz w:val="24"/>
          <w:szCs w:val="24"/>
        </w:rPr>
        <w:t>Volton</w:t>
      </w:r>
      <w:r w:rsidRPr="004A4A40">
        <w:rPr>
          <w:rFonts w:ascii="Garamond" w:hAnsi="Garamond"/>
          <w:color w:val="000000"/>
          <w:sz w:val="24"/>
          <w:szCs w:val="24"/>
        </w:rPr>
        <w:t>” sh.p.k.</w:t>
      </w:r>
      <w:r w:rsidR="004A4A40">
        <w:rPr>
          <w:rFonts w:ascii="Garamond" w:hAnsi="Garamond"/>
          <w:color w:val="000000"/>
          <w:sz w:val="24"/>
          <w:szCs w:val="24"/>
        </w:rPr>
        <w:t>,</w:t>
      </w:r>
      <w:r w:rsidRPr="004A4A40">
        <w:rPr>
          <w:rFonts w:ascii="Garamond" w:hAnsi="Garamond"/>
          <w:color w:val="000000"/>
          <w:sz w:val="24"/>
          <w:szCs w:val="24"/>
        </w:rPr>
        <w:t xml:space="preserve"> kjo shumë është përdorur për dokumentimin e mbështetjes financiare në kuadër të një licence të mëparshme për furnizim me energji elektrike dhe nuk mbulon tërësisht nevojën financiare për tregtimin e parashikuar</w:t>
      </w:r>
      <w:r w:rsidR="004A4A40">
        <w:rPr>
          <w:rFonts w:ascii="Garamond" w:hAnsi="Garamond"/>
          <w:color w:val="000000"/>
          <w:sz w:val="24"/>
          <w:szCs w:val="24"/>
        </w:rPr>
        <w:t>;</w:t>
      </w:r>
    </w:p>
    <w:p w14:paraId="3FDD6952" w14:textId="0BF8C6A1" w:rsidR="00FD5D1B" w:rsidRPr="004A4A40" w:rsidRDefault="00FD5D1B" w:rsidP="00FD5D1B">
      <w:pPr>
        <w:tabs>
          <w:tab w:val="left" w:pos="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szCs w:val="24"/>
        </w:rPr>
      </w:pPr>
      <w:r w:rsidRPr="004A4A40">
        <w:rPr>
          <w:rFonts w:ascii="Garamond" w:hAnsi="Garamond"/>
          <w:color w:val="000000"/>
          <w:sz w:val="24"/>
          <w:szCs w:val="24"/>
        </w:rPr>
        <w:t xml:space="preserve">- </w:t>
      </w:r>
      <w:r w:rsidR="004A4A40" w:rsidRPr="004A4A40">
        <w:rPr>
          <w:rFonts w:ascii="Garamond" w:hAnsi="Garamond"/>
          <w:bCs/>
          <w:color w:val="000000"/>
          <w:sz w:val="24"/>
          <w:szCs w:val="24"/>
        </w:rPr>
        <w:t>germa</w:t>
      </w:r>
      <w:r w:rsidRPr="004A4A40">
        <w:rPr>
          <w:rFonts w:ascii="Garamond" w:hAnsi="Garamond"/>
          <w:bCs/>
          <w:color w:val="000000"/>
          <w:sz w:val="24"/>
          <w:szCs w:val="24"/>
        </w:rPr>
        <w:t xml:space="preserve"> “c”</w:t>
      </w:r>
      <w:r w:rsidRPr="004A4A40">
        <w:rPr>
          <w:rFonts w:ascii="Garamond" w:hAnsi="Garamond"/>
          <w:color w:val="000000"/>
          <w:sz w:val="24"/>
          <w:szCs w:val="24"/>
        </w:rPr>
        <w:t>: Shoqëria duhet të depozitojë planin e biznesit me nënshkrimin dhe/ose vulën përkatëse dhe ta plotësojë atë me sasinë që parashikon të tregtojë dhe për 4 vitet e tjera të licencës.</w:t>
      </w:r>
    </w:p>
    <w:p w14:paraId="2192D1A0" w14:textId="4196C4FB" w:rsidR="00FD5D1B" w:rsidRPr="004A4A40" w:rsidRDefault="00FD5D1B" w:rsidP="00FD5D1B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szCs w:val="24"/>
        </w:rPr>
      </w:pPr>
      <w:r w:rsidRPr="004A4A40">
        <w:rPr>
          <w:rFonts w:ascii="Garamond" w:hAnsi="Garamond"/>
          <w:color w:val="000000"/>
          <w:sz w:val="24"/>
          <w:szCs w:val="24"/>
        </w:rPr>
        <w:t xml:space="preserve">Për gjithë sa më sipër, </w:t>
      </w:r>
      <w:r w:rsidR="004A4A40" w:rsidRPr="004A4A40">
        <w:rPr>
          <w:rFonts w:ascii="Garamond" w:hAnsi="Garamond"/>
          <w:color w:val="000000"/>
          <w:sz w:val="24"/>
          <w:szCs w:val="24"/>
        </w:rPr>
        <w:t xml:space="preserve">Bordi </w:t>
      </w:r>
      <w:r w:rsidRPr="004A4A40">
        <w:rPr>
          <w:rFonts w:ascii="Garamond" w:hAnsi="Garamond"/>
          <w:color w:val="000000"/>
          <w:sz w:val="24"/>
          <w:szCs w:val="24"/>
        </w:rPr>
        <w:t>i ERE-s</w:t>
      </w:r>
    </w:p>
    <w:p w14:paraId="65DB902C" w14:textId="77777777" w:rsidR="00FD5D1B" w:rsidRPr="004A4A40" w:rsidRDefault="00FD5D1B" w:rsidP="00FD5D1B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szCs w:val="24"/>
        </w:rPr>
      </w:pPr>
    </w:p>
    <w:p w14:paraId="1880BD12" w14:textId="3394F2C5" w:rsidR="00FD5D1B" w:rsidRPr="00FD5D1B" w:rsidRDefault="00FD5D1B" w:rsidP="00FD5D1B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/>
          <w:bCs/>
          <w:color w:val="000000"/>
          <w:sz w:val="24"/>
          <w:szCs w:val="24"/>
        </w:rPr>
      </w:pPr>
      <w:r w:rsidRPr="00FD5D1B">
        <w:rPr>
          <w:rFonts w:ascii="Garamond" w:hAnsi="Garamond"/>
          <w:bCs/>
          <w:color w:val="000000"/>
          <w:sz w:val="24"/>
          <w:szCs w:val="24"/>
        </w:rPr>
        <w:t>VENDOSI:</w:t>
      </w:r>
    </w:p>
    <w:p w14:paraId="1DE21C21" w14:textId="77777777" w:rsidR="00FD5D1B" w:rsidRPr="00FD5D1B" w:rsidRDefault="00FD5D1B" w:rsidP="00FD5D1B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/>
          <w:b/>
          <w:bCs/>
          <w:color w:val="000000"/>
          <w:sz w:val="24"/>
          <w:szCs w:val="24"/>
        </w:rPr>
      </w:pPr>
    </w:p>
    <w:p w14:paraId="065DE77F" w14:textId="2088FDE9" w:rsidR="00FD5D1B" w:rsidRPr="00FD5D1B" w:rsidRDefault="00FD5D1B" w:rsidP="00FD5D1B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szCs w:val="24"/>
        </w:rPr>
      </w:pPr>
      <w:r w:rsidRPr="00FD5D1B">
        <w:rPr>
          <w:rFonts w:ascii="Garamond" w:hAnsi="Garamond"/>
          <w:color w:val="000000"/>
          <w:sz w:val="24"/>
          <w:szCs w:val="24"/>
        </w:rPr>
        <w:t>1.</w:t>
      </w:r>
      <w:r>
        <w:rPr>
          <w:rFonts w:ascii="Garamond" w:hAnsi="Garamond"/>
          <w:color w:val="000000"/>
          <w:sz w:val="24"/>
          <w:szCs w:val="24"/>
        </w:rPr>
        <w:t xml:space="preserve"> </w:t>
      </w:r>
      <w:r w:rsidRPr="00FD5D1B">
        <w:rPr>
          <w:rFonts w:ascii="Garamond" w:hAnsi="Garamond"/>
          <w:color w:val="000000"/>
          <w:sz w:val="24"/>
          <w:szCs w:val="24"/>
        </w:rPr>
        <w:t>Të fillojë procedurën për licencimin e shoqërisë “</w:t>
      </w:r>
      <w:r w:rsidR="004A4A40" w:rsidRPr="00FD5D1B">
        <w:rPr>
          <w:rFonts w:ascii="Garamond" w:hAnsi="Garamond"/>
          <w:color w:val="000000"/>
          <w:sz w:val="24"/>
          <w:szCs w:val="24"/>
        </w:rPr>
        <w:t>Volton</w:t>
      </w:r>
      <w:r w:rsidRPr="00FD5D1B">
        <w:rPr>
          <w:rFonts w:ascii="Garamond" w:hAnsi="Garamond"/>
          <w:color w:val="000000"/>
          <w:sz w:val="24"/>
          <w:szCs w:val="24"/>
        </w:rPr>
        <w:t>” sh.p.k. në veprimtarinë e tregtimit të energjisë elektrike.</w:t>
      </w:r>
    </w:p>
    <w:p w14:paraId="58C97A29" w14:textId="0C48D117" w:rsidR="00FD5D1B" w:rsidRPr="00FD5D1B" w:rsidRDefault="00FD5D1B" w:rsidP="00FD5D1B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szCs w:val="24"/>
        </w:rPr>
      </w:pPr>
      <w:r w:rsidRPr="00FD5D1B">
        <w:rPr>
          <w:rFonts w:ascii="Garamond" w:hAnsi="Garamond"/>
          <w:color w:val="000000"/>
          <w:sz w:val="24"/>
          <w:szCs w:val="24"/>
        </w:rPr>
        <w:lastRenderedPageBreak/>
        <w:t>2.</w:t>
      </w:r>
      <w:r>
        <w:rPr>
          <w:rFonts w:ascii="Garamond" w:hAnsi="Garamond"/>
          <w:color w:val="000000"/>
          <w:sz w:val="24"/>
          <w:szCs w:val="24"/>
        </w:rPr>
        <w:t xml:space="preserve"> </w:t>
      </w:r>
      <w:r w:rsidRPr="00FD5D1B">
        <w:rPr>
          <w:rFonts w:ascii="Garamond" w:hAnsi="Garamond"/>
          <w:color w:val="000000"/>
          <w:sz w:val="24"/>
          <w:szCs w:val="24"/>
        </w:rPr>
        <w:t>Drejtoria e Licencimit dhe Autorizimeve të njoftojë shoqërinë “</w:t>
      </w:r>
      <w:r w:rsidR="004A4A40" w:rsidRPr="00FD5D1B">
        <w:rPr>
          <w:rFonts w:ascii="Garamond" w:hAnsi="Garamond"/>
          <w:color w:val="000000"/>
          <w:sz w:val="24"/>
          <w:szCs w:val="24"/>
        </w:rPr>
        <w:t>Volton</w:t>
      </w:r>
      <w:r w:rsidRPr="00FD5D1B">
        <w:rPr>
          <w:rFonts w:ascii="Garamond" w:hAnsi="Garamond"/>
          <w:color w:val="000000"/>
          <w:sz w:val="24"/>
          <w:szCs w:val="24"/>
        </w:rPr>
        <w:t xml:space="preserve">” sh.p.k. për vendimin e </w:t>
      </w:r>
      <w:r w:rsidR="004A4A40" w:rsidRPr="00FD5D1B">
        <w:rPr>
          <w:rFonts w:ascii="Garamond" w:hAnsi="Garamond"/>
          <w:color w:val="000000"/>
          <w:sz w:val="24"/>
          <w:szCs w:val="24"/>
        </w:rPr>
        <w:t xml:space="preserve">Bordit </w:t>
      </w:r>
      <w:r w:rsidRPr="00FD5D1B">
        <w:rPr>
          <w:rFonts w:ascii="Garamond" w:hAnsi="Garamond"/>
          <w:color w:val="000000"/>
          <w:sz w:val="24"/>
          <w:szCs w:val="24"/>
        </w:rPr>
        <w:t>të ERE-s.</w:t>
      </w:r>
    </w:p>
    <w:p w14:paraId="635D1AAA" w14:textId="77777777" w:rsidR="00FD5D1B" w:rsidRPr="00FD5D1B" w:rsidRDefault="00FD5D1B" w:rsidP="00FD5D1B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Calibri"/>
          <w:color w:val="000000"/>
          <w:sz w:val="18"/>
          <w:szCs w:val="18"/>
        </w:rPr>
      </w:pPr>
      <w:r w:rsidRPr="00FD5D1B">
        <w:rPr>
          <w:rFonts w:ascii="Garamond" w:hAnsi="Garamond"/>
          <w:color w:val="000000"/>
          <w:sz w:val="24"/>
          <w:szCs w:val="24"/>
        </w:rPr>
        <w:t xml:space="preserve">Ky vendim hyn në fuqi menjëherë. </w:t>
      </w:r>
    </w:p>
    <w:p w14:paraId="05D4DA48" w14:textId="5E679604" w:rsidR="00FD5D1B" w:rsidRPr="00FD5D1B" w:rsidRDefault="00FD5D1B" w:rsidP="00FD5D1B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szCs w:val="24"/>
        </w:rPr>
      </w:pPr>
      <w:r w:rsidRPr="00FD5D1B">
        <w:rPr>
          <w:rFonts w:ascii="Garamond" w:hAnsi="Garamond"/>
          <w:color w:val="000000"/>
          <w:sz w:val="24"/>
          <w:szCs w:val="24"/>
        </w:rPr>
        <w:t>Çdo palë e përfshirë në këtë procedurë mund</w:t>
      </w:r>
      <w:bookmarkStart w:id="0" w:name="_GoBack"/>
      <w:r w:rsidRPr="00FD5D1B">
        <w:rPr>
          <w:rFonts w:ascii="Garamond" w:hAnsi="Garamond"/>
          <w:color w:val="000000"/>
          <w:sz w:val="24"/>
          <w:szCs w:val="24"/>
        </w:rPr>
        <w:t xml:space="preserve"> t’</w:t>
      </w:r>
      <w:bookmarkEnd w:id="0"/>
      <w:r w:rsidRPr="00FD5D1B">
        <w:rPr>
          <w:rFonts w:ascii="Garamond" w:hAnsi="Garamond"/>
          <w:color w:val="000000"/>
          <w:sz w:val="24"/>
          <w:szCs w:val="24"/>
        </w:rPr>
        <w:t xml:space="preserve">i kërkojë ERE-s, brenda 7 ditëve kalendarike nga data e marrjes së vendimit, rishikimin e vendimit të </w:t>
      </w:r>
      <w:r w:rsidR="004A4A40" w:rsidRPr="00FD5D1B">
        <w:rPr>
          <w:rFonts w:ascii="Garamond" w:hAnsi="Garamond"/>
          <w:color w:val="000000"/>
          <w:sz w:val="24"/>
          <w:szCs w:val="24"/>
        </w:rPr>
        <w:t xml:space="preserve">Bordit </w:t>
      </w:r>
      <w:r w:rsidRPr="00FD5D1B">
        <w:rPr>
          <w:rFonts w:ascii="Garamond" w:hAnsi="Garamond"/>
          <w:color w:val="000000"/>
          <w:sz w:val="24"/>
          <w:szCs w:val="24"/>
        </w:rPr>
        <w:t xml:space="preserve">në rast se ka siguruar prova të reja që mund ta çojnë </w:t>
      </w:r>
      <w:r w:rsidR="004A4A40" w:rsidRPr="00FD5D1B">
        <w:rPr>
          <w:rFonts w:ascii="Garamond" w:hAnsi="Garamond"/>
          <w:color w:val="000000"/>
          <w:sz w:val="24"/>
          <w:szCs w:val="24"/>
        </w:rPr>
        <w:t xml:space="preserve">Bordin </w:t>
      </w:r>
      <w:r w:rsidRPr="00FD5D1B">
        <w:rPr>
          <w:rFonts w:ascii="Garamond" w:hAnsi="Garamond"/>
          <w:color w:val="000000"/>
          <w:sz w:val="24"/>
          <w:szCs w:val="24"/>
        </w:rPr>
        <w:t>në marrjen e një vendimi të ndryshëm nga i mëparshmi apo për gabime materiale të konstatuara. Për këtë vendim mund të bëhet ankim në Gjykatën Administrative Tiranë, brenda 30 ditëve kalendarike nga dita e publikimit në Fletoren Zyrtare.</w:t>
      </w:r>
    </w:p>
    <w:p w14:paraId="51C6AC8F" w14:textId="5CE6482C" w:rsidR="00FD5D1B" w:rsidRDefault="00FD5D1B" w:rsidP="00FD5D1B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szCs w:val="24"/>
        </w:rPr>
      </w:pPr>
      <w:r w:rsidRPr="00FD5D1B">
        <w:rPr>
          <w:rFonts w:ascii="Garamond" w:hAnsi="Garamond"/>
          <w:color w:val="000000"/>
          <w:sz w:val="24"/>
          <w:szCs w:val="24"/>
        </w:rPr>
        <w:t>Ky vendim botohet në Fletoren Zyrtare.</w:t>
      </w:r>
    </w:p>
    <w:p w14:paraId="096BB0C1" w14:textId="77777777" w:rsidR="00FD5D1B" w:rsidRPr="00FD5D1B" w:rsidRDefault="00FD5D1B" w:rsidP="00FD5D1B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szCs w:val="24"/>
        </w:rPr>
      </w:pPr>
    </w:p>
    <w:p w14:paraId="4DD6D0D3" w14:textId="03689DC1" w:rsidR="00FD5D1B" w:rsidRPr="00FD5D1B" w:rsidRDefault="00FD5D1B" w:rsidP="00FD5D1B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/>
          <w:bCs/>
          <w:color w:val="000000"/>
          <w:sz w:val="24"/>
          <w:szCs w:val="24"/>
        </w:rPr>
      </w:pPr>
      <w:r w:rsidRPr="00FD5D1B">
        <w:rPr>
          <w:rFonts w:ascii="Garamond" w:hAnsi="Garamond"/>
          <w:bCs/>
          <w:color w:val="000000"/>
          <w:sz w:val="24"/>
          <w:szCs w:val="24"/>
        </w:rPr>
        <w:t>KRYETAR</w:t>
      </w:r>
    </w:p>
    <w:p w14:paraId="4516178D" w14:textId="199846DC" w:rsidR="00FD5D1B" w:rsidRPr="00FD5D1B" w:rsidRDefault="00FD5D1B" w:rsidP="00FD5D1B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/>
          <w:b/>
          <w:bCs/>
          <w:color w:val="000000"/>
          <w:sz w:val="24"/>
          <w:szCs w:val="24"/>
        </w:rPr>
      </w:pPr>
      <w:r w:rsidRPr="00FD5D1B">
        <w:rPr>
          <w:rFonts w:ascii="Garamond" w:hAnsi="Garamond"/>
          <w:b/>
          <w:bCs/>
          <w:color w:val="000000"/>
          <w:sz w:val="24"/>
          <w:szCs w:val="24"/>
        </w:rPr>
        <w:t>Petrit Ahmeti</w:t>
      </w:r>
    </w:p>
    <w:p w14:paraId="7B926173" w14:textId="77777777" w:rsidR="00FD5D1B" w:rsidRPr="00FD5D1B" w:rsidRDefault="00FD5D1B" w:rsidP="00FD5D1B">
      <w:pPr>
        <w:tabs>
          <w:tab w:val="left" w:pos="5160"/>
        </w:tabs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/>
          <w:b/>
          <w:bCs/>
          <w:color w:val="000000"/>
          <w:sz w:val="24"/>
          <w:szCs w:val="24"/>
        </w:rPr>
      </w:pPr>
    </w:p>
    <w:sectPr w:rsidR="00FD5D1B" w:rsidRPr="00FD5D1B" w:rsidSect="004A4A40">
      <w:pgSz w:w="12240" w:h="15840"/>
      <w:pgMar w:top="1440" w:right="1440" w:bottom="1440" w:left="1440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05524C4" w14:textId="77777777" w:rsidR="004A4A40" w:rsidRDefault="004A4A40">
      <w:pPr>
        <w:spacing w:after="0" w:line="240" w:lineRule="auto"/>
      </w:pPr>
      <w:r>
        <w:separator/>
      </w:r>
    </w:p>
  </w:endnote>
  <w:endnote w:type="continuationSeparator" w:id="0">
    <w:p w14:paraId="45B62E49" w14:textId="77777777" w:rsidR="004A4A40" w:rsidRDefault="004A4A40">
      <w:pPr>
        <w:spacing w:after="0" w:line="240" w:lineRule="auto"/>
      </w:pPr>
      <w:r>
        <w:continuationSeparator/>
      </w:r>
    </w:p>
  </w:endnote>
  <w:endnote w:type="continuationNotice" w:id="1">
    <w:p w14:paraId="124E6CA9" w14:textId="77777777" w:rsidR="00E979D0" w:rsidRDefault="00E979D0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DD72057" w14:textId="77777777" w:rsidR="004A4A40" w:rsidRDefault="004A4A40">
      <w:pPr>
        <w:spacing w:after="0" w:line="240" w:lineRule="auto"/>
      </w:pPr>
      <w:r>
        <w:separator/>
      </w:r>
    </w:p>
  </w:footnote>
  <w:footnote w:type="continuationSeparator" w:id="0">
    <w:p w14:paraId="4F2F1696" w14:textId="77777777" w:rsidR="004A4A40" w:rsidRDefault="004A4A40">
      <w:pPr>
        <w:spacing w:after="0" w:line="240" w:lineRule="auto"/>
      </w:pPr>
      <w:r>
        <w:continuationSeparator/>
      </w:r>
    </w:p>
  </w:footnote>
  <w:footnote w:type="continuationNotice" w:id="1">
    <w:p w14:paraId="1D7DBE6F" w14:textId="77777777" w:rsidR="00E979D0" w:rsidRDefault="00E979D0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1"/>
    <w:multiLevelType w:val="hybridMultilevel"/>
    <w:tmpl w:val="D498512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0000002"/>
    <w:multiLevelType w:val="hybridMultilevel"/>
    <w:tmpl w:val="F5A8CA84"/>
    <w:lvl w:ilvl="0" w:tplc="C56097BE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0000003"/>
    <w:multiLevelType w:val="hybridMultilevel"/>
    <w:tmpl w:val="7A50CCA6"/>
    <w:lvl w:ilvl="0" w:tplc="799E443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2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0000004"/>
    <w:multiLevelType w:val="hybridMultilevel"/>
    <w:tmpl w:val="63182A38"/>
    <w:lvl w:ilvl="0" w:tplc="6510A4F2">
      <w:start w:val="5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0000005"/>
    <w:multiLevelType w:val="hybridMultilevel"/>
    <w:tmpl w:val="92B6FE20"/>
    <w:lvl w:ilvl="0" w:tplc="999C743E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0000006"/>
    <w:multiLevelType w:val="hybridMultilevel"/>
    <w:tmpl w:val="3510F3F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0000007"/>
    <w:multiLevelType w:val="hybridMultilevel"/>
    <w:tmpl w:val="8CFE91BE"/>
    <w:lvl w:ilvl="0" w:tplc="8BDCFBAC">
      <w:start w:val="1"/>
      <w:numFmt w:val="decimal"/>
      <w:suff w:val="space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720" w:hanging="360"/>
      </w:pPr>
    </w:lvl>
    <w:lvl w:ilvl="2" w:tplc="0409001B" w:tentative="1">
      <w:start w:val="1"/>
      <w:numFmt w:val="lowerRoman"/>
      <w:lvlText w:val="%3."/>
      <w:lvlJc w:val="right"/>
      <w:pPr>
        <w:ind w:left="1440" w:hanging="180"/>
      </w:pPr>
    </w:lvl>
    <w:lvl w:ilvl="3" w:tplc="0409000F" w:tentative="1">
      <w:start w:val="1"/>
      <w:numFmt w:val="decimal"/>
      <w:lvlText w:val="%4."/>
      <w:lvlJc w:val="left"/>
      <w:pPr>
        <w:ind w:left="2160" w:hanging="360"/>
      </w:pPr>
    </w:lvl>
    <w:lvl w:ilvl="4" w:tplc="04090019" w:tentative="1">
      <w:start w:val="1"/>
      <w:numFmt w:val="lowerLetter"/>
      <w:lvlText w:val="%5."/>
      <w:lvlJc w:val="left"/>
      <w:pPr>
        <w:ind w:left="2880" w:hanging="360"/>
      </w:pPr>
    </w:lvl>
    <w:lvl w:ilvl="5" w:tplc="0409001B" w:tentative="1">
      <w:start w:val="1"/>
      <w:numFmt w:val="lowerRoman"/>
      <w:lvlText w:val="%6."/>
      <w:lvlJc w:val="right"/>
      <w:pPr>
        <w:ind w:left="3600" w:hanging="180"/>
      </w:pPr>
    </w:lvl>
    <w:lvl w:ilvl="6" w:tplc="0409000F" w:tentative="1">
      <w:start w:val="1"/>
      <w:numFmt w:val="decimal"/>
      <w:lvlText w:val="%7."/>
      <w:lvlJc w:val="left"/>
      <w:pPr>
        <w:ind w:left="4320" w:hanging="360"/>
      </w:pPr>
    </w:lvl>
    <w:lvl w:ilvl="7" w:tplc="04090019" w:tentative="1">
      <w:start w:val="1"/>
      <w:numFmt w:val="lowerLetter"/>
      <w:lvlText w:val="%8."/>
      <w:lvlJc w:val="left"/>
      <w:pPr>
        <w:ind w:left="5040" w:hanging="360"/>
      </w:pPr>
    </w:lvl>
    <w:lvl w:ilvl="8" w:tplc="0409001B" w:tentative="1">
      <w:start w:val="1"/>
      <w:numFmt w:val="lowerRoman"/>
      <w:lvlText w:val="%9."/>
      <w:lvlJc w:val="right"/>
      <w:pPr>
        <w:ind w:left="5760" w:hanging="180"/>
      </w:pPr>
    </w:lvl>
  </w:abstractNum>
  <w:abstractNum w:abstractNumId="7" w15:restartNumberingAfterBreak="0">
    <w:nsid w:val="00000008"/>
    <w:multiLevelType w:val="hybridMultilevel"/>
    <w:tmpl w:val="1FAA26F8"/>
    <w:lvl w:ilvl="0" w:tplc="3E1E8704">
      <w:start w:val="1"/>
      <w:numFmt w:val="decimal"/>
      <w:lvlText w:val="%1."/>
      <w:lvlJc w:val="left"/>
      <w:pPr>
        <w:ind w:left="720" w:hanging="360"/>
      </w:pPr>
      <w:rPr>
        <w:rFonts w:ascii="Calibri" w:eastAsia="Times New Roman" w:hAnsi="Calibri" w:hint="default"/>
        <w:b w:val="0"/>
        <w:sz w:val="2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00000009"/>
    <w:multiLevelType w:val="hybridMultilevel"/>
    <w:tmpl w:val="9DBA7492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0000000A"/>
    <w:multiLevelType w:val="hybridMultilevel"/>
    <w:tmpl w:val="0B98403E"/>
    <w:lvl w:ilvl="0" w:tplc="143A5562">
      <w:start w:val="1"/>
      <w:numFmt w:val="bullet"/>
      <w:lvlText w:val="-"/>
      <w:lvlJc w:val="left"/>
      <w:pPr>
        <w:ind w:left="1080" w:hanging="360"/>
      </w:pPr>
      <w:rPr>
        <w:rFonts w:ascii="Times New Roman" w:eastAsia="SimSu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 w15:restartNumberingAfterBreak="0">
    <w:nsid w:val="0000000B"/>
    <w:multiLevelType w:val="hybridMultilevel"/>
    <w:tmpl w:val="8CA0370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0000000C"/>
    <w:multiLevelType w:val="hybridMultilevel"/>
    <w:tmpl w:val="1338AAFA"/>
    <w:lvl w:ilvl="0" w:tplc="A3B250AC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0000000D"/>
    <w:multiLevelType w:val="hybridMultilevel"/>
    <w:tmpl w:val="0E02AB0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0000000E"/>
    <w:multiLevelType w:val="hybridMultilevel"/>
    <w:tmpl w:val="9B5A5B36"/>
    <w:lvl w:ilvl="0" w:tplc="04090009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  <w:sz w:val="20"/>
      </w:r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0000000F"/>
    <w:multiLevelType w:val="hybridMultilevel"/>
    <w:tmpl w:val="88FCBA7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00000010"/>
    <w:multiLevelType w:val="hybridMultilevel"/>
    <w:tmpl w:val="95BE39AA"/>
    <w:lvl w:ilvl="0" w:tplc="0409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00000011"/>
    <w:multiLevelType w:val="hybridMultilevel"/>
    <w:tmpl w:val="E21867D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00000012"/>
    <w:multiLevelType w:val="hybridMultilevel"/>
    <w:tmpl w:val="A9F2589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0"/>
      </w:r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00000013"/>
    <w:multiLevelType w:val="hybridMultilevel"/>
    <w:tmpl w:val="4AA4FCB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00000014"/>
    <w:multiLevelType w:val="hybridMultilevel"/>
    <w:tmpl w:val="591284E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00000015"/>
    <w:multiLevelType w:val="hybridMultilevel"/>
    <w:tmpl w:val="3E22F1BE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00000016"/>
    <w:multiLevelType w:val="hybridMultilevel"/>
    <w:tmpl w:val="ECB6C72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2" w:tplc="04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2" w15:restartNumberingAfterBreak="0">
    <w:nsid w:val="00000017"/>
    <w:multiLevelType w:val="hybridMultilevel"/>
    <w:tmpl w:val="C3842752"/>
    <w:lvl w:ilvl="0" w:tplc="04090009">
      <w:start w:val="1"/>
      <w:numFmt w:val="bullet"/>
      <w:lvlText w:val=""/>
      <w:lvlJc w:val="left"/>
      <w:pPr>
        <w:ind w:left="10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3" w15:restartNumberingAfterBreak="0">
    <w:nsid w:val="00000018"/>
    <w:multiLevelType w:val="hybridMultilevel"/>
    <w:tmpl w:val="F7E26104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2" w:tplc="04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4" w15:restartNumberingAfterBreak="0">
    <w:nsid w:val="00000019"/>
    <w:multiLevelType w:val="hybridMultilevel"/>
    <w:tmpl w:val="B842558E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  <w:sz w:val="20"/>
      </w:r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0000001A"/>
    <w:multiLevelType w:val="hybridMultilevel"/>
    <w:tmpl w:val="E0A0DABE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6" w15:restartNumberingAfterBreak="0">
    <w:nsid w:val="0000001B"/>
    <w:multiLevelType w:val="hybridMultilevel"/>
    <w:tmpl w:val="4E92B2DA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0000001C"/>
    <w:multiLevelType w:val="hybridMultilevel"/>
    <w:tmpl w:val="6870069C"/>
    <w:lvl w:ilvl="0" w:tplc="AAD6473E">
      <w:start w:val="1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  <w:color w:val="auto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0000001D"/>
    <w:multiLevelType w:val="hybridMultilevel"/>
    <w:tmpl w:val="12163298"/>
    <w:lvl w:ilvl="0" w:tplc="733A16CA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0000001E"/>
    <w:multiLevelType w:val="hybridMultilevel"/>
    <w:tmpl w:val="A762DE3C"/>
    <w:lvl w:ilvl="0" w:tplc="9F0AEE64">
      <w:start w:val="1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0000001F"/>
    <w:multiLevelType w:val="hybridMultilevel"/>
    <w:tmpl w:val="A0ECE41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00000020"/>
    <w:multiLevelType w:val="hybridMultilevel"/>
    <w:tmpl w:val="FC96B86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00000021"/>
    <w:multiLevelType w:val="hybridMultilevel"/>
    <w:tmpl w:val="6D9C6FE2"/>
    <w:lvl w:ilvl="0" w:tplc="6510A4F2">
      <w:start w:val="5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00000022"/>
    <w:multiLevelType w:val="hybridMultilevel"/>
    <w:tmpl w:val="11846E3E"/>
    <w:lvl w:ilvl="0" w:tplc="CC2EBB9E">
      <w:start w:val="1"/>
      <w:numFmt w:val="bullet"/>
      <w:lvlText w:val="-"/>
      <w:lvlJc w:val="left"/>
      <w:pPr>
        <w:ind w:left="108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4" w15:restartNumberingAfterBreak="0">
    <w:nsid w:val="00000023"/>
    <w:multiLevelType w:val="hybridMultilevel"/>
    <w:tmpl w:val="4E046A2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5" w15:restartNumberingAfterBreak="0">
    <w:nsid w:val="036B4D3D"/>
    <w:multiLevelType w:val="hybridMultilevel"/>
    <w:tmpl w:val="A47A8D2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2" w:tplc="04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6" w15:restartNumberingAfterBreak="0">
    <w:nsid w:val="671D1BF6"/>
    <w:multiLevelType w:val="hybridMultilevel"/>
    <w:tmpl w:val="BC6AC46E"/>
    <w:lvl w:ilvl="0" w:tplc="AAD6473E">
      <w:start w:val="1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7"/>
  </w:num>
  <w:num w:numId="2">
    <w:abstractNumId w:val="30"/>
  </w:num>
  <w:num w:numId="3">
    <w:abstractNumId w:val="10"/>
  </w:num>
  <w:num w:numId="4">
    <w:abstractNumId w:val="20"/>
  </w:num>
  <w:num w:numId="5">
    <w:abstractNumId w:val="16"/>
  </w:num>
  <w:num w:numId="6">
    <w:abstractNumId w:val="14"/>
  </w:num>
  <w:num w:numId="7">
    <w:abstractNumId w:val="9"/>
  </w:num>
  <w:num w:numId="8">
    <w:abstractNumId w:val="6"/>
  </w:num>
  <w:num w:numId="9">
    <w:abstractNumId w:val="28"/>
  </w:num>
  <w:num w:numId="10">
    <w:abstractNumId w:val="21"/>
  </w:num>
  <w:num w:numId="11">
    <w:abstractNumId w:val="0"/>
  </w:num>
  <w:num w:numId="12">
    <w:abstractNumId w:val="15"/>
  </w:num>
  <w:num w:numId="13">
    <w:abstractNumId w:val="34"/>
  </w:num>
  <w:num w:numId="14">
    <w:abstractNumId w:val="31"/>
  </w:num>
  <w:num w:numId="15">
    <w:abstractNumId w:val="3"/>
  </w:num>
  <w:num w:numId="16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32"/>
  </w:num>
  <w:num w:numId="18">
    <w:abstractNumId w:val="4"/>
  </w:num>
  <w:num w:numId="19">
    <w:abstractNumId w:val="1"/>
  </w:num>
  <w:num w:numId="20">
    <w:abstractNumId w:val="12"/>
  </w:num>
  <w:num w:numId="21">
    <w:abstractNumId w:val="33"/>
  </w:num>
  <w:num w:numId="22">
    <w:abstractNumId w:val="8"/>
  </w:num>
  <w:num w:numId="23">
    <w:abstractNumId w:val="25"/>
  </w:num>
  <w:num w:numId="24">
    <w:abstractNumId w:val="26"/>
  </w:num>
  <w:num w:numId="25">
    <w:abstractNumId w:val="35"/>
  </w:num>
  <w:num w:numId="26">
    <w:abstractNumId w:val="23"/>
  </w:num>
  <w:num w:numId="27">
    <w:abstractNumId w:val="2"/>
  </w:num>
  <w:num w:numId="28">
    <w:abstractNumId w:val="24"/>
  </w:num>
  <w:num w:numId="29">
    <w:abstractNumId w:val="13"/>
  </w:num>
  <w:num w:numId="30">
    <w:abstractNumId w:val="29"/>
  </w:num>
  <w:num w:numId="31">
    <w:abstractNumId w:val="27"/>
  </w:num>
  <w:num w:numId="32">
    <w:abstractNumId w:val="13"/>
  </w:num>
  <w:num w:numId="33">
    <w:abstractNumId w:val="34"/>
  </w:num>
  <w:num w:numId="34">
    <w:abstractNumId w:val="7"/>
  </w:num>
  <w:num w:numId="35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6">
    <w:abstractNumId w:val="19"/>
  </w:num>
  <w:num w:numId="37">
    <w:abstractNumId w:val="22"/>
  </w:num>
  <w:num w:numId="38">
    <w:abstractNumId w:val="18"/>
  </w:num>
  <w:num w:numId="39">
    <w:abstractNumId w:val="17"/>
  </w:num>
  <w:num w:numId="40">
    <w:abstractNumId w:val="5"/>
  </w:num>
  <w:num w:numId="41">
    <w:abstractNumId w:val="3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F0F64"/>
    <w:rsid w:val="000610BF"/>
    <w:rsid w:val="001F46FE"/>
    <w:rsid w:val="00206335"/>
    <w:rsid w:val="00217EC4"/>
    <w:rsid w:val="004A3A8F"/>
    <w:rsid w:val="004A4A40"/>
    <w:rsid w:val="00536214"/>
    <w:rsid w:val="006259DC"/>
    <w:rsid w:val="007E4220"/>
    <w:rsid w:val="007E4EEB"/>
    <w:rsid w:val="00BF0F64"/>
    <w:rsid w:val="00E979D0"/>
    <w:rsid w:val="00FD5D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4FD10B0"/>
  <w15:docId w15:val="{4E51B7AA-4C23-4ABB-8A6B-6710F96BC3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SimSun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rFonts w:cs="Times New Roman"/>
      <w:lang w:val="sq-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pPr>
      <w:keepNext/>
      <w:spacing w:after="0" w:line="240" w:lineRule="auto"/>
      <w:jc w:val="right"/>
      <w:outlineLvl w:val="1"/>
    </w:pPr>
    <w:rPr>
      <w:rFonts w:ascii="Times New Roman" w:eastAsia="Times New Roman" w:hAnsi="Times New Roman"/>
      <w:sz w:val="28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rPr>
      <w:rFonts w:ascii="Times New Roman" w:eastAsia="Times New Roman" w:hAnsi="Times New Roman" w:cs="Times New Roman"/>
      <w:sz w:val="28"/>
      <w:szCs w:val="24"/>
    </w:rPr>
  </w:style>
  <w:style w:type="paragraph" w:styleId="Title">
    <w:name w:val="Title"/>
    <w:basedOn w:val="Normal"/>
    <w:link w:val="TitleChar"/>
    <w:uiPriority w:val="10"/>
    <w:qFormat/>
    <w:pPr>
      <w:spacing w:after="0" w:line="240" w:lineRule="auto"/>
      <w:jc w:val="center"/>
    </w:pPr>
    <w:rPr>
      <w:rFonts w:ascii="Times New Roman" w:eastAsia="Times New Roman" w:hAnsi="Times New Roman"/>
      <w:b/>
      <w:sz w:val="24"/>
      <w:szCs w:val="20"/>
    </w:rPr>
  </w:style>
  <w:style w:type="character" w:customStyle="1" w:styleId="TitleChar">
    <w:name w:val="Title Char"/>
    <w:basedOn w:val="DefaultParagraphFont"/>
    <w:link w:val="Title"/>
    <w:rPr>
      <w:rFonts w:ascii="Times New Roman" w:eastAsia="Times New Roman" w:hAnsi="Times New Roman" w:cs="Times New Roman"/>
      <w:b/>
      <w:sz w:val="24"/>
      <w:szCs w:val="20"/>
    </w:rPr>
  </w:style>
  <w:style w:type="paragraph" w:styleId="Header">
    <w:name w:val="header"/>
    <w:basedOn w:val="Normal"/>
    <w:link w:val="HeaderChar"/>
    <w:uiPriority w:val="9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Pr>
      <w:rFonts w:ascii="Calibri" w:eastAsia="Calibri" w:hAnsi="Calibri" w:cs="Times New Roman"/>
    </w:rPr>
  </w:style>
  <w:style w:type="paragraph" w:styleId="Footer">
    <w:name w:val="footer"/>
    <w:basedOn w:val="Normal"/>
    <w:link w:val="FooterChar"/>
    <w:uiPriority w:val="9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Pr>
      <w:rFonts w:ascii="Calibri" w:eastAsia="Calibri" w:hAnsi="Calibri" w:cs="Times New Roman"/>
    </w:rPr>
  </w:style>
  <w:style w:type="character" w:styleId="Hyperlink">
    <w:name w:val="Hyperlink"/>
    <w:basedOn w:val="DefaultParagraphFont"/>
    <w:uiPriority w:val="99"/>
    <w:rPr>
      <w:color w:val="0000FF"/>
      <w:u w:val="single"/>
    </w:rPr>
  </w:style>
  <w:style w:type="paragraph" w:styleId="NoSpacing">
    <w:name w:val="No Spacing"/>
    <w:uiPriority w:val="1"/>
    <w:qFormat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ListParagraph">
    <w:name w:val="List Paragraph"/>
    <w:basedOn w:val="Normal"/>
    <w:link w:val="ListParagraphChar"/>
    <w:uiPriority w:val="34"/>
    <w:qFormat/>
    <w:pPr>
      <w:ind w:left="720"/>
      <w:contextualSpacing/>
    </w:pPr>
  </w:style>
  <w:style w:type="character" w:customStyle="1" w:styleId="UnresolvedMention1">
    <w:name w:val="Unresolved Mention1"/>
    <w:basedOn w:val="DefaultParagraphFont"/>
    <w:uiPriority w:val="99"/>
    <w:rPr>
      <w:color w:val="605E5C"/>
      <w:shd w:val="clear" w:color="auto" w:fill="E1DFDD"/>
    </w:rPr>
  </w:style>
  <w:style w:type="paragraph" w:styleId="BalloonText">
    <w:name w:val="Balloon Text"/>
    <w:basedOn w:val="Normal"/>
    <w:link w:val="BalloonTextChar"/>
    <w:uiPriority w:val="9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rPr>
      <w:rFonts w:ascii="Segoe UI" w:eastAsia="Calibri" w:hAnsi="Segoe UI" w:cs="Segoe UI"/>
      <w:sz w:val="18"/>
      <w:szCs w:val="18"/>
    </w:rPr>
  </w:style>
  <w:style w:type="paragraph" w:styleId="HTMLPreformatted">
    <w:name w:val="HTML Preformatted"/>
    <w:basedOn w:val="Normal"/>
    <w:link w:val="HTMLPreformattedChar"/>
    <w:uiPriority w:val="99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rPr>
      <w:rFonts w:ascii="Courier New" w:eastAsia="Times New Roman" w:hAnsi="Courier New" w:cs="Courier New"/>
      <w:sz w:val="20"/>
      <w:szCs w:val="20"/>
    </w:rPr>
  </w:style>
  <w:style w:type="character" w:customStyle="1" w:styleId="ListParagraphChar">
    <w:name w:val="List Paragraph Char"/>
    <w:link w:val="ListParagraph"/>
    <w:uiPriority w:val="34"/>
    <w:qFormat/>
    <w:rPr>
      <w:rFonts w:ascii="Calibri" w:eastAsia="Calibri" w:hAnsi="Calibri" w:cs="Times New Roman"/>
    </w:rPr>
  </w:style>
  <w:style w:type="character" w:styleId="CommentReference">
    <w:name w:val="annotation reference"/>
    <w:uiPriority w:val="9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pPr>
      <w:spacing w:after="160"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Pr>
      <w:rFonts w:ascii="Calibri" w:eastAsia="Calibri" w:hAnsi="Calibri" w:cs="Times New Roman"/>
      <w:sz w:val="20"/>
      <w:szCs w:val="20"/>
    </w:rPr>
  </w:style>
  <w:style w:type="character" w:customStyle="1" w:styleId="cf01">
    <w:name w:val="cf01"/>
    <w:rPr>
      <w:rFonts w:ascii="Segoe UI" w:eastAsia="Calibri" w:hAnsi="Segoe UI" w:cs="Segoe UI" w:hint="default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numbering" Target="numbering.xml"/><Relationship Id="rId13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customXml" Target="../customXml/item7.xml"/><Relationship Id="rId12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webSettings" Target="webSettings.xml"/><Relationship Id="rId5" Type="http://schemas.openxmlformats.org/officeDocument/2006/relationships/customXml" Target="../customXml/item5.xml"/><Relationship Id="rId15" Type="http://schemas.openxmlformats.org/officeDocument/2006/relationships/theme" Target="theme/theme1.xml"/><Relationship Id="rId10" Type="http://schemas.openxmlformats.org/officeDocument/2006/relationships/settings" Target="settings.xml"/><Relationship Id="rId4" Type="http://schemas.openxmlformats.org/officeDocument/2006/relationships/customXml" Target="../customXml/item4.xml"/><Relationship Id="rId9" Type="http://schemas.openxmlformats.org/officeDocument/2006/relationships/styles" Target="style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_rels/item7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7.xml"/></Relationships>
</file>

<file path=customXml/item1.xml><?xml version="1.0" encoding="utf-8"?>
<mcd:customData xmlns="http://www.wps.cn/android/officeDocument/2013/mofficeCustomData" xmlns:mcd="http://www.wps.cn/android/officeDocument/2013/mofficeCustomData" version="2">
  <mcd:comments/>
</mcd:customData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5CE1C0EC7F114ABE8EDF9A6F6F525F07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6</Nr_x002e__x0020_akti>
    <Data_x0020_e_x0020_Krijimit xmlns="0e656187-b300-4fb0-8bf4-3a50f872073c">2025-01-24T10:08:48Z</Data_x0020_e_x0020_Krijimit>
    <URL xmlns="0e656187-b300-4fb0-8bf4-3a50f872073c" xsi:nil="true"/>
    <Institucion_x0020_Pergjegjes xmlns="0e656187-b300-4fb0-8bf4-3a50f872073c">http://qbz.gov.al/resource/authority/legal-institution/11|enti-rregullaror-i-energjise-elektrike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2025-01-23T00:00:00Z</Date_x0020_protokolli>
    <Titulli xmlns="0e656187-b300-4fb0-8bf4-3a50f872073c">Mbi fillimin e procedurës për shqyrtimin e kërkesës së shoqërisë “VOLTON” sh.p.k. për licencim në veprimtarinë e tregtimit të energjisë elektrike</Titulli>
    <Modifikuesi xmlns="0e656187-b300-4fb0-8bf4-3a50f872073c">nevila.samarxhi</Modifikuesi>
    <Nr_x002e__x0020_prot_x0020_QBZ xmlns="0e656187-b300-4fb0-8bf4-3a50f872073c">135/6</Nr_x002e__x0020_prot_x0020_QBZ>
    <Data_x0020_e_x0020_Modifikimit xmlns="0e656187-b300-4fb0-8bf4-3a50f872073c">2025-01-24T11:52:13Z</Data_x0020_e_x0020_Modifikimit>
    <Dekretuar xmlns="0e656187-b300-4fb0-8bf4-3a50f872073c">false</Dekretuar>
    <Data xmlns="0e656187-b300-4fb0-8bf4-3a50f872073c">2025-01-06T00:00:00Z</Data>
    <Nr_x002e__x0020_protokolli_x0020_i_x0020_aktit xmlns="0e656187-b300-4fb0-8bf4-3a50f872073c">245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6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5CE1C0EC7F114ABE8EDF9A6F6F525F07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7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2C38920-5C43-49AC-96B7-4A29F0B3A1F2}">
  <ds:schemaRefs>
    <ds:schemaRef ds:uri="http://www.wps.cn/android/officeDocument/2013/mofficeCustomData"/>
  </ds:schemaRefs>
</ds:datastoreItem>
</file>

<file path=customXml/itemProps2.xml><?xml version="1.0" encoding="utf-8"?>
<ds:datastoreItem xmlns:ds="http://schemas.openxmlformats.org/officeDocument/2006/customXml" ds:itemID="{B9551243-D98B-4412-9DF2-8AD8189ADB4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C2FCA948-9A00-47F4-AA34-611D6F72E265}">
  <ds:schemaRefs>
    <ds:schemaRef ds:uri="http://purl.org/dc/elements/1.1/"/>
    <ds:schemaRef ds:uri="http://www.w3.org/XML/1998/namespace"/>
    <ds:schemaRef ds:uri="http://purl.org/dc/dcmitype/"/>
    <ds:schemaRef ds:uri="http://schemas.microsoft.com/office/2006/documentManagement/types"/>
    <ds:schemaRef ds:uri="http://schemas.microsoft.com/office/2006/metadata/properties"/>
    <ds:schemaRef ds:uri="http://schemas.openxmlformats.org/package/2006/metadata/core-properties"/>
    <ds:schemaRef ds:uri="0e656187-b300-4fb0-8bf4-3a50f872073c"/>
    <ds:schemaRef ds:uri="http://purl.org/dc/terms/"/>
  </ds:schemaRefs>
</ds:datastoreItem>
</file>

<file path=customXml/itemProps4.xml><?xml version="1.0" encoding="utf-8"?>
<ds:datastoreItem xmlns:ds="http://schemas.openxmlformats.org/officeDocument/2006/customXml" ds:itemID="{DDA6614C-C397-4833-982D-0CB6C500938A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FB123E51-C9BD-47A6-ACF7-863C680CA551}">
  <ds:schemaRefs>
    <ds:schemaRef ds:uri="http://schemas.microsoft.com/sharepoint/v3/contenttype/forms"/>
  </ds:schemaRefs>
</ds:datastoreItem>
</file>

<file path=customXml/itemProps6.xml><?xml version="1.0" encoding="utf-8"?>
<ds:datastoreItem xmlns:ds="http://schemas.openxmlformats.org/officeDocument/2006/customXml" ds:itemID="{61E2E76D-8470-436E-B13C-28999F98BD7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7.xml><?xml version="1.0" encoding="utf-8"?>
<ds:datastoreItem xmlns:ds="http://schemas.openxmlformats.org/officeDocument/2006/customXml" ds:itemID="{F6AA15A3-1779-4F85-9191-8C1A0A5720C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581</Words>
  <Characters>3315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Dpa</Company>
  <LinksUpToDate>false</LinksUpToDate>
  <CharactersWithSpaces>3889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DJZM</dc:creator>
  <cp:lastModifiedBy>Fjora Cahani</cp:lastModifiedBy>
  <cp:revision>4</cp:revision>
  <cp:lastPrinted>2024-06-10T14:29:00Z</cp:lastPrinted>
  <dcterms:created xsi:type="dcterms:W3CDTF">2025-01-17T11:17:00Z</dcterms:created>
  <dcterms:modified xsi:type="dcterms:W3CDTF">2025-01-27T10:34:00Z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5f92028573ac4a9f957ccb0feb9a1287</vt:lpwstr>
  </property>
</Properties>
</file>