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DF661" w14:textId="77777777" w:rsidR="0011098F" w:rsidRPr="00854F79" w:rsidRDefault="006C0AEC">
      <w:pPr>
        <w:ind w:firstLine="284"/>
        <w:jc w:val="center"/>
        <w:rPr>
          <w:rFonts w:ascii="Garamond" w:hAnsi="Garamond"/>
          <w:b/>
          <w:bCs/>
        </w:rPr>
      </w:pPr>
      <w:bookmarkStart w:id="0" w:name="_Hlk131588363"/>
      <w:bookmarkStart w:id="1" w:name="_Hlk86319674"/>
      <w:bookmarkStart w:id="2" w:name="_Hlk124948700"/>
      <w:bookmarkStart w:id="3" w:name="_Hlk79582095"/>
      <w:bookmarkStart w:id="4" w:name="_Hlk134017384"/>
      <w:r w:rsidRPr="00854F79">
        <w:rPr>
          <w:rFonts w:ascii="Garamond" w:hAnsi="Garamond"/>
          <w:b/>
          <w:bCs/>
        </w:rPr>
        <w:t>VENDIM</w:t>
      </w:r>
    </w:p>
    <w:p w14:paraId="7091AF8B" w14:textId="1F991540" w:rsidR="0011098F" w:rsidRPr="00854F79" w:rsidRDefault="006C0AEC">
      <w:pPr>
        <w:ind w:firstLine="284"/>
        <w:jc w:val="center"/>
        <w:rPr>
          <w:rFonts w:ascii="Garamond" w:hAnsi="Garamond"/>
          <w:b/>
          <w:bCs/>
        </w:rPr>
      </w:pPr>
      <w:r w:rsidRPr="00854F79">
        <w:rPr>
          <w:rFonts w:ascii="Garamond" w:hAnsi="Garamond"/>
          <w:b/>
          <w:bCs/>
        </w:rPr>
        <w:t xml:space="preserve"> Nr. 26, datë 27.1.2025</w:t>
      </w:r>
    </w:p>
    <w:p w14:paraId="20084C34" w14:textId="77777777" w:rsidR="0011098F" w:rsidRPr="00854F79" w:rsidRDefault="0011098F">
      <w:pPr>
        <w:ind w:firstLine="284"/>
        <w:jc w:val="center"/>
        <w:rPr>
          <w:rFonts w:ascii="Garamond" w:hAnsi="Garamond"/>
          <w:b/>
          <w:bCs/>
        </w:rPr>
      </w:pPr>
    </w:p>
    <w:p w14:paraId="79601F29" w14:textId="121832D7" w:rsidR="0011098F" w:rsidRPr="00854F79" w:rsidRDefault="006C0AEC">
      <w:pPr>
        <w:ind w:firstLine="284"/>
        <w:jc w:val="center"/>
        <w:rPr>
          <w:rFonts w:ascii="Garamond" w:hAnsi="Garamond"/>
          <w:b/>
        </w:rPr>
      </w:pPr>
      <w:r w:rsidRPr="00854F79">
        <w:rPr>
          <w:rFonts w:ascii="Garamond" w:hAnsi="Garamond"/>
          <w:b/>
        </w:rPr>
        <w:t xml:space="preserve"> MBI FILLIMIN E PROCEDURËS </w:t>
      </w:r>
      <w:r w:rsidRPr="00854F79">
        <w:rPr>
          <w:rFonts w:ascii="Garamond" w:hAnsi="Garamond"/>
          <w:b/>
          <w:bCs/>
        </w:rPr>
        <w:t>PËR SHQYRTIMIN</w:t>
      </w:r>
      <w:r w:rsidRPr="00854F79">
        <w:rPr>
          <w:rFonts w:ascii="Garamond" w:hAnsi="Garamond"/>
        </w:rPr>
        <w:t xml:space="preserve"> </w:t>
      </w:r>
      <w:r w:rsidRPr="00854F79">
        <w:rPr>
          <w:rFonts w:ascii="Garamond" w:hAnsi="Garamond"/>
          <w:b/>
          <w:bCs/>
        </w:rPr>
        <w:t>E</w:t>
      </w:r>
      <w:r w:rsidRPr="00854F79">
        <w:rPr>
          <w:rFonts w:ascii="Garamond" w:hAnsi="Garamond"/>
        </w:rPr>
        <w:t xml:space="preserve"> </w:t>
      </w:r>
      <w:r w:rsidRPr="00854F79">
        <w:rPr>
          <w:rFonts w:ascii="Garamond" w:hAnsi="Garamond"/>
          <w:b/>
        </w:rPr>
        <w:t>KËRKESËS S</w:t>
      </w:r>
      <w:r w:rsidRPr="00854F79">
        <w:rPr>
          <w:rFonts w:ascii="Garamond" w:hAnsi="Garamond"/>
          <w:b/>
          <w:bCs/>
        </w:rPr>
        <w:t>Ë</w:t>
      </w:r>
      <w:r w:rsidRPr="00854F79">
        <w:rPr>
          <w:rFonts w:ascii="Garamond" w:hAnsi="Garamond"/>
          <w:b/>
        </w:rPr>
        <w:t xml:space="preserve"> SHOQËRISË </w:t>
      </w:r>
      <w:bookmarkEnd w:id="0"/>
      <w:bookmarkEnd w:id="1"/>
      <w:bookmarkEnd w:id="2"/>
      <w:bookmarkEnd w:id="3"/>
      <w:r w:rsidRPr="00854F79">
        <w:rPr>
          <w:rFonts w:ascii="Garamond" w:hAnsi="Garamond"/>
          <w:b/>
        </w:rPr>
        <w:t>“5GX ENERGY” SHPK PËR MARRJEN E AUTORIZIMIT NGA ERE PËR TRANSFERIMIN (NËPËRMJET VENDOSJES SË BARRËS SIGURUESE) TË ASETEVE FIKSE TË SAJ</w:t>
      </w:r>
    </w:p>
    <w:p w14:paraId="7798518A" w14:textId="77777777" w:rsidR="0011098F" w:rsidRPr="00854F79" w:rsidRDefault="0011098F">
      <w:pPr>
        <w:ind w:firstLine="284"/>
        <w:jc w:val="center"/>
        <w:rPr>
          <w:rFonts w:ascii="Garamond" w:hAnsi="Garamond"/>
          <w:b/>
        </w:rPr>
      </w:pPr>
    </w:p>
    <w:bookmarkEnd w:id="4"/>
    <w:p w14:paraId="297D1FD5" w14:textId="65B44962" w:rsidR="0011098F" w:rsidRPr="00854F79" w:rsidRDefault="006C0AEC">
      <w:pPr>
        <w:tabs>
          <w:tab w:val="left" w:pos="0"/>
        </w:tabs>
        <w:ind w:firstLine="284"/>
        <w:jc w:val="both"/>
        <w:rPr>
          <w:rFonts w:ascii="Garamond" w:hAnsi="Garamond"/>
          <w:b/>
        </w:rPr>
      </w:pPr>
      <w:r w:rsidRPr="00854F79">
        <w:rPr>
          <w:rFonts w:ascii="Garamond" w:hAnsi="Garamond"/>
          <w:bCs/>
        </w:rPr>
        <w:t xml:space="preserve">Në mbështetje të </w:t>
      </w:r>
      <w:bookmarkStart w:id="5" w:name="_Hlk86319738"/>
      <w:r w:rsidRPr="00854F79">
        <w:rPr>
          <w:rFonts w:ascii="Garamond" w:hAnsi="Garamond"/>
        </w:rPr>
        <w:t xml:space="preserve">neneve 16, 20, </w:t>
      </w:r>
      <w:r w:rsidR="00854F79" w:rsidRPr="00854F79">
        <w:rPr>
          <w:rFonts w:ascii="Garamond" w:hAnsi="Garamond"/>
        </w:rPr>
        <w:t>germa</w:t>
      </w:r>
      <w:r w:rsidRPr="00854F79">
        <w:rPr>
          <w:rFonts w:ascii="Garamond" w:hAnsi="Garamond"/>
        </w:rPr>
        <w:t xml:space="preserve"> “a”, dhe 44</w:t>
      </w:r>
      <w:r w:rsidR="00854F79">
        <w:rPr>
          <w:rFonts w:ascii="Garamond" w:hAnsi="Garamond"/>
        </w:rPr>
        <w:t>,</w:t>
      </w:r>
      <w:r w:rsidRPr="00854F79">
        <w:rPr>
          <w:rFonts w:ascii="Garamond" w:hAnsi="Garamond"/>
        </w:rPr>
        <w:t xml:space="preserve"> të ligjit nr. 43/2015, “</w:t>
      </w:r>
      <w:r w:rsidRPr="00854F79">
        <w:rPr>
          <w:rFonts w:ascii="Garamond" w:hAnsi="Garamond"/>
          <w:iCs/>
        </w:rPr>
        <w:t>Për sektorin e energjisë elektrike</w:t>
      </w:r>
      <w:r w:rsidRPr="00854F79">
        <w:rPr>
          <w:rFonts w:ascii="Garamond" w:hAnsi="Garamond"/>
        </w:rPr>
        <w:t xml:space="preserve">”, </w:t>
      </w:r>
      <w:r w:rsidR="00854F79" w:rsidRPr="00854F79">
        <w:rPr>
          <w:rFonts w:ascii="Garamond" w:hAnsi="Garamond"/>
          <w:bCs/>
        </w:rPr>
        <w:t>të</w:t>
      </w:r>
      <w:r w:rsidRPr="00854F79">
        <w:rPr>
          <w:rFonts w:ascii="Garamond" w:hAnsi="Garamond"/>
        </w:rPr>
        <w:t xml:space="preserve"> ndryshuar;</w:t>
      </w:r>
      <w:r w:rsidR="00854F79" w:rsidRPr="00854F79">
        <w:rPr>
          <w:rFonts w:ascii="Garamond" w:hAnsi="Garamond"/>
          <w:bCs/>
        </w:rPr>
        <w:t xml:space="preserve"> të</w:t>
      </w:r>
      <w:r w:rsidRPr="00854F79">
        <w:rPr>
          <w:rFonts w:ascii="Garamond" w:hAnsi="Garamond"/>
        </w:rPr>
        <w:t xml:space="preserve"> neneve 4, </w:t>
      </w:r>
      <w:r w:rsidR="00854F79" w:rsidRPr="00854F79">
        <w:rPr>
          <w:rFonts w:ascii="Garamond" w:hAnsi="Garamond"/>
        </w:rPr>
        <w:t>germat</w:t>
      </w:r>
      <w:r w:rsidRPr="00854F79">
        <w:rPr>
          <w:rFonts w:ascii="Garamond" w:hAnsi="Garamond"/>
        </w:rPr>
        <w:t xml:space="preserve"> “a” dhe “b”, nenit 6, 7 dhe 8</w:t>
      </w:r>
      <w:r w:rsidR="00854F79">
        <w:rPr>
          <w:rFonts w:ascii="Garamond" w:hAnsi="Garamond"/>
        </w:rPr>
        <w:t>,</w:t>
      </w:r>
      <w:r w:rsidRPr="00854F79">
        <w:rPr>
          <w:rFonts w:ascii="Garamond" w:hAnsi="Garamond"/>
        </w:rPr>
        <w:t xml:space="preserve"> të </w:t>
      </w:r>
      <w:r w:rsidR="00854F79">
        <w:rPr>
          <w:rFonts w:ascii="Garamond" w:hAnsi="Garamond"/>
        </w:rPr>
        <w:t>“</w:t>
      </w:r>
      <w:r w:rsidRPr="00854F79">
        <w:rPr>
          <w:rFonts w:ascii="Garamond" w:hAnsi="Garamond"/>
        </w:rPr>
        <w:t xml:space="preserve">Rregullores së procedurave të transferimit të aseteve nga të </w:t>
      </w:r>
      <w:r w:rsidR="00854F79" w:rsidRPr="00854F79">
        <w:rPr>
          <w:rFonts w:ascii="Garamond" w:hAnsi="Garamond"/>
        </w:rPr>
        <w:t>licencuarit</w:t>
      </w:r>
      <w:r w:rsidR="00854F79">
        <w:rPr>
          <w:rFonts w:ascii="Garamond" w:hAnsi="Garamond"/>
        </w:rPr>
        <w:t>”</w:t>
      </w:r>
      <w:r w:rsidRPr="00854F79">
        <w:rPr>
          <w:rFonts w:ascii="Garamond" w:hAnsi="Garamond"/>
        </w:rPr>
        <w:t xml:space="preserve">, miratuar me vendimin e </w:t>
      </w:r>
      <w:r w:rsidR="00854F79" w:rsidRPr="00854F79">
        <w:rPr>
          <w:rFonts w:ascii="Garamond" w:hAnsi="Garamond"/>
        </w:rPr>
        <w:t xml:space="preserve">Bordit </w:t>
      </w:r>
      <w:r w:rsidRPr="00854F79">
        <w:rPr>
          <w:rFonts w:ascii="Garamond" w:hAnsi="Garamond"/>
        </w:rPr>
        <w:t>të Entit Rregullator t</w:t>
      </w:r>
      <w:r w:rsidRPr="00854F79">
        <w:rPr>
          <w:rFonts w:ascii="Garamond" w:hAnsi="Garamond"/>
          <w:bCs/>
        </w:rPr>
        <w:t xml:space="preserve">ë </w:t>
      </w:r>
      <w:r w:rsidRPr="00854F79">
        <w:rPr>
          <w:rFonts w:ascii="Garamond" w:hAnsi="Garamond"/>
        </w:rPr>
        <w:t>Energjis</w:t>
      </w:r>
      <w:r w:rsidRPr="00854F79">
        <w:rPr>
          <w:rFonts w:ascii="Garamond" w:hAnsi="Garamond"/>
          <w:bCs/>
        </w:rPr>
        <w:t>ë (ERE)</w:t>
      </w:r>
      <w:r w:rsidRPr="00854F79">
        <w:rPr>
          <w:rFonts w:ascii="Garamond" w:hAnsi="Garamond"/>
        </w:rPr>
        <w:t xml:space="preserve"> nr. 119, datë 21.7.2016; </w:t>
      </w:r>
      <w:r w:rsidR="00854F79" w:rsidRPr="00854F79">
        <w:rPr>
          <w:rFonts w:ascii="Garamond" w:hAnsi="Garamond"/>
          <w:bCs/>
        </w:rPr>
        <w:t>të</w:t>
      </w:r>
      <w:r w:rsidR="00854F79" w:rsidRPr="00854F79">
        <w:rPr>
          <w:rFonts w:ascii="Garamond" w:hAnsi="Garamond"/>
        </w:rPr>
        <w:t xml:space="preserve"> </w:t>
      </w:r>
      <w:r w:rsidRPr="00854F79">
        <w:rPr>
          <w:rFonts w:ascii="Garamond" w:hAnsi="Garamond"/>
        </w:rPr>
        <w:t xml:space="preserve">neneve 15 dhe 19, pika 1, </w:t>
      </w:r>
      <w:r w:rsidR="00854F79" w:rsidRPr="00854F79">
        <w:rPr>
          <w:rFonts w:ascii="Garamond" w:hAnsi="Garamond"/>
        </w:rPr>
        <w:t>germa</w:t>
      </w:r>
      <w:r w:rsidRPr="00854F79">
        <w:rPr>
          <w:rFonts w:ascii="Garamond" w:hAnsi="Garamond"/>
        </w:rPr>
        <w:t xml:space="preserve"> “a”, të </w:t>
      </w:r>
      <w:r w:rsidR="00854F79">
        <w:rPr>
          <w:rFonts w:ascii="Garamond" w:hAnsi="Garamond"/>
        </w:rPr>
        <w:t>“</w:t>
      </w:r>
      <w:r w:rsidRPr="00854F79">
        <w:rPr>
          <w:rFonts w:ascii="Garamond" w:hAnsi="Garamond"/>
        </w:rPr>
        <w:t>Rregullores për organizimin, funksionimin dhe procedurat e ERE-s</w:t>
      </w:r>
      <w:r w:rsidR="00854F79">
        <w:rPr>
          <w:rFonts w:ascii="Garamond" w:hAnsi="Garamond"/>
        </w:rPr>
        <w:t>”</w:t>
      </w:r>
      <w:r w:rsidRPr="00854F79">
        <w:rPr>
          <w:rFonts w:ascii="Garamond" w:hAnsi="Garamond"/>
        </w:rPr>
        <w:t xml:space="preserve">, miratuar me vendimin e </w:t>
      </w:r>
      <w:r w:rsidR="00854F79" w:rsidRPr="00854F79">
        <w:rPr>
          <w:rFonts w:ascii="Garamond" w:hAnsi="Garamond"/>
        </w:rPr>
        <w:t xml:space="preserve">Bordit </w:t>
      </w:r>
      <w:r w:rsidRPr="00854F79">
        <w:rPr>
          <w:rFonts w:ascii="Garamond" w:hAnsi="Garamond"/>
        </w:rPr>
        <w:t>t</w:t>
      </w:r>
      <w:r w:rsidRPr="00854F79">
        <w:rPr>
          <w:rFonts w:ascii="Garamond" w:hAnsi="Garamond"/>
          <w:bCs/>
        </w:rPr>
        <w:t>ë ERE</w:t>
      </w:r>
      <w:r w:rsidR="00854F79">
        <w:rPr>
          <w:rFonts w:ascii="Garamond" w:hAnsi="Garamond"/>
          <w:bCs/>
        </w:rPr>
        <w:t>-s</w:t>
      </w:r>
      <w:r w:rsidRPr="00854F79">
        <w:rPr>
          <w:rFonts w:ascii="Garamond" w:hAnsi="Garamond"/>
          <w:bCs/>
        </w:rPr>
        <w:t xml:space="preserve"> </w:t>
      </w:r>
      <w:r w:rsidRPr="00854F79">
        <w:rPr>
          <w:rFonts w:ascii="Garamond" w:hAnsi="Garamond"/>
        </w:rPr>
        <w:t>nr. 96, datë 17.6.2016</w:t>
      </w:r>
      <w:bookmarkEnd w:id="5"/>
      <w:r w:rsidRPr="00854F79">
        <w:rPr>
          <w:rFonts w:ascii="Garamond" w:hAnsi="Garamond"/>
        </w:rPr>
        <w:t>; si dhe pikës 1.3 dhe pikës 1.6</w:t>
      </w:r>
      <w:r w:rsidR="00854F79">
        <w:rPr>
          <w:rFonts w:ascii="Garamond" w:hAnsi="Garamond"/>
        </w:rPr>
        <w:t>,</w:t>
      </w:r>
      <w:r w:rsidRPr="00854F79">
        <w:rPr>
          <w:rFonts w:ascii="Garamond" w:hAnsi="Garamond"/>
        </w:rPr>
        <w:t xml:space="preserve"> të “Kushteve të licencës për prodhimin e energjisë elektrike”</w:t>
      </w:r>
      <w:r w:rsidR="00854F79">
        <w:rPr>
          <w:rFonts w:ascii="Garamond" w:hAnsi="Garamond"/>
        </w:rPr>
        <w:t>,</w:t>
      </w:r>
      <w:r w:rsidRPr="00854F79">
        <w:rPr>
          <w:rFonts w:ascii="Garamond" w:hAnsi="Garamond"/>
        </w:rPr>
        <w:t xml:space="preserve"> miratuar me vendimin e </w:t>
      </w:r>
      <w:r w:rsidR="00854F79" w:rsidRPr="00854F79">
        <w:rPr>
          <w:rFonts w:ascii="Garamond" w:hAnsi="Garamond"/>
        </w:rPr>
        <w:t xml:space="preserve">Bordit </w:t>
      </w:r>
      <w:r w:rsidRPr="00854F79">
        <w:rPr>
          <w:rFonts w:ascii="Garamond" w:hAnsi="Garamond"/>
        </w:rPr>
        <w:t>t</w:t>
      </w:r>
      <w:r w:rsidRPr="00854F79">
        <w:rPr>
          <w:rFonts w:ascii="Garamond" w:hAnsi="Garamond"/>
          <w:bCs/>
        </w:rPr>
        <w:t>ë ERE</w:t>
      </w:r>
      <w:r w:rsidR="00854F79">
        <w:rPr>
          <w:rFonts w:ascii="Garamond" w:hAnsi="Garamond"/>
          <w:bCs/>
        </w:rPr>
        <w:t>-s</w:t>
      </w:r>
      <w:r w:rsidRPr="00854F79">
        <w:rPr>
          <w:rFonts w:ascii="Garamond" w:hAnsi="Garamond"/>
          <w:bCs/>
        </w:rPr>
        <w:t xml:space="preserve"> nr. 99, datë 17.6.2026</w:t>
      </w:r>
      <w:r w:rsidRPr="00854F79">
        <w:rPr>
          <w:rFonts w:ascii="Garamond" w:hAnsi="Garamond"/>
        </w:rPr>
        <w:t>; Bordi i ERE-s, në mbledhjen e tij të datës 27</w:t>
      </w:r>
      <w:r w:rsidRPr="00854F79">
        <w:rPr>
          <w:rFonts w:ascii="Garamond" w:hAnsi="Garamond"/>
          <w:bCs/>
        </w:rPr>
        <w:t>.1.2025</w:t>
      </w:r>
      <w:r w:rsidRPr="00854F79">
        <w:rPr>
          <w:rFonts w:ascii="Garamond" w:hAnsi="Garamond"/>
        </w:rPr>
        <w:t>, mbasi shqyrtoi relacionin me nr. 35/1 prot., datë 24.1.2025, të Drejtorisë së Licencimit dhe Autorizimeve “</w:t>
      </w:r>
      <w:r w:rsidRPr="00854F79">
        <w:rPr>
          <w:rFonts w:ascii="Garamond" w:hAnsi="Garamond"/>
          <w:iCs/>
        </w:rPr>
        <w:t xml:space="preserve">Mbi kërkesën e shoqërisë </w:t>
      </w:r>
      <w:r w:rsidR="00854F79">
        <w:rPr>
          <w:rFonts w:ascii="Garamond" w:hAnsi="Garamond"/>
          <w:iCs/>
        </w:rPr>
        <w:t>‘</w:t>
      </w:r>
      <w:r w:rsidRPr="00854F79">
        <w:rPr>
          <w:rFonts w:ascii="Garamond" w:hAnsi="Garamond"/>
          <w:iCs/>
        </w:rPr>
        <w:t xml:space="preserve">5GX </w:t>
      </w:r>
      <w:r w:rsidR="00A24991" w:rsidRPr="00854F79">
        <w:rPr>
          <w:rFonts w:ascii="Garamond" w:hAnsi="Garamond"/>
          <w:iCs/>
        </w:rPr>
        <w:t>Energy</w:t>
      </w:r>
      <w:r w:rsidR="00A24991">
        <w:rPr>
          <w:rFonts w:ascii="Garamond" w:hAnsi="Garamond"/>
          <w:iCs/>
        </w:rPr>
        <w:t>’</w:t>
      </w:r>
      <w:r w:rsidR="00A24991" w:rsidRPr="00854F79">
        <w:rPr>
          <w:rFonts w:ascii="Garamond" w:hAnsi="Garamond"/>
          <w:iCs/>
        </w:rPr>
        <w:t xml:space="preserve"> </w:t>
      </w:r>
      <w:r w:rsidRPr="00854F79">
        <w:rPr>
          <w:rFonts w:ascii="Garamond" w:hAnsi="Garamond"/>
          <w:iCs/>
        </w:rPr>
        <w:t>sh.p.k. për marrjen e autorizimit nga ERE për transferimin (nëpërmjet vendosjes së barrës siguruese) të aseteve të paluajtshme t</w:t>
      </w:r>
      <w:r w:rsidRPr="00854F79">
        <w:rPr>
          <w:rFonts w:ascii="Garamond" w:hAnsi="Garamond"/>
          <w:bCs/>
          <w:iCs/>
        </w:rPr>
        <w:t>ë saj</w:t>
      </w:r>
      <w:r w:rsidRPr="00854F79">
        <w:rPr>
          <w:rFonts w:ascii="Garamond" w:hAnsi="Garamond"/>
        </w:rPr>
        <w:t>”,</w:t>
      </w:r>
    </w:p>
    <w:p w14:paraId="403AFC3B" w14:textId="6CF76FD0" w:rsidR="0011098F" w:rsidRPr="00854F79" w:rsidRDefault="00854F79">
      <w:pPr>
        <w:pStyle w:val="BodyTextIndent2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54F79">
        <w:rPr>
          <w:rFonts w:ascii="Garamond" w:hAnsi="Garamond"/>
          <w:sz w:val="24"/>
          <w:szCs w:val="24"/>
        </w:rPr>
        <w:t>konstatoi se:</w:t>
      </w:r>
      <w:bookmarkStart w:id="6" w:name="_Hlk131670886"/>
      <w:bookmarkStart w:id="7" w:name="_Hlk86319852"/>
    </w:p>
    <w:bookmarkEnd w:id="6"/>
    <w:bookmarkEnd w:id="7"/>
    <w:p w14:paraId="31EB32B5" w14:textId="2F9EA8B6" w:rsidR="0011098F" w:rsidRPr="00854F79" w:rsidRDefault="006C0AEC">
      <w:pPr>
        <w:ind w:firstLine="284"/>
        <w:jc w:val="both"/>
        <w:rPr>
          <w:rFonts w:ascii="Garamond" w:eastAsia="Calibri" w:hAnsi="Garamond" w:cs="Calibri"/>
          <w:color w:val="000000"/>
        </w:rPr>
      </w:pPr>
      <w:r w:rsidRPr="00854F79">
        <w:rPr>
          <w:rFonts w:ascii="Garamond" w:eastAsia="Calibri" w:hAnsi="Garamond" w:cs="Calibri"/>
          <w:color w:val="000000"/>
        </w:rPr>
        <w:t xml:space="preserve">- Me shkresën e protokolluar në ERE, me nr. 35 prot., datë 8.1.2025, shoqëria ka paraqitur kërkesën për marrjen e autorizimit nga ERE për transferimin (nëpërmjet vendosjes së barrës siguruese) të aseteve fikse të krijuara apo që do të krijohen të shoqërisë “5GX </w:t>
      </w:r>
      <w:r w:rsidR="00854F79" w:rsidRPr="00854F79">
        <w:rPr>
          <w:rFonts w:ascii="Garamond" w:eastAsia="Calibri" w:hAnsi="Garamond" w:cs="Calibri"/>
          <w:color w:val="000000"/>
        </w:rPr>
        <w:t>Energy</w:t>
      </w:r>
      <w:r w:rsidRPr="00854F79">
        <w:rPr>
          <w:rFonts w:ascii="Garamond" w:eastAsia="Calibri" w:hAnsi="Garamond" w:cs="Calibri"/>
          <w:color w:val="000000"/>
        </w:rPr>
        <w:t>” sh.p.k., si mjet për garantimin e shlyerjes së detyrimit ndaj “</w:t>
      </w:r>
      <w:r w:rsidR="00854F79" w:rsidRPr="00854F79">
        <w:rPr>
          <w:rFonts w:ascii="Garamond" w:eastAsia="Calibri" w:hAnsi="Garamond" w:cs="Calibri"/>
          <w:color w:val="000000"/>
        </w:rPr>
        <w:t>Tirana Bank</w:t>
      </w:r>
      <w:r w:rsidRPr="00854F79">
        <w:rPr>
          <w:rFonts w:ascii="Garamond" w:eastAsia="Calibri" w:hAnsi="Garamond" w:cs="Calibri"/>
          <w:color w:val="000000"/>
        </w:rPr>
        <w:t>” sh.a.</w:t>
      </w:r>
    </w:p>
    <w:p w14:paraId="27052A57" w14:textId="2A0D9AF9" w:rsidR="0011098F" w:rsidRPr="00854F79" w:rsidRDefault="006C0AEC">
      <w:pPr>
        <w:ind w:firstLine="284"/>
        <w:jc w:val="both"/>
        <w:rPr>
          <w:rFonts w:ascii="Garamond" w:eastAsia="Calibri" w:hAnsi="Garamond" w:cs="Calibri"/>
          <w:color w:val="000000"/>
        </w:rPr>
      </w:pPr>
      <w:r w:rsidRPr="00854F79">
        <w:rPr>
          <w:rFonts w:ascii="Garamond" w:eastAsia="Calibri" w:hAnsi="Garamond" w:cs="Calibri"/>
          <w:color w:val="000000"/>
        </w:rPr>
        <w:t xml:space="preserve">- Shoqëria </w:t>
      </w:r>
      <w:r w:rsidR="00854F79">
        <w:rPr>
          <w:rFonts w:ascii="Garamond" w:eastAsia="Calibri" w:hAnsi="Garamond" w:cs="Calibri"/>
          <w:color w:val="000000"/>
        </w:rPr>
        <w:t>“</w:t>
      </w:r>
      <w:r w:rsidRPr="00854F79">
        <w:rPr>
          <w:rFonts w:ascii="Garamond" w:eastAsia="Calibri" w:hAnsi="Garamond" w:cs="Calibri"/>
          <w:color w:val="000000"/>
        </w:rPr>
        <w:t xml:space="preserve">5GX </w:t>
      </w:r>
      <w:r w:rsidR="00854F79" w:rsidRPr="00854F79">
        <w:rPr>
          <w:rFonts w:ascii="Garamond" w:eastAsia="Calibri" w:hAnsi="Garamond" w:cs="Calibri"/>
          <w:color w:val="000000"/>
        </w:rPr>
        <w:t>Energy</w:t>
      </w:r>
      <w:r w:rsidR="00854F79">
        <w:rPr>
          <w:rFonts w:ascii="Garamond" w:eastAsia="Calibri" w:hAnsi="Garamond" w:cs="Calibri"/>
          <w:color w:val="000000"/>
        </w:rPr>
        <w:t>”</w:t>
      </w:r>
      <w:r w:rsidR="00854F79" w:rsidRPr="00854F79">
        <w:rPr>
          <w:rFonts w:ascii="Garamond" w:eastAsia="Calibri" w:hAnsi="Garamond" w:cs="Calibri"/>
          <w:color w:val="000000"/>
        </w:rPr>
        <w:t xml:space="preserve"> </w:t>
      </w:r>
      <w:r w:rsidRPr="00854F79">
        <w:rPr>
          <w:rFonts w:ascii="Garamond" w:eastAsia="Calibri" w:hAnsi="Garamond" w:cs="Calibri"/>
          <w:color w:val="000000"/>
        </w:rPr>
        <w:t xml:space="preserve">sh.p.k. është licencuar në veprimtarinë e prodhimit të energjisë elektrike nga centrali fotovoltaik në </w:t>
      </w:r>
      <w:r w:rsidR="00854F79" w:rsidRPr="00854F79">
        <w:rPr>
          <w:rFonts w:ascii="Garamond" w:eastAsia="Calibri" w:hAnsi="Garamond" w:cs="Calibri"/>
          <w:color w:val="000000"/>
        </w:rPr>
        <w:t xml:space="preserve">zonën kadastrale </w:t>
      </w:r>
      <w:r w:rsidRPr="00854F79">
        <w:rPr>
          <w:rFonts w:ascii="Garamond" w:eastAsia="Calibri" w:hAnsi="Garamond" w:cs="Calibri"/>
          <w:color w:val="000000"/>
        </w:rPr>
        <w:t>1020, Njësia Administrative Golem, Bashkia Lushnj</w:t>
      </w:r>
      <w:r w:rsidR="00854F79">
        <w:rPr>
          <w:rFonts w:ascii="Garamond" w:eastAsia="Calibri" w:hAnsi="Garamond" w:cs="Calibri"/>
          <w:color w:val="000000"/>
        </w:rPr>
        <w:t>ë</w:t>
      </w:r>
      <w:r w:rsidRPr="00854F79">
        <w:rPr>
          <w:rFonts w:ascii="Garamond" w:eastAsia="Calibri" w:hAnsi="Garamond" w:cs="Calibri"/>
          <w:color w:val="000000"/>
        </w:rPr>
        <w:t xml:space="preserve">, </w:t>
      </w:r>
      <w:r w:rsidR="00854F79">
        <w:rPr>
          <w:rFonts w:ascii="Garamond" w:eastAsia="Calibri" w:hAnsi="Garamond" w:cs="Calibri"/>
          <w:color w:val="000000"/>
        </w:rPr>
        <w:t>q</w:t>
      </w:r>
      <w:r w:rsidRPr="00854F79">
        <w:rPr>
          <w:rFonts w:ascii="Garamond" w:eastAsia="Calibri" w:hAnsi="Garamond" w:cs="Calibri"/>
          <w:color w:val="000000"/>
        </w:rPr>
        <w:t xml:space="preserve">arku Fier me kapacitet të instaluar 10 </w:t>
      </w:r>
      <w:r w:rsidR="00854F79">
        <w:rPr>
          <w:rFonts w:ascii="Garamond" w:eastAsia="Calibri" w:hAnsi="Garamond" w:cs="Calibri"/>
          <w:color w:val="000000"/>
        </w:rPr>
        <w:t>mw</w:t>
      </w:r>
      <w:r w:rsidRPr="00854F79">
        <w:rPr>
          <w:rFonts w:ascii="Garamond" w:eastAsia="Calibri" w:hAnsi="Garamond" w:cs="Calibri"/>
          <w:color w:val="000000"/>
        </w:rPr>
        <w:t xml:space="preserve">, me vendimin e </w:t>
      </w:r>
      <w:r w:rsidR="00854F79" w:rsidRPr="00854F79">
        <w:rPr>
          <w:rFonts w:ascii="Garamond" w:eastAsia="Calibri" w:hAnsi="Garamond" w:cs="Calibri"/>
          <w:color w:val="000000"/>
        </w:rPr>
        <w:t xml:space="preserve">Bordit </w:t>
      </w:r>
      <w:r w:rsidRPr="00854F79">
        <w:rPr>
          <w:rFonts w:ascii="Garamond" w:eastAsia="Calibri" w:hAnsi="Garamond" w:cs="Calibri"/>
          <w:color w:val="000000"/>
        </w:rPr>
        <w:t>të ERE-s nr. 135, datë 9.7.2024.</w:t>
      </w:r>
    </w:p>
    <w:p w14:paraId="0C360441" w14:textId="711C889A" w:rsidR="0011098F" w:rsidRPr="00854F79" w:rsidRDefault="006C0AEC">
      <w:pPr>
        <w:ind w:firstLine="284"/>
        <w:jc w:val="both"/>
        <w:rPr>
          <w:rFonts w:ascii="Garamond" w:eastAsia="Calibri" w:hAnsi="Garamond" w:cs="Calibri"/>
          <w:color w:val="000000"/>
        </w:rPr>
      </w:pPr>
      <w:r w:rsidRPr="00854F79">
        <w:rPr>
          <w:rFonts w:ascii="Garamond" w:eastAsia="Calibri" w:hAnsi="Garamond" w:cs="Calibri"/>
          <w:color w:val="000000"/>
        </w:rPr>
        <w:t>- Nga shqyrtimi i aplikimit, në mbështetje të përcaktimeve të nenit 7</w:t>
      </w:r>
      <w:r w:rsidR="00854F79">
        <w:rPr>
          <w:rFonts w:ascii="Garamond" w:eastAsia="Calibri" w:hAnsi="Garamond" w:cs="Calibri"/>
          <w:color w:val="000000"/>
        </w:rPr>
        <w:t>,</w:t>
      </w:r>
      <w:r w:rsidRPr="00854F79">
        <w:rPr>
          <w:rFonts w:ascii="Garamond" w:eastAsia="Calibri" w:hAnsi="Garamond" w:cs="Calibri"/>
          <w:color w:val="000000"/>
        </w:rPr>
        <w:t xml:space="preserve"> të “</w:t>
      </w:r>
      <w:r w:rsidRPr="00854F79">
        <w:rPr>
          <w:rFonts w:ascii="Garamond" w:eastAsia="Calibri" w:hAnsi="Garamond" w:cs="Calibri"/>
          <w:iCs/>
          <w:color w:val="000000"/>
        </w:rPr>
        <w:t xml:space="preserve">Rregullores së procedurave të transferimit të aseteve nga të licencuarit”, </w:t>
      </w:r>
      <w:r w:rsidRPr="00854F79">
        <w:rPr>
          <w:rFonts w:ascii="Garamond" w:eastAsia="Calibri" w:hAnsi="Garamond" w:cs="Calibri"/>
          <w:color w:val="000000"/>
        </w:rPr>
        <w:t xml:space="preserve">miratuar me vendimin e </w:t>
      </w:r>
      <w:r w:rsidR="00854F79" w:rsidRPr="00854F79">
        <w:rPr>
          <w:rFonts w:ascii="Garamond" w:eastAsia="Calibri" w:hAnsi="Garamond" w:cs="Calibri"/>
          <w:color w:val="000000"/>
        </w:rPr>
        <w:t xml:space="preserve">Bordit </w:t>
      </w:r>
      <w:r w:rsidRPr="00854F79">
        <w:rPr>
          <w:rFonts w:ascii="Garamond" w:eastAsia="Calibri" w:hAnsi="Garamond" w:cs="Calibri"/>
          <w:color w:val="000000"/>
        </w:rPr>
        <w:t xml:space="preserve">të ERE-s nr. 119, datë 21.7.2016, rezulton se shoqëria “5GX </w:t>
      </w:r>
      <w:r w:rsidR="00854F79" w:rsidRPr="00854F79">
        <w:rPr>
          <w:rFonts w:ascii="Garamond" w:eastAsia="Calibri" w:hAnsi="Garamond" w:cs="Calibri"/>
          <w:color w:val="000000"/>
        </w:rPr>
        <w:t>Energy</w:t>
      </w:r>
      <w:r w:rsidRPr="00854F79">
        <w:rPr>
          <w:rFonts w:ascii="Garamond" w:eastAsia="Calibri" w:hAnsi="Garamond" w:cs="Calibri"/>
          <w:color w:val="000000"/>
        </w:rPr>
        <w:t xml:space="preserve">” sh.p.k., ka plotësuar dokumentacionin e kërkuar në nenin 7, pika 1, </w:t>
      </w:r>
      <w:r w:rsidR="00854F79" w:rsidRPr="00854F79">
        <w:rPr>
          <w:rFonts w:ascii="Garamond" w:eastAsia="Calibri" w:hAnsi="Garamond" w:cs="Calibri"/>
          <w:color w:val="000000"/>
        </w:rPr>
        <w:t>germat</w:t>
      </w:r>
      <w:r w:rsidR="00854F79">
        <w:rPr>
          <w:rFonts w:ascii="Garamond" w:eastAsia="Calibri" w:hAnsi="Garamond" w:cs="Calibri"/>
          <w:color w:val="000000"/>
        </w:rPr>
        <w:t>:</w:t>
      </w:r>
      <w:r w:rsidRPr="00854F79">
        <w:rPr>
          <w:rFonts w:ascii="Garamond" w:eastAsia="Calibri" w:hAnsi="Garamond" w:cs="Calibri"/>
          <w:color w:val="000000"/>
        </w:rPr>
        <w:t xml:space="preserve"> “a”, “b”, “d”, “e”, “f”, “g”, “i”, “j”; pikën 3; pikën 4 dhe pikën 6.</w:t>
      </w:r>
    </w:p>
    <w:p w14:paraId="0F4DF161" w14:textId="1263F18C" w:rsidR="0011098F" w:rsidRPr="00854F79" w:rsidRDefault="006C0AEC">
      <w:pPr>
        <w:ind w:firstLine="284"/>
        <w:jc w:val="both"/>
        <w:rPr>
          <w:rFonts w:ascii="Garamond" w:eastAsia="Calibri" w:hAnsi="Garamond" w:cs="Calibri"/>
          <w:color w:val="000000"/>
        </w:rPr>
      </w:pPr>
      <w:r w:rsidRPr="00854F79">
        <w:rPr>
          <w:rFonts w:ascii="Garamond" w:eastAsia="Calibri" w:hAnsi="Garamond" w:cs="Garamond"/>
          <w:color w:val="000000"/>
        </w:rPr>
        <w:t xml:space="preserve">- </w:t>
      </w:r>
      <w:r w:rsidRPr="00854F79">
        <w:rPr>
          <w:rFonts w:ascii="Garamond" w:eastAsia="Calibri" w:hAnsi="Garamond" w:cs="Calibri"/>
          <w:color w:val="000000"/>
          <w:spacing w:val="-4"/>
        </w:rPr>
        <w:t>Nga ky aplikim rezulton</w:t>
      </w:r>
      <w:r w:rsidR="00854F79">
        <w:rPr>
          <w:rFonts w:ascii="Garamond" w:eastAsia="Calibri" w:hAnsi="Garamond" w:cs="Calibri"/>
          <w:color w:val="000000"/>
          <w:spacing w:val="-4"/>
        </w:rPr>
        <w:t>,</w:t>
      </w:r>
      <w:r w:rsidRPr="00854F79">
        <w:rPr>
          <w:rFonts w:ascii="Garamond" w:eastAsia="Calibri" w:hAnsi="Garamond" w:cs="Calibri"/>
          <w:color w:val="000000"/>
          <w:spacing w:val="-4"/>
        </w:rPr>
        <w:t xml:space="preserve"> gjithashtu</w:t>
      </w:r>
      <w:r w:rsidR="00854F79">
        <w:rPr>
          <w:rFonts w:ascii="Garamond" w:eastAsia="Calibri" w:hAnsi="Garamond" w:cs="Calibri"/>
          <w:color w:val="000000"/>
          <w:spacing w:val="-4"/>
        </w:rPr>
        <w:t>,</w:t>
      </w:r>
      <w:r w:rsidRPr="00854F79">
        <w:rPr>
          <w:rFonts w:ascii="Garamond" w:eastAsia="Calibri" w:hAnsi="Garamond" w:cs="Calibri"/>
          <w:color w:val="000000"/>
          <w:spacing w:val="-4"/>
        </w:rPr>
        <w:t xml:space="preserve"> se nevojitet të plotësohet dhe informacioni/dokumentacioni në vijim:</w:t>
      </w:r>
      <w:r w:rsidRPr="00854F79">
        <w:rPr>
          <w:rFonts w:ascii="Garamond" w:eastAsia="Calibri" w:hAnsi="Garamond" w:cs="Calibri"/>
          <w:color w:val="000000"/>
        </w:rPr>
        <w:t xml:space="preserve"> </w:t>
      </w:r>
    </w:p>
    <w:p w14:paraId="3C31DFD2" w14:textId="77777777" w:rsidR="0011098F" w:rsidRPr="00854F79" w:rsidRDefault="006C0AEC">
      <w:pPr>
        <w:ind w:firstLine="284"/>
        <w:jc w:val="both"/>
        <w:rPr>
          <w:rFonts w:ascii="Garamond" w:hAnsi="Garamond"/>
        </w:rPr>
      </w:pPr>
      <w:r w:rsidRPr="00854F79">
        <w:rPr>
          <w:rFonts w:ascii="Garamond" w:hAnsi="Garamond"/>
        </w:rPr>
        <w:t>Neni 7, Pika 1</w:t>
      </w:r>
    </w:p>
    <w:p w14:paraId="60643D00" w14:textId="09696FDC" w:rsidR="0011098F" w:rsidRPr="00854F79" w:rsidRDefault="006C0AEC">
      <w:pPr>
        <w:shd w:val="clear" w:color="auto" w:fill="FFFFFF"/>
        <w:ind w:firstLine="284"/>
        <w:jc w:val="both"/>
        <w:rPr>
          <w:rFonts w:ascii="Garamond" w:hAnsi="Garamond"/>
        </w:rPr>
      </w:pPr>
      <w:r w:rsidRPr="00854F79">
        <w:rPr>
          <w:rFonts w:ascii="Garamond" w:hAnsi="Garamond"/>
          <w:bCs/>
        </w:rPr>
        <w:t xml:space="preserve">- </w:t>
      </w:r>
      <w:r w:rsidR="00854F79" w:rsidRPr="00854F79">
        <w:rPr>
          <w:rFonts w:ascii="Garamond" w:hAnsi="Garamond"/>
          <w:bCs/>
        </w:rPr>
        <w:t>g</w:t>
      </w:r>
      <w:r w:rsidR="00854F79" w:rsidRPr="00854F79">
        <w:rPr>
          <w:rFonts w:ascii="Garamond" w:hAnsi="Garamond"/>
        </w:rPr>
        <w:t>e</w:t>
      </w:r>
      <w:r w:rsidR="00854F79" w:rsidRPr="00854F79">
        <w:rPr>
          <w:rFonts w:ascii="Garamond" w:hAnsi="Garamond"/>
          <w:bCs/>
        </w:rPr>
        <w:t>rma</w:t>
      </w:r>
      <w:r w:rsidRPr="00854F79">
        <w:rPr>
          <w:rFonts w:ascii="Garamond" w:hAnsi="Garamond"/>
          <w:bCs/>
        </w:rPr>
        <w:t xml:space="preserve"> “c”: Shoqëria duhet të depozitojë </w:t>
      </w:r>
      <w:r w:rsidRPr="00854F79">
        <w:rPr>
          <w:rFonts w:ascii="Garamond" w:hAnsi="Garamond"/>
        </w:rPr>
        <w:t>gjendjen financiare të kompanisë në kohën që paraqet kërkesën dhe efektin e pritshëm pas miratimit të transferimit të aseteve</w:t>
      </w:r>
      <w:r w:rsidR="00854F79">
        <w:rPr>
          <w:rFonts w:ascii="Garamond" w:hAnsi="Garamond"/>
          <w:bCs/>
        </w:rPr>
        <w:t>;</w:t>
      </w:r>
    </w:p>
    <w:p w14:paraId="00850E4F" w14:textId="2CF4F69B" w:rsidR="0011098F" w:rsidRPr="00854F79" w:rsidRDefault="006C0AEC">
      <w:pPr>
        <w:shd w:val="clear" w:color="auto" w:fill="FFFFFF"/>
        <w:ind w:firstLine="284"/>
        <w:jc w:val="both"/>
        <w:rPr>
          <w:rFonts w:ascii="Garamond" w:eastAsia="Calibri" w:hAnsi="Garamond"/>
        </w:rPr>
      </w:pPr>
      <w:r w:rsidRPr="00854F79">
        <w:rPr>
          <w:rFonts w:ascii="Garamond" w:hAnsi="Garamond"/>
        </w:rPr>
        <w:t xml:space="preserve">- </w:t>
      </w:r>
      <w:r w:rsidR="00854F79" w:rsidRPr="00854F79">
        <w:rPr>
          <w:rFonts w:ascii="Garamond" w:hAnsi="Garamond"/>
        </w:rPr>
        <w:t>germa</w:t>
      </w:r>
      <w:r w:rsidRPr="00854F79">
        <w:rPr>
          <w:rFonts w:ascii="Garamond" w:hAnsi="Garamond"/>
        </w:rPr>
        <w:t xml:space="preserve"> “h”: Shoqëria duhet të </w:t>
      </w:r>
      <w:r w:rsidRPr="00854F79">
        <w:rPr>
          <w:rFonts w:ascii="Garamond" w:hAnsi="Garamond"/>
          <w:bCs/>
        </w:rPr>
        <w:t>depozitojë</w:t>
      </w:r>
      <w:r w:rsidRPr="00854F79">
        <w:rPr>
          <w:rFonts w:ascii="Garamond" w:hAnsi="Garamond"/>
        </w:rPr>
        <w:t xml:space="preserve"> listën e plotë të aseteve fikse që i shërbejnë veprimtarisë së licencuar, e cila duhet të jetë pjesë e marr</w:t>
      </w:r>
      <w:r w:rsidRPr="00854F79">
        <w:rPr>
          <w:rFonts w:ascii="Garamond" w:hAnsi="Garamond"/>
          <w:bCs/>
        </w:rPr>
        <w:t>ëveshjes së nënshkruar ndërmjet palëve.</w:t>
      </w:r>
    </w:p>
    <w:p w14:paraId="0B828FFE" w14:textId="4CC73EA1" w:rsidR="0011098F" w:rsidRPr="00854F79" w:rsidRDefault="006C0AEC">
      <w:pPr>
        <w:shd w:val="clear" w:color="auto" w:fill="FFFFFF"/>
        <w:ind w:firstLine="284"/>
        <w:jc w:val="both"/>
        <w:rPr>
          <w:rFonts w:ascii="Garamond" w:eastAsia="Calibri" w:hAnsi="Garamond"/>
        </w:rPr>
      </w:pPr>
      <w:r w:rsidRPr="00854F79">
        <w:rPr>
          <w:rFonts w:ascii="Garamond" w:hAnsi="Garamond"/>
        </w:rPr>
        <w:t xml:space="preserve">Referuar nenit 5, </w:t>
      </w:r>
      <w:r w:rsidR="00854F79" w:rsidRPr="00854F79">
        <w:rPr>
          <w:rFonts w:ascii="Garamond" w:hAnsi="Garamond"/>
        </w:rPr>
        <w:t>germat</w:t>
      </w:r>
      <w:r w:rsidRPr="00854F79">
        <w:rPr>
          <w:rFonts w:ascii="Garamond" w:hAnsi="Garamond"/>
        </w:rPr>
        <w:t xml:space="preserve"> “h” dhe “j”</w:t>
      </w:r>
      <w:r w:rsidR="00DF3312">
        <w:rPr>
          <w:rFonts w:ascii="Garamond" w:hAnsi="Garamond"/>
        </w:rPr>
        <w:t>,</w:t>
      </w:r>
      <w:r w:rsidRPr="00854F79">
        <w:rPr>
          <w:rFonts w:ascii="Garamond" w:hAnsi="Garamond"/>
        </w:rPr>
        <w:t xml:space="preserve"> të “Rregullores së procedurave të transferimit të aseteve nga të </w:t>
      </w:r>
      <w:r w:rsidR="00DF3312" w:rsidRPr="00854F79">
        <w:rPr>
          <w:rFonts w:ascii="Garamond" w:hAnsi="Garamond"/>
        </w:rPr>
        <w:t>licencuarit</w:t>
      </w:r>
      <w:r w:rsidRPr="00854F79">
        <w:rPr>
          <w:rFonts w:ascii="Garamond" w:hAnsi="Garamond"/>
        </w:rPr>
        <w:t xml:space="preserve">”, </w:t>
      </w:r>
      <w:r w:rsidRPr="00854F79">
        <w:rPr>
          <w:rStyle w:val="Strong"/>
          <w:rFonts w:ascii="Garamond" w:eastAsia="Times New Roman" w:hAnsi="Garamond"/>
          <w:b w:val="0"/>
          <w:bCs w:val="0"/>
        </w:rPr>
        <w:t>ERE shprehet vetëm për asetet ekzistuese</w:t>
      </w:r>
      <w:r w:rsidRPr="00854F79">
        <w:rPr>
          <w:rFonts w:ascii="Garamond" w:hAnsi="Garamond"/>
        </w:rPr>
        <w:t xml:space="preserve">, që përbëjnë aktive afatgjata materiale dhe shërbejnë drejtpërdrejt aktivitetit të licencuar. </w:t>
      </w:r>
      <w:r w:rsidRPr="00854F79">
        <w:rPr>
          <w:rStyle w:val="Strong"/>
          <w:rFonts w:ascii="Garamond" w:eastAsia="Times New Roman" w:hAnsi="Garamond"/>
          <w:b w:val="0"/>
          <w:bCs w:val="0"/>
        </w:rPr>
        <w:t>ERE nuk shprehet për asetet e pakrijuara, të pamaterializuara si investime konkrete ose të papasqyruara si aktive</w:t>
      </w:r>
      <w:r w:rsidRPr="00854F79">
        <w:rPr>
          <w:rFonts w:ascii="Garamond" w:hAnsi="Garamond"/>
        </w:rPr>
        <w:t xml:space="preserve">. Për rrjedhojë, çdo kërkesë për transferim duhet të shoqërohet me një </w:t>
      </w:r>
      <w:r w:rsidRPr="00854F79">
        <w:rPr>
          <w:rStyle w:val="Strong"/>
          <w:rFonts w:ascii="Garamond" w:eastAsia="Times New Roman" w:hAnsi="Garamond"/>
          <w:b w:val="0"/>
          <w:bCs w:val="0"/>
        </w:rPr>
        <w:t>listë të detajuar të aseteve fikse ekzistuese</w:t>
      </w:r>
      <w:r w:rsidRPr="00854F79">
        <w:rPr>
          <w:rFonts w:ascii="Garamond" w:hAnsi="Garamond"/>
        </w:rPr>
        <w:t xml:space="preserve">, që janë pjesë integrale e aktivitetit të licencuar dhe përmbushin kriteret e </w:t>
      </w:r>
      <w:r w:rsidR="00DF3312">
        <w:rPr>
          <w:rFonts w:ascii="Garamond" w:hAnsi="Garamond"/>
        </w:rPr>
        <w:t>r</w:t>
      </w:r>
      <w:r w:rsidRPr="00854F79">
        <w:rPr>
          <w:rFonts w:ascii="Garamond" w:hAnsi="Garamond"/>
        </w:rPr>
        <w:t>regullores.</w:t>
      </w:r>
    </w:p>
    <w:p w14:paraId="2ADACBF5" w14:textId="0E5CBB9D" w:rsidR="0011098F" w:rsidRPr="00854F79" w:rsidRDefault="006C0AEC">
      <w:pPr>
        <w:shd w:val="clear" w:color="auto" w:fill="FFFFFF"/>
        <w:ind w:firstLine="284"/>
        <w:jc w:val="both"/>
        <w:rPr>
          <w:rFonts w:ascii="Garamond" w:eastAsia="Calibri" w:hAnsi="Garamond"/>
        </w:rPr>
      </w:pPr>
      <w:r w:rsidRPr="00854F79">
        <w:rPr>
          <w:rFonts w:ascii="Garamond" w:hAnsi="Garamond"/>
        </w:rPr>
        <w:t>Po ashtu, vlerësohet të sqarohet me shoqërinë dhe/ose bankën se si është vijuar me nënshkrimin e kontratës përfundimtare për barrësimin e aseteve pa marrë më parë autorizimin e ERE-s</w:t>
      </w:r>
      <w:r w:rsidR="00DF3312">
        <w:rPr>
          <w:rFonts w:ascii="Garamond" w:hAnsi="Garamond"/>
        </w:rPr>
        <w:t>,</w:t>
      </w:r>
      <w:r w:rsidRPr="00854F79">
        <w:rPr>
          <w:rFonts w:ascii="Garamond" w:hAnsi="Garamond"/>
        </w:rPr>
        <w:t xml:space="preserve"> në lidhje me këtë barrësim.</w:t>
      </w:r>
    </w:p>
    <w:p w14:paraId="26CF3C53" w14:textId="12BA7C5C" w:rsidR="0011098F" w:rsidRPr="00854F79" w:rsidRDefault="006C0AEC">
      <w:pPr>
        <w:tabs>
          <w:tab w:val="left" w:pos="0"/>
        </w:tabs>
        <w:ind w:firstLine="284"/>
        <w:jc w:val="both"/>
        <w:rPr>
          <w:rFonts w:ascii="Garamond" w:hAnsi="Garamond"/>
        </w:rPr>
      </w:pPr>
      <w:r w:rsidRPr="00854F79">
        <w:rPr>
          <w:rFonts w:ascii="Garamond" w:hAnsi="Garamond"/>
        </w:rPr>
        <w:t xml:space="preserve">Për gjithë sa më sipër, </w:t>
      </w:r>
      <w:r w:rsidR="00DF3312" w:rsidRPr="00854F79">
        <w:rPr>
          <w:rFonts w:ascii="Garamond" w:hAnsi="Garamond"/>
        </w:rPr>
        <w:t xml:space="preserve">Bordi </w:t>
      </w:r>
      <w:r w:rsidRPr="00854F79">
        <w:rPr>
          <w:rFonts w:ascii="Garamond" w:hAnsi="Garamond"/>
        </w:rPr>
        <w:t>i ERE-s</w:t>
      </w:r>
    </w:p>
    <w:p w14:paraId="774A14D4" w14:textId="77777777" w:rsidR="0011098F" w:rsidRPr="00854F79" w:rsidRDefault="006C0AEC">
      <w:pPr>
        <w:pStyle w:val="BodyText"/>
        <w:spacing w:after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54F79">
        <w:rPr>
          <w:rFonts w:ascii="Garamond" w:hAnsi="Garamond"/>
          <w:sz w:val="24"/>
          <w:szCs w:val="24"/>
          <w:lang w:val="sq-AL"/>
        </w:rPr>
        <w:t>VENDOSI:</w:t>
      </w:r>
    </w:p>
    <w:p w14:paraId="700DF4F2" w14:textId="6E82C27E" w:rsidR="0011098F" w:rsidRPr="00A54D7C" w:rsidRDefault="006C0AEC">
      <w:pPr>
        <w:ind w:firstLine="280"/>
        <w:jc w:val="both"/>
        <w:rPr>
          <w:rFonts w:ascii="Garamond" w:eastAsia="Calibri" w:hAnsi="Garamond" w:cs="Garamond"/>
          <w:color w:val="000000"/>
        </w:rPr>
      </w:pPr>
      <w:r w:rsidRPr="00A54D7C">
        <w:rPr>
          <w:rFonts w:ascii="Garamond" w:eastAsia="Calibri" w:hAnsi="Garamond" w:cs="Garamond"/>
          <w:color w:val="000000"/>
        </w:rPr>
        <w:lastRenderedPageBreak/>
        <w:t xml:space="preserve">1. Të fillojë procedurën për shqyrtimin e kërkesës së shoqërisë “5GX </w:t>
      </w:r>
      <w:r w:rsidR="00DF3312" w:rsidRPr="00A54D7C">
        <w:rPr>
          <w:rFonts w:ascii="Garamond" w:eastAsia="Calibri" w:hAnsi="Garamond" w:cs="Garamond"/>
          <w:color w:val="000000"/>
        </w:rPr>
        <w:t>Energy</w:t>
      </w:r>
      <w:r w:rsidRPr="00A54D7C">
        <w:rPr>
          <w:rFonts w:ascii="Garamond" w:eastAsia="Calibri" w:hAnsi="Garamond" w:cs="Garamond"/>
          <w:color w:val="000000"/>
        </w:rPr>
        <w:t xml:space="preserve">” sh.p.k. për marrjen e autorizimit nga ERE për transferimin (nëpërmjet vendosjes së barrës siguruese) e aseteve fikse të shoqërisë “5GX </w:t>
      </w:r>
      <w:r w:rsidR="00DF3312" w:rsidRPr="00A54D7C">
        <w:rPr>
          <w:rFonts w:ascii="Garamond" w:eastAsia="Calibri" w:hAnsi="Garamond" w:cs="Garamond"/>
          <w:color w:val="000000"/>
        </w:rPr>
        <w:t>Energy</w:t>
      </w:r>
      <w:r w:rsidRPr="00A54D7C">
        <w:rPr>
          <w:rFonts w:ascii="Garamond" w:eastAsia="Calibri" w:hAnsi="Garamond" w:cs="Garamond"/>
          <w:color w:val="000000"/>
        </w:rPr>
        <w:t>” sh.p.k, si mjet për garantimin e shlyerjes së detyrimeve ndaj “</w:t>
      </w:r>
      <w:r w:rsidR="00DF3312" w:rsidRPr="00A54D7C">
        <w:rPr>
          <w:rFonts w:ascii="Garamond" w:eastAsia="Calibri" w:hAnsi="Garamond" w:cs="Garamond"/>
          <w:color w:val="000000"/>
        </w:rPr>
        <w:t>Tirana Bank</w:t>
      </w:r>
      <w:r w:rsidRPr="00A54D7C">
        <w:rPr>
          <w:rFonts w:ascii="Garamond" w:eastAsia="Calibri" w:hAnsi="Garamond" w:cs="Garamond"/>
          <w:color w:val="000000"/>
        </w:rPr>
        <w:t>” sh.a.</w:t>
      </w:r>
    </w:p>
    <w:p w14:paraId="627AEE1C" w14:textId="3A2E98E1" w:rsidR="0011098F" w:rsidRPr="00A54D7C" w:rsidRDefault="006C0AEC">
      <w:pPr>
        <w:ind w:firstLine="280"/>
        <w:jc w:val="both"/>
        <w:rPr>
          <w:rFonts w:ascii="Garamond" w:eastAsia="Calibri" w:hAnsi="Garamond" w:cs="Garamond"/>
          <w:b/>
          <w:bCs/>
          <w:color w:val="000000"/>
        </w:rPr>
      </w:pPr>
      <w:r w:rsidRPr="00A54D7C">
        <w:rPr>
          <w:rFonts w:ascii="Garamond" w:eastAsia="Calibri" w:hAnsi="Garamond" w:cs="Garamond"/>
          <w:color w:val="000000"/>
        </w:rPr>
        <w:t xml:space="preserve">2. Drejtoria e Licencimit dhe Autorizimeve të njoftojë shoqërinë “5GX </w:t>
      </w:r>
      <w:r w:rsidR="00DF3312" w:rsidRPr="00A54D7C">
        <w:rPr>
          <w:rFonts w:ascii="Garamond" w:eastAsia="Calibri" w:hAnsi="Garamond" w:cs="Garamond"/>
          <w:color w:val="000000"/>
        </w:rPr>
        <w:t>Energy</w:t>
      </w:r>
      <w:r w:rsidRPr="00A54D7C">
        <w:rPr>
          <w:rFonts w:ascii="Garamond" w:eastAsia="Calibri" w:hAnsi="Garamond" w:cs="Garamond"/>
          <w:color w:val="000000"/>
        </w:rPr>
        <w:t xml:space="preserve">” sh.p.k. dhe Ministrinë e Infrastrukturës dhe Energjisë për vendimin e </w:t>
      </w:r>
      <w:r w:rsidR="00DF3312" w:rsidRPr="00A54D7C">
        <w:rPr>
          <w:rFonts w:ascii="Garamond" w:eastAsia="Calibri" w:hAnsi="Garamond" w:cs="Garamond"/>
          <w:color w:val="000000"/>
        </w:rPr>
        <w:t xml:space="preserve">Bordit </w:t>
      </w:r>
      <w:r w:rsidRPr="00A54D7C">
        <w:rPr>
          <w:rFonts w:ascii="Garamond" w:eastAsia="Calibri" w:hAnsi="Garamond" w:cs="Garamond"/>
          <w:color w:val="000000"/>
        </w:rPr>
        <w:t>të ERE-s.</w:t>
      </w:r>
    </w:p>
    <w:p w14:paraId="210D8E4D" w14:textId="77777777" w:rsidR="0011098F" w:rsidRPr="00854F79" w:rsidRDefault="006C0AEC">
      <w:pPr>
        <w:ind w:firstLine="284"/>
        <w:rPr>
          <w:rFonts w:ascii="Garamond" w:hAnsi="Garamond"/>
          <w:bCs/>
        </w:rPr>
      </w:pPr>
      <w:r w:rsidRPr="00A54D7C">
        <w:rPr>
          <w:rFonts w:ascii="Garamond" w:hAnsi="Garamond"/>
          <w:bCs/>
        </w:rPr>
        <w:t>Ky vendim hyn në fuqi menjëherë</w:t>
      </w:r>
      <w:r w:rsidRPr="00854F79">
        <w:rPr>
          <w:rFonts w:ascii="Garamond" w:hAnsi="Garamond"/>
          <w:bCs/>
        </w:rPr>
        <w:t xml:space="preserve">. </w:t>
      </w:r>
    </w:p>
    <w:p w14:paraId="2018E98E" w14:textId="6124A727" w:rsidR="0011098F" w:rsidRPr="00854F79" w:rsidRDefault="006C0AEC">
      <w:pPr>
        <w:ind w:firstLine="284"/>
        <w:jc w:val="both"/>
        <w:rPr>
          <w:rFonts w:ascii="Garamond" w:hAnsi="Garamond"/>
          <w:bCs/>
        </w:rPr>
      </w:pPr>
      <w:r w:rsidRPr="00854F79">
        <w:rPr>
          <w:rFonts w:ascii="Garamond" w:hAnsi="Garamond"/>
          <w:bCs/>
        </w:rPr>
        <w:t xml:space="preserve">Çdo palë e përfshirë në këtë procedurë mund t’i kërkojë ERE-s, brenda 7 ditëve kalendarike nga data e </w:t>
      </w:r>
      <w:bookmarkStart w:id="8" w:name="_GoBack"/>
      <w:bookmarkEnd w:id="8"/>
      <w:r w:rsidRPr="00854F79">
        <w:rPr>
          <w:rFonts w:ascii="Garamond" w:hAnsi="Garamond"/>
          <w:bCs/>
        </w:rPr>
        <w:t xml:space="preserve">marrjes së vendimit, rishikimin e vendimit të </w:t>
      </w:r>
      <w:r w:rsidR="00DF3312" w:rsidRPr="00854F79">
        <w:rPr>
          <w:rFonts w:ascii="Garamond" w:hAnsi="Garamond"/>
          <w:bCs/>
        </w:rPr>
        <w:t xml:space="preserve">Bordit </w:t>
      </w:r>
      <w:r w:rsidRPr="00854F79">
        <w:rPr>
          <w:rFonts w:ascii="Garamond" w:hAnsi="Garamond"/>
          <w:bCs/>
        </w:rPr>
        <w:t xml:space="preserve">në rast se ka siguruar prova të reja që mund ta çojnë </w:t>
      </w:r>
      <w:r w:rsidR="00DF3312" w:rsidRPr="00854F79">
        <w:rPr>
          <w:rFonts w:ascii="Garamond" w:hAnsi="Garamond"/>
          <w:bCs/>
        </w:rPr>
        <w:t xml:space="preserve">Bordin </w:t>
      </w:r>
      <w:r w:rsidRPr="00854F79">
        <w:rPr>
          <w:rFonts w:ascii="Garamond" w:hAnsi="Garamond"/>
          <w:bCs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6C4AE4C" w14:textId="77777777" w:rsidR="0011098F" w:rsidRPr="00854F79" w:rsidRDefault="006C0AEC">
      <w:pPr>
        <w:ind w:firstLine="284"/>
        <w:jc w:val="both"/>
        <w:rPr>
          <w:rFonts w:ascii="Garamond" w:hAnsi="Garamond"/>
          <w:bCs/>
        </w:rPr>
      </w:pPr>
      <w:r w:rsidRPr="00854F79">
        <w:rPr>
          <w:rFonts w:ascii="Garamond" w:hAnsi="Garamond"/>
          <w:bCs/>
        </w:rPr>
        <w:t>Ky vendim botohet në Fletoren Zyrtare.</w:t>
      </w:r>
    </w:p>
    <w:p w14:paraId="725F7EE9" w14:textId="77777777" w:rsidR="0011098F" w:rsidRPr="00854F79" w:rsidRDefault="00F04FEA">
      <w:pPr>
        <w:ind w:firstLine="284"/>
        <w:jc w:val="both"/>
        <w:rPr>
          <w:rFonts w:ascii="Garamond" w:hAnsi="Garamond"/>
          <w:bCs/>
        </w:rPr>
      </w:pPr>
      <w:r w:rsidRPr="00854F79">
        <w:rPr>
          <w:rFonts w:ascii="Garamond" w:hAnsi="Garamond"/>
          <w:bCs/>
        </w:rPr>
        <w:t xml:space="preserve"> </w:t>
      </w:r>
    </w:p>
    <w:p w14:paraId="5494A0A9" w14:textId="77777777" w:rsidR="0011098F" w:rsidRPr="00854F79" w:rsidRDefault="006C0AEC">
      <w:pPr>
        <w:ind w:firstLine="284"/>
        <w:jc w:val="right"/>
        <w:rPr>
          <w:rFonts w:ascii="Garamond" w:hAnsi="Garamond"/>
          <w:bCs/>
        </w:rPr>
      </w:pPr>
      <w:r w:rsidRPr="00854F79">
        <w:rPr>
          <w:rFonts w:ascii="Garamond" w:hAnsi="Garamond"/>
          <w:bCs/>
        </w:rPr>
        <w:t>KRYETAR</w:t>
      </w:r>
    </w:p>
    <w:p w14:paraId="64E46283" w14:textId="77777777" w:rsidR="0011098F" w:rsidRPr="00854F79" w:rsidRDefault="006C0AEC">
      <w:pPr>
        <w:ind w:firstLine="284"/>
        <w:jc w:val="right"/>
        <w:rPr>
          <w:rFonts w:ascii="Garamond" w:hAnsi="Garamond"/>
          <w:b/>
          <w:bCs/>
        </w:rPr>
      </w:pPr>
      <w:r w:rsidRPr="00854F79">
        <w:rPr>
          <w:rFonts w:ascii="Garamond" w:hAnsi="Garamond"/>
          <w:b/>
          <w:bCs/>
        </w:rPr>
        <w:t>Petrit Ahmeti</w:t>
      </w:r>
    </w:p>
    <w:sectPr w:rsidR="0011098F" w:rsidRPr="00854F79">
      <w:footerReference w:type="even" r:id="rId12"/>
      <w:pgSz w:w="11909" w:h="16834" w:orient="landscape"/>
      <w:pgMar w:top="1080" w:right="1440" w:bottom="1890" w:left="1440" w:header="72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2D968" w14:textId="77777777" w:rsidR="00A54D7C" w:rsidRDefault="00A54D7C">
      <w:r>
        <w:separator/>
      </w:r>
    </w:p>
  </w:endnote>
  <w:endnote w:type="continuationSeparator" w:id="0">
    <w:p w14:paraId="69E2936D" w14:textId="77777777" w:rsidR="00A54D7C" w:rsidRDefault="00A54D7C">
      <w:r>
        <w:continuationSeparator/>
      </w:r>
    </w:p>
  </w:endnote>
  <w:endnote w:type="continuationNotice" w:id="1">
    <w:p w14:paraId="6376B1D2" w14:textId="77777777" w:rsidR="00A54D7C" w:rsidRDefault="00A54D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EE66C" w14:textId="77777777" w:rsidR="00A54D7C" w:rsidRDefault="00A54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14:paraId="288A9A72" w14:textId="77777777" w:rsidR="00A54D7C" w:rsidRDefault="00A54D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663FA" w14:textId="77777777" w:rsidR="00A54D7C" w:rsidRDefault="00A54D7C">
      <w:r>
        <w:separator/>
      </w:r>
    </w:p>
  </w:footnote>
  <w:footnote w:type="continuationSeparator" w:id="0">
    <w:p w14:paraId="2922B71C" w14:textId="77777777" w:rsidR="00A54D7C" w:rsidRDefault="00A54D7C">
      <w:r>
        <w:continuationSeparator/>
      </w:r>
    </w:p>
  </w:footnote>
  <w:footnote w:type="continuationNotice" w:id="1">
    <w:p w14:paraId="6A1C2108" w14:textId="77777777" w:rsidR="00A54D7C" w:rsidRDefault="00A54D7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D0C78"/>
    <w:multiLevelType w:val="multilevel"/>
    <w:tmpl w:val="F3C4625E"/>
    <w:lvl w:ilvl="0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043178B0"/>
    <w:multiLevelType w:val="multilevel"/>
    <w:tmpl w:val="79B247C2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5A67256"/>
    <w:multiLevelType w:val="multilevel"/>
    <w:tmpl w:val="37820802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5D73286"/>
    <w:multiLevelType w:val="multilevel"/>
    <w:tmpl w:val="E90626B6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3357A38"/>
    <w:multiLevelType w:val="multilevel"/>
    <w:tmpl w:val="2B7A75BC"/>
    <w:lvl w:ilvl="0">
      <w:start w:val="17"/>
      <w:numFmt w:val="bullet"/>
      <w:suff w:val="space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suff w:val="space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5" w15:restartNumberingAfterBreak="0">
    <w:nsid w:val="164211E5"/>
    <w:multiLevelType w:val="multilevel"/>
    <w:tmpl w:val="87787AC2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BF37F59"/>
    <w:multiLevelType w:val="multilevel"/>
    <w:tmpl w:val="9260E43A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7" w15:restartNumberingAfterBreak="0">
    <w:nsid w:val="21527708"/>
    <w:multiLevelType w:val="multilevel"/>
    <w:tmpl w:val="60A2C204"/>
    <w:lvl w:ilvl="0">
      <w:numFmt w:val="bullet"/>
      <w:suff w:val="space"/>
      <w:lvlText w:val="-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>
      <w:start w:val="1"/>
      <w:numFmt w:val="bullet"/>
      <w:suff w:val="space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" w15:restartNumberingAfterBreak="0">
    <w:nsid w:val="216F4962"/>
    <w:multiLevelType w:val="multilevel"/>
    <w:tmpl w:val="CB96B03C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57E00FF"/>
    <w:multiLevelType w:val="multilevel"/>
    <w:tmpl w:val="E81C10AC"/>
    <w:lvl w:ilvl="0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/>
        <w:color w:val="000000"/>
      </w:rPr>
    </w:lvl>
    <w:lvl w:ilvl="1">
      <w:start w:val="1"/>
      <w:numFmt w:val="bullet"/>
      <w:suff w:val="space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 w15:restartNumberingAfterBreak="0">
    <w:nsid w:val="25F56410"/>
    <w:multiLevelType w:val="multilevel"/>
    <w:tmpl w:val="27569AC8"/>
    <w:lvl w:ilvl="0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1" w15:restartNumberingAfterBreak="0">
    <w:nsid w:val="27C61C41"/>
    <w:multiLevelType w:val="multilevel"/>
    <w:tmpl w:val="55BC93C4"/>
    <w:lvl w:ilvl="0">
      <w:numFmt w:val="bullet"/>
      <w:suff w:val="space"/>
      <w:lvlText w:val="-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>
      <w:start w:val="1"/>
      <w:numFmt w:val="bullet"/>
      <w:suff w:val="space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2" w15:restartNumberingAfterBreak="0">
    <w:nsid w:val="2B1917A8"/>
    <w:multiLevelType w:val="multilevel"/>
    <w:tmpl w:val="6A7C7C96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3" w15:restartNumberingAfterBreak="0">
    <w:nsid w:val="2B2436E2"/>
    <w:multiLevelType w:val="multilevel"/>
    <w:tmpl w:val="5CE63946"/>
    <w:lvl w:ilvl="0">
      <w:start w:val="2"/>
      <w:numFmt w:val="decimal"/>
      <w:suff w:val="space"/>
      <w:lvlText w:val="%1"/>
      <w:lvlJc w:val="left"/>
      <w:pPr>
        <w:ind w:left="360" w:hanging="360"/>
      </w:pPr>
    </w:lvl>
    <w:lvl w:ilvl="1">
      <w:start w:val="1"/>
      <w:numFmt w:val="bullet"/>
      <w:suff w:val="space"/>
      <w:lvlText w:val=""/>
      <w:lvlJc w:val="left"/>
      <w:pPr>
        <w:ind w:left="540" w:hanging="360"/>
      </w:pPr>
      <w:rPr>
        <w:rFonts w:ascii="Wingdings" w:hAnsi="Wingdings"/>
      </w:rPr>
    </w:lvl>
    <w:lvl w:ilvl="2">
      <w:start w:val="1"/>
      <w:numFmt w:val="decimal"/>
      <w:suff w:val="space"/>
      <w:lvlText w:val="%1.%2.%3"/>
      <w:lvlJc w:val="left"/>
      <w:pPr>
        <w:ind w:left="1080" w:hanging="720"/>
      </w:pPr>
    </w:lvl>
    <w:lvl w:ilvl="3">
      <w:start w:val="1"/>
      <w:numFmt w:val="decimal"/>
      <w:suff w:val="space"/>
      <w:lvlText w:val="%1.%2.%3.%4"/>
      <w:lvlJc w:val="left"/>
      <w:pPr>
        <w:ind w:left="1260" w:hanging="720"/>
      </w:pPr>
    </w:lvl>
    <w:lvl w:ilvl="4">
      <w:start w:val="1"/>
      <w:numFmt w:val="decimal"/>
      <w:suff w:val="space"/>
      <w:lvlText w:val="%1.%2.%3.%4.%5"/>
      <w:lvlJc w:val="left"/>
      <w:pPr>
        <w:ind w:left="1440" w:hanging="720"/>
      </w:pPr>
    </w:lvl>
    <w:lvl w:ilvl="5">
      <w:start w:val="1"/>
      <w:numFmt w:val="decimal"/>
      <w:suff w:val="space"/>
      <w:lvlText w:val="%1.%2.%3.%4.%5.%6"/>
      <w:lvlJc w:val="left"/>
      <w:pPr>
        <w:ind w:left="1980" w:hanging="1080"/>
      </w:pPr>
    </w:lvl>
    <w:lvl w:ilvl="6">
      <w:start w:val="1"/>
      <w:numFmt w:val="decimal"/>
      <w:suff w:val="space"/>
      <w:lvlText w:val="%1.%2.%3.%4.%5.%6.%7"/>
      <w:lvlJc w:val="left"/>
      <w:pPr>
        <w:ind w:left="2160" w:hanging="1080"/>
      </w:pPr>
    </w:lvl>
    <w:lvl w:ilvl="7">
      <w:start w:val="1"/>
      <w:numFmt w:val="decimal"/>
      <w:suff w:val="space"/>
      <w:lvlText w:val="%1.%2.%3.%4.%5.%6.%7.%8"/>
      <w:lvlJc w:val="left"/>
      <w:pPr>
        <w:ind w:left="2700" w:hanging="1440"/>
      </w:pPr>
    </w:lvl>
    <w:lvl w:ilvl="8">
      <w:start w:val="1"/>
      <w:numFmt w:val="decimal"/>
      <w:suff w:val="space"/>
      <w:lvlText w:val="%1.%2.%3.%4.%5.%6.%7.%8.%9"/>
      <w:lvlJc w:val="left"/>
      <w:pPr>
        <w:ind w:left="2880" w:hanging="1440"/>
      </w:pPr>
    </w:lvl>
  </w:abstractNum>
  <w:abstractNum w:abstractNumId="14" w15:restartNumberingAfterBreak="0">
    <w:nsid w:val="2CCA7639"/>
    <w:multiLevelType w:val="multilevel"/>
    <w:tmpl w:val="8722B71C"/>
    <w:lvl w:ilvl="0"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2FD23E99"/>
    <w:multiLevelType w:val="multilevel"/>
    <w:tmpl w:val="6F9E92E4"/>
    <w:lvl w:ilvl="0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/>
        <w:color w:val="000000"/>
      </w:rPr>
    </w:lvl>
    <w:lvl w:ilvl="1">
      <w:start w:val="1"/>
      <w:numFmt w:val="bullet"/>
      <w:suff w:val="space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6" w15:restartNumberingAfterBreak="0">
    <w:nsid w:val="2FFA3966"/>
    <w:multiLevelType w:val="multilevel"/>
    <w:tmpl w:val="6BE49328"/>
    <w:lvl w:ilvl="0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1AE2D09"/>
    <w:multiLevelType w:val="multilevel"/>
    <w:tmpl w:val="BDB6770A"/>
    <w:lvl w:ilvl="0">
      <w:numFmt w:val="bullet"/>
      <w:suff w:val="space"/>
      <w:lvlText w:val="-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>
      <w:start w:val="1"/>
      <w:numFmt w:val="bullet"/>
      <w:suff w:val="space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8" w15:restartNumberingAfterBreak="0">
    <w:nsid w:val="332301BE"/>
    <w:multiLevelType w:val="multilevel"/>
    <w:tmpl w:val="FC84E39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9" w15:restartNumberingAfterBreak="0">
    <w:nsid w:val="395A01DE"/>
    <w:multiLevelType w:val="multilevel"/>
    <w:tmpl w:val="87A42006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A6624A6"/>
    <w:multiLevelType w:val="multilevel"/>
    <w:tmpl w:val="7E12DD5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1" w15:restartNumberingAfterBreak="0">
    <w:nsid w:val="3B5D1A47"/>
    <w:multiLevelType w:val="multilevel"/>
    <w:tmpl w:val="B70E246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2" w15:restartNumberingAfterBreak="0">
    <w:nsid w:val="3BD51B50"/>
    <w:multiLevelType w:val="multilevel"/>
    <w:tmpl w:val="EC028ACC"/>
    <w:lvl w:ilvl="0">
      <w:start w:val="17"/>
      <w:numFmt w:val="bullet"/>
      <w:suff w:val="space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suff w:val="space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3" w15:restartNumberingAfterBreak="0">
    <w:nsid w:val="44D901B4"/>
    <w:multiLevelType w:val="multilevel"/>
    <w:tmpl w:val="F66C3644"/>
    <w:lvl w:ilvl="0">
      <w:numFmt w:val="bullet"/>
      <w:suff w:val="space"/>
      <w:lvlText w:val="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>
      <w:numFmt w:val="bullet"/>
      <w:suff w:val="space"/>
      <w:lvlText w:val="•"/>
      <w:lvlJc w:val="left"/>
      <w:pPr>
        <w:ind w:left="2520" w:hanging="360"/>
      </w:pPr>
      <w:rPr>
        <w:rFonts w:ascii="Times New Roman" w:eastAsia="Calibri" w:hAnsi="Times New Roman" w:cs="Times New Roman"/>
      </w:rPr>
    </w:lvl>
    <w:lvl w:ilvl="2">
      <w:start w:val="1"/>
      <w:numFmt w:val="bullet"/>
      <w:suff w:val="space"/>
      <w:lvlText w:val=""/>
      <w:lvlJc w:val="left"/>
      <w:pPr>
        <w:ind w:left="324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396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540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612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4" w15:restartNumberingAfterBreak="0">
    <w:nsid w:val="456F67BC"/>
    <w:multiLevelType w:val="multilevel"/>
    <w:tmpl w:val="E94CAF58"/>
    <w:lvl w:ilvl="0">
      <w:numFmt w:val="bullet"/>
      <w:suff w:val="space"/>
      <w:lvlText w:val="-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>
      <w:start w:val="1"/>
      <w:numFmt w:val="bullet"/>
      <w:suff w:val="space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5" w15:restartNumberingAfterBreak="0">
    <w:nsid w:val="4AF0119E"/>
    <w:multiLevelType w:val="multilevel"/>
    <w:tmpl w:val="19C611B2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4ED92C19"/>
    <w:multiLevelType w:val="multilevel"/>
    <w:tmpl w:val="134EF068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38B4F38"/>
    <w:multiLevelType w:val="multilevel"/>
    <w:tmpl w:val="D9483EE8"/>
    <w:lvl w:ilvl="0">
      <w:start w:val="1"/>
      <w:numFmt w:val="bullet"/>
      <w:suff w:val="space"/>
      <w:lvlText w:val="-"/>
      <w:lvlJc w:val="left"/>
      <w:pPr>
        <w:ind w:left="1440" w:hanging="360"/>
      </w:pPr>
      <w:rPr>
        <w:rFonts w:ascii="Calibri" w:eastAsia="Calibri" w:hAnsi="Calibri" w:cs="Calibri"/>
        <w:color w:val="000000"/>
      </w:rPr>
    </w:lvl>
    <w:lvl w:ilvl="1">
      <w:start w:val="1"/>
      <w:numFmt w:val="bullet"/>
      <w:suff w:val="space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8" w15:restartNumberingAfterBreak="0">
    <w:nsid w:val="53EB1763"/>
    <w:multiLevelType w:val="multilevel"/>
    <w:tmpl w:val="EAC2D21C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54D538B0"/>
    <w:multiLevelType w:val="multilevel"/>
    <w:tmpl w:val="CF58D806"/>
    <w:lvl w:ilvl="0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/>
        <w:color w:val="000000"/>
      </w:rPr>
    </w:lvl>
    <w:lvl w:ilvl="1">
      <w:start w:val="1"/>
      <w:numFmt w:val="bullet"/>
      <w:suff w:val="space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0" w15:restartNumberingAfterBreak="0">
    <w:nsid w:val="601C57E9"/>
    <w:multiLevelType w:val="multilevel"/>
    <w:tmpl w:val="BFD03ECC"/>
    <w:lvl w:ilvl="0">
      <w:numFmt w:val="bullet"/>
      <w:suff w:val="space"/>
      <w:lvlText w:val="-"/>
      <w:lvlJc w:val="left"/>
      <w:pPr>
        <w:ind w:left="360" w:hanging="360"/>
      </w:pPr>
      <w:rPr>
        <w:rFonts w:ascii="Garamond" w:eastAsia="Times New Roman" w:hAnsi="Garamond" w:cs="Times New Roman"/>
      </w:rPr>
    </w:lvl>
    <w:lvl w:ilvl="1">
      <w:start w:val="1"/>
      <w:numFmt w:val="bullet"/>
      <w:suff w:val="space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1" w15:restartNumberingAfterBreak="0">
    <w:nsid w:val="6036400B"/>
    <w:multiLevelType w:val="multilevel"/>
    <w:tmpl w:val="4FCA6E08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5953F35"/>
    <w:multiLevelType w:val="multilevel"/>
    <w:tmpl w:val="07DCF0F2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6899128D"/>
    <w:multiLevelType w:val="multilevel"/>
    <w:tmpl w:val="C44C0C1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34" w15:restartNumberingAfterBreak="0">
    <w:nsid w:val="6953557D"/>
    <w:multiLevelType w:val="multilevel"/>
    <w:tmpl w:val="CCFEC1FC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D110695"/>
    <w:multiLevelType w:val="multilevel"/>
    <w:tmpl w:val="4AB8F542"/>
    <w:lvl w:ilvl="0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6" w15:restartNumberingAfterBreak="0">
    <w:nsid w:val="6D6B7A92"/>
    <w:multiLevelType w:val="multilevel"/>
    <w:tmpl w:val="E84677A6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  <w:color w:val="000000"/>
        <w:sz w:val="18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735E31B1"/>
    <w:multiLevelType w:val="multilevel"/>
    <w:tmpl w:val="00949C0A"/>
    <w:lvl w:ilvl="0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8" w15:restartNumberingAfterBreak="0">
    <w:nsid w:val="7A126A1C"/>
    <w:multiLevelType w:val="multilevel"/>
    <w:tmpl w:val="09E016BE"/>
    <w:lvl w:ilvl="0">
      <w:start w:val="17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7B454E33"/>
    <w:multiLevelType w:val="multilevel"/>
    <w:tmpl w:val="A0CE6536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7BC50AD0"/>
    <w:multiLevelType w:val="multilevel"/>
    <w:tmpl w:val="F2F8B35E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7EBE1878"/>
    <w:multiLevelType w:val="multilevel"/>
    <w:tmpl w:val="DABABD48"/>
    <w:lvl w:ilvl="0"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9"/>
  </w:num>
  <w:num w:numId="2">
    <w:abstractNumId w:val="9"/>
  </w:num>
  <w:num w:numId="3">
    <w:abstractNumId w:val="5"/>
  </w:num>
  <w:num w:numId="4">
    <w:abstractNumId w:val="21"/>
  </w:num>
  <w:num w:numId="5">
    <w:abstractNumId w:val="40"/>
  </w:num>
  <w:num w:numId="6">
    <w:abstractNumId w:val="14"/>
  </w:num>
  <w:num w:numId="7">
    <w:abstractNumId w:val="19"/>
  </w:num>
  <w:num w:numId="8">
    <w:abstractNumId w:val="24"/>
  </w:num>
  <w:num w:numId="9">
    <w:abstractNumId w:val="26"/>
  </w:num>
  <w:num w:numId="10">
    <w:abstractNumId w:val="17"/>
  </w:num>
  <w:num w:numId="11">
    <w:abstractNumId w:val="18"/>
  </w:num>
  <w:num w:numId="12">
    <w:abstractNumId w:val="34"/>
  </w:num>
  <w:num w:numId="13">
    <w:abstractNumId w:val="7"/>
  </w:num>
  <w:num w:numId="14">
    <w:abstractNumId w:val="12"/>
  </w:num>
  <w:num w:numId="15">
    <w:abstractNumId w:val="10"/>
  </w:num>
  <w:num w:numId="16">
    <w:abstractNumId w:val="27"/>
  </w:num>
  <w:num w:numId="17">
    <w:abstractNumId w:val="0"/>
  </w:num>
  <w:num w:numId="18">
    <w:abstractNumId w:val="35"/>
  </w:num>
  <w:num w:numId="19">
    <w:abstractNumId w:val="11"/>
  </w:num>
  <w:num w:numId="20">
    <w:abstractNumId w:val="15"/>
  </w:num>
  <w:num w:numId="21">
    <w:abstractNumId w:val="6"/>
  </w:num>
  <w:num w:numId="22">
    <w:abstractNumId w:val="23"/>
  </w:num>
  <w:num w:numId="23">
    <w:abstractNumId w:val="20"/>
  </w:num>
  <w:num w:numId="24">
    <w:abstractNumId w:val="16"/>
  </w:num>
  <w:num w:numId="25">
    <w:abstractNumId w:val="36"/>
  </w:num>
  <w:num w:numId="26">
    <w:abstractNumId w:val="39"/>
  </w:num>
  <w:num w:numId="27">
    <w:abstractNumId w:val="13"/>
  </w:num>
  <w:num w:numId="28">
    <w:abstractNumId w:val="41"/>
  </w:num>
  <w:num w:numId="29">
    <w:abstractNumId w:val="38"/>
  </w:num>
  <w:num w:numId="30">
    <w:abstractNumId w:val="33"/>
  </w:num>
  <w:num w:numId="31">
    <w:abstractNumId w:val="25"/>
  </w:num>
  <w:num w:numId="32">
    <w:abstractNumId w:val="37"/>
  </w:num>
  <w:num w:numId="33">
    <w:abstractNumId w:val="25"/>
  </w:num>
  <w:num w:numId="34">
    <w:abstractNumId w:val="1"/>
  </w:num>
  <w:num w:numId="35">
    <w:abstractNumId w:val="22"/>
  </w:num>
  <w:num w:numId="36">
    <w:abstractNumId w:val="4"/>
  </w:num>
  <w:num w:numId="37">
    <w:abstractNumId w:val="30"/>
  </w:num>
  <w:num w:numId="38">
    <w:abstractNumId w:val="31"/>
  </w:num>
  <w:num w:numId="39">
    <w:abstractNumId w:val="8"/>
  </w:num>
  <w:num w:numId="40">
    <w:abstractNumId w:val="3"/>
  </w:num>
  <w:num w:numId="41">
    <w:abstractNumId w:val="32"/>
  </w:num>
  <w:num w:numId="42">
    <w:abstractNumId w:val="2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098F"/>
    <w:rsid w:val="0011098F"/>
    <w:rsid w:val="0038049E"/>
    <w:rsid w:val="006C0AEC"/>
    <w:rsid w:val="007D2013"/>
    <w:rsid w:val="00854F79"/>
    <w:rsid w:val="009C0ED2"/>
    <w:rsid w:val="00A24991"/>
    <w:rsid w:val="00A54D7C"/>
    <w:rsid w:val="00D65A85"/>
    <w:rsid w:val="00DF3312"/>
    <w:rsid w:val="00F04FEA"/>
    <w:rsid w:val="00F9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082A1"/>
  <w15:docId w15:val="{B45375CC-6FCE-46A8-983B-47B7FCFE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59"/>
    <w:lsdException w:name="Grid Table 4" w:uiPriority="59"/>
    <w:lsdException w:name="Grid Table 4 Accent 1" w:uiPriority="59"/>
    <w:lsdException w:name="Grid Table 5 Dark Accent 1" w:uiPriority="50"/>
    <w:lsdException w:name="Grid Table 4 Accent 2" w:uiPriority="59"/>
    <w:lsdException w:name="Grid Table 4 Accent 3" w:uiPriority="59"/>
    <w:lsdException w:name="Grid Table 4 Accent 4" w:uiPriority="59"/>
    <w:lsdException w:name="Grid Table 5 Dark Accent 4" w:uiPriority="50"/>
    <w:lsdException w:name="Grid Table 4 Accent 5" w:uiPriority="59"/>
    <w:lsdException w:name="Grid Table 4 Accent 6" w:uiPriority="59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Calibri" w:eastAsia="Calibri" w:hAnsi="Calibri"/>
      <w:b/>
      <w:bCs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eastAsia="Calibri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5Char">
    <w:name w:val="Heading 5 Char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</w:style>
  <w:style w:type="character" w:customStyle="1" w:styleId="SubtitleChar">
    <w:name w:val="Subtitle Char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2">
    <w:name w:val="Plain Table 2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1Light-Accent1">
    <w:name w:val="Grid Table 1 Light Accent 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1Light-Accent2">
    <w:name w:val="Grid Table 1 Light Accent 2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1Light-Accent3">
    <w:name w:val="Grid Table 1 Light Accent 3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1Light-Accent4">
    <w:name w:val="Grid Table 1 Light Accent 4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1Light-Accent5">
    <w:name w:val="Grid Table 1 Light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1Light-Accent6">
    <w:name w:val="Grid Table 1 Light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2-Accent1">
    <w:name w:val="Grid Table 2 Accent 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2-Accent2">
    <w:name w:val="Grid Table 2 Accent 2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2-Accent3">
    <w:name w:val="Grid Table 2 Accent 3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2-Accent4">
    <w:name w:val="Grid Table 2 Accent 4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2-Accent5">
    <w:name w:val="Grid Table 2 Accent 5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2-Accent6">
    <w:name w:val="Grid Table 2 Accent 6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3-Accent1">
    <w:name w:val="Grid Table 3 Accent 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3-Accent2">
    <w:name w:val="Grid Table 3 Accent 2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3-Accent3">
    <w:name w:val="Grid Table 3 Accent 3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3-Accent4">
    <w:name w:val="Grid Table 3 Accent 4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3-Accent5">
    <w:name w:val="Grid Table 3 Accent 5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3-Accent6">
    <w:name w:val="Grid Table 3 Accent 6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4-Accent1">
    <w:name w:val="Grid Table 4 Accent 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4-Accent2">
    <w:name w:val="Grid Table 4 Accent 2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4-Accent3">
    <w:name w:val="Grid Table 4 Accent 3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4-Accent4">
    <w:name w:val="Grid Table 4 Accent 4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4-Accent5">
    <w:name w:val="Grid Table 4 Accent 5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4-Accent6">
    <w:name w:val="Grid Table 4 Accent 6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styleId="GridTable5Dark-Accent2">
    <w:name w:val="Grid Table 5 Dark Accent 2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styleId="GridTable5Dark-Accent3">
    <w:name w:val="Grid Table 5 Dark Accent 3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styleId="GridTable5Dark-Accent5">
    <w:name w:val="Grid Table 5 Dark Accent 5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styleId="GridTable5Dark-Accent6">
    <w:name w:val="Grid Table 5 Dark Accent 6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6Colorful-Accent1">
    <w:name w:val="Grid Table 6 Colorful Accent 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6Colorful-Accent2">
    <w:name w:val="Grid Table 6 Colorful Accent 2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6Colorful-Accent3">
    <w:name w:val="Grid Table 6 Colorful Accent 3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6Colorful-Accent4">
    <w:name w:val="Grid Table 6 Colorful Accent 4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6Colorful-Accent5">
    <w:name w:val="Grid Table 6 Colorful Accent 5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6Colorful-Accent6">
    <w:name w:val="Grid Table 6 Colorful Accent 6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7Colorful-Accent1">
    <w:name w:val="Grid Table 7 Colorful Accent 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7Colorful-Accent2">
    <w:name w:val="Grid Table 7 Colorful Accent 2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7Colorful-Accent3">
    <w:name w:val="Grid Table 7 Colorful Accent 3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7Colorful-Accent4">
    <w:name w:val="Grid Table 7 Colorful Accent 4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7Colorful-Accent5">
    <w:name w:val="Grid Table 7 Colorful Accent 5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GridTable7Colorful-Accent6">
    <w:name w:val="Grid Table 7 Colorful Accent 6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ListTable1Light-Accent1">
    <w:name w:val="List Table 1 Light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ListTable1Light-Accent2">
    <w:name w:val="List Table 1 Light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ListTable1Light-Accent3">
    <w:name w:val="List Table 1 Light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ListTable1Light-Accent4">
    <w:name w:val="List Table 1 Light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ListTable1Light-Accent5">
    <w:name w:val="List Table 1 Light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ListTable1Light-Accent6">
    <w:name w:val="List Table 1 Light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2-Accent1">
    <w:name w:val="List Table 2 Accent 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2-Accent2">
    <w:name w:val="List Table 2 Accent 2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2-Accent3">
    <w:name w:val="List Table 2 Accent 3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2-Accent4">
    <w:name w:val="List Table 2 Accent 4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2-Accent5">
    <w:name w:val="List Table 2 Accent 5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2-Accent6">
    <w:name w:val="List Table 2 Accent 6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3-Accent1">
    <w:name w:val="List Table 3 Accent 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3-Accent2">
    <w:name w:val="List Table 3 Accent 2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3-Accent3">
    <w:name w:val="List Table 3 Accent 3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3-Accent4">
    <w:name w:val="List Table 3 Accent 4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3-Accent5">
    <w:name w:val="List Table 3 Accent 5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3-Accent6">
    <w:name w:val="List Table 3 Accent 6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4-Accent1">
    <w:name w:val="List Table 4 Accent 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4-Accent2">
    <w:name w:val="List Table 4 Accent 2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4-Accent3">
    <w:name w:val="List Table 4 Accent 3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4-Accent4">
    <w:name w:val="List Table 4 Accent 4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4-Accent5">
    <w:name w:val="List Table 4 Accent 5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4-Accent6">
    <w:name w:val="List Table 4 Accent 6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styleId="ListTable5Dark-Accent1">
    <w:name w:val="List Table 5 Dark Accent 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styleId="ListTable5Dark-Accent2">
    <w:name w:val="List Table 5 Dark Accent 2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styleId="ListTable5Dark-Accent3">
    <w:name w:val="List Table 5 Dark Accent 3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styleId="ListTable5Dark-Accent4">
    <w:name w:val="List Table 5 Dark Accent 4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styleId="ListTable5Dark-Accent5">
    <w:name w:val="List Table 5 Dark Accent 5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styleId="ListTable5Dark-Accent6">
    <w:name w:val="List Table 5 Dark Accent 6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6Colorful-Accent1">
    <w:name w:val="List Table 6 Colorful Accent 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6Colorful-Accent2">
    <w:name w:val="List Table 6 Colorful Accent 2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6Colorful-Accent3">
    <w:name w:val="List Table 6 Colorful Accent 3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6Colorful-Accent4">
    <w:name w:val="List Table 6 Colorful Accent 4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6Colorful-Accent5">
    <w:name w:val="List Table 6 Colorful Accent 5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6Colorful-Accent6">
    <w:name w:val="List Table 6 Colorful Accent 6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7Colorful-Accent1">
    <w:name w:val="List Table 7 Colorful Accent 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7Colorful-Accent2">
    <w:name w:val="List Table 7 Colorful Accent 2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7Colorful-Accent3">
    <w:name w:val="List Table 7 Colorful Accent 3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7Colorful-Accent4">
    <w:name w:val="List Table 7 Colorful Accent 4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7Colorful-Accent5">
    <w:name w:val="List Table 7 Colorful Accent 5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ListTable7Colorful-Accent6">
    <w:name w:val="List Table 7 Colorful Accent 6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character" w:customStyle="1" w:styleId="FooterChar">
    <w:name w:val="Footer Char"/>
    <w:link w:val="Footer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rFonts w:ascii="Calibri" w:eastAsia="Calibri" w:hAnsi="Calibri"/>
      <w:sz w:val="20"/>
      <w:szCs w:val="20"/>
    </w:rPr>
  </w:style>
  <w:style w:type="character" w:styleId="PageNumber">
    <w:name w:val="page number"/>
    <w:rPr>
      <w:rFonts w:ascii="Calibri" w:eastAsia="Calibri" w:hAnsi="Calibri" w:cs="Times New Roman"/>
    </w:rPr>
  </w:style>
  <w:style w:type="character" w:styleId="Hyperlink">
    <w:name w:val="Hyperlink"/>
    <w:rPr>
      <w:rFonts w:ascii="Calibri" w:eastAsia="Calibri" w:hAnsi="Calibri" w:cs="Times New Roman"/>
      <w:color w:val="0563C1"/>
      <w:u w:val="single"/>
    </w:rPr>
  </w:style>
  <w:style w:type="character" w:customStyle="1" w:styleId="BodyTextIndent2Char">
    <w:name w:val="Body Text Indent 2 Char"/>
    <w:link w:val="BodyTextIndent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BodyTextIndent2">
    <w:name w:val="Body Text Indent 2"/>
    <w:basedOn w:val="Normal"/>
    <w:link w:val="BodyTextIndent2Char"/>
    <w:pPr>
      <w:spacing w:after="120" w:line="480" w:lineRule="auto"/>
      <w:ind w:left="360"/>
    </w:pPr>
    <w:rPr>
      <w:rFonts w:ascii="Calibri" w:eastAsia="Calibri" w:hAnsi="Calibri"/>
      <w:sz w:val="20"/>
      <w:szCs w:val="20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BodyText">
    <w:name w:val="Body Text"/>
    <w:basedOn w:val="Normal"/>
    <w:link w:val="BodyTextChar"/>
    <w:pPr>
      <w:spacing w:after="120"/>
    </w:pPr>
    <w:rPr>
      <w:rFonts w:ascii="Calibri" w:eastAsia="Calibri" w:hAnsi="Calibri"/>
      <w:sz w:val="20"/>
      <w:szCs w:val="20"/>
      <w:lang w:val="en-GB"/>
    </w:rPr>
  </w:style>
  <w:style w:type="character" w:customStyle="1" w:styleId="ListParagraphChar">
    <w:name w:val="List Paragraph Char"/>
    <w:link w:val="ListParagraph"/>
    <w:rPr>
      <w:rFonts w:ascii="Calibri" w:eastAsia="Calibri" w:hAnsi="Calibri" w:cs="Times New Roman"/>
      <w:sz w:val="21"/>
    </w:rPr>
  </w:style>
  <w:style w:type="paragraph" w:styleId="ListParagraph">
    <w:name w:val="List Paragraph"/>
    <w:basedOn w:val="Normal"/>
    <w:link w:val="ListParagraphChar"/>
    <w:qFormat/>
    <w:pPr>
      <w:ind w:left="720"/>
      <w:contextualSpacing/>
    </w:pPr>
    <w:rPr>
      <w:rFonts w:ascii="Calibri" w:eastAsia="Calibri" w:hAnsi="Calibri"/>
      <w:sz w:val="21"/>
      <w:szCs w:val="2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bCs/>
      <w:sz w:val="20"/>
      <w:szCs w:val="20"/>
      <w:lang w:val="en-GB" w:eastAsia="en-US"/>
    </w:rPr>
  </w:style>
  <w:style w:type="character" w:customStyle="1" w:styleId="Heading4Char">
    <w:name w:val="Heading 4 Char"/>
    <w:link w:val="Heading4"/>
    <w:rPr>
      <w:rFonts w:ascii="Times New Roman" w:eastAsia="Times New Roman" w:hAnsi="Times New Roman" w:cs="Times New Roman"/>
      <w:b/>
      <w:bCs/>
      <w:sz w:val="28"/>
      <w:szCs w:val="28"/>
      <w:lang w:val="en-GB" w:eastAsia="en-US"/>
    </w:rPr>
  </w:style>
  <w:style w:type="character" w:customStyle="1" w:styleId="Heading2Char">
    <w:name w:val="Heading 2 Char"/>
    <w:link w:val="Heading2"/>
    <w:rPr>
      <w:rFonts w:ascii="Arial" w:eastAsia="Times New Roman" w:hAnsi="Arial" w:cs="Times New Roman"/>
      <w:b/>
      <w:bCs/>
      <w:i/>
      <w:iCs/>
      <w:sz w:val="28"/>
      <w:szCs w:val="28"/>
      <w:lang w:val="en-US" w:eastAsia="en-US"/>
    </w:rPr>
  </w:style>
  <w:style w:type="character" w:customStyle="1" w:styleId="BalloonTextChar">
    <w:name w:val="Balloon Text Char"/>
    <w:link w:val="BalloonText"/>
    <w:rPr>
      <w:rFonts w:ascii="Segoe UI" w:eastAsia="Times New Roman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customStyle="1" w:styleId="HeaderChar">
    <w:name w:val="Header Char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  <w:rPr>
      <w:rFonts w:ascii="Calibri" w:eastAsia="Calibri" w:hAnsi="Calibri"/>
    </w:rPr>
  </w:style>
  <w:style w:type="character" w:customStyle="1" w:styleId="bumpedfont15">
    <w:name w:val="bumpedfont15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Pr>
      <w:rFonts w:ascii="Calibri" w:eastAsia="Calibri" w:hAnsi="Calibri"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rFonts w:ascii="Times New Roman" w:eastAsia="Times New Roman" w:hAnsi="Times New Roman" w:cs="Times New Roman"/>
      <w:b/>
      <w:bCs/>
    </w:rPr>
  </w:style>
  <w:style w:type="character" w:styleId="Strong">
    <w:name w:val="Strong"/>
    <w:uiPriority w:val="22"/>
    <w:qFormat/>
    <w:rPr>
      <w:rFonts w:ascii="Calibri" w:eastAsia="Calibri" w:hAnsi="Calibri" w:cs="Times New Roman"/>
      <w:b/>
      <w:bCs/>
    </w:rPr>
  </w:style>
  <w:style w:type="paragraph" w:styleId="Revision">
    <w:name w:val="Revision"/>
    <w:hidden/>
    <w:uiPriority w:val="99"/>
    <w:semiHidden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2025-02-19T15:04:59Z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2025-02-19T00:00:00Z</Date_x0020_protokolli>
    <Titulli xmlns="0e656187-b300-4fb0-8bf4-3a50f872073c">Mbi fillimin e procedurës për shqyrtimin e kërkesës së shoqërisë “5GX ENERGY” sh.p.k. për marrjen e autorizimit nga ERE për transferimin (nëpërmjet vendosjes së barrës siguruese) të aseteve fikse të saj</Titulli>
    <Modifikuesi xmlns="0e656187-b300-4fb0-8bf4-3a50f872073c">Fjora.Cahani</Modifikuesi>
    <Nr_x002e__x0020_prot_x0020_QBZ xmlns="0e656187-b300-4fb0-8bf4-3a50f872073c">305/2</Nr_x002e__x0020_prot_x0020_QBZ>
    <Data_x0020_e_x0020_Modifikimit xmlns="0e656187-b300-4fb0-8bf4-3a50f872073c">2025-02-20T09:46:45Z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1137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301D15E5C4FC1A0F694EE01B72C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301D15E5C4FC1A0F694EE01B72C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35EDEAA-CE85-4457-A202-69E05F595ED7}">
  <ds:schemaRefs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E1CF584-1CAF-40EF-8DA3-54D1A4DEF5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A3947C-02FE-4EBD-995B-2E469AA42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11E8F1-6DCE-4940-B003-00895FCD69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A5BA03-545C-4DBB-A599-38D9B0B8B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“5GX ENERGY” sh.p.k. për marrjen e autorizimit nga ERE për transferimin (nëpërmjet vendosjes së barrës siguruese) të aseteve fikse të saj</vt:lpstr>
    </vt:vector>
  </TitlesOfParts>
  <Company>Hewlett-Packard Company</Company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“5GX ENERGY” sh.p.k. për marrjen e autorizimit nga ERE për transferimin (nëpërmjet vendosjes së barrës siguruese) të aseteve fikse të saj</dc:title>
  <dc:creator>TONA</dc:creator>
  <cp:lastModifiedBy>Amarilda Muja</cp:lastModifiedBy>
  <cp:revision>13</cp:revision>
  <dcterms:created xsi:type="dcterms:W3CDTF">2025-02-19T14:08:00Z</dcterms:created>
  <dcterms:modified xsi:type="dcterms:W3CDTF">2025-02-20T08:59:00Z</dcterms:modified>
  <cp:version>1048576</cp:version>
</cp:coreProperties>
</file>