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customXml/itemProps11.xml" ContentType="application/vnd.openxmlformats-officedocument.customXmlProperties+xml"/>
  <Override PartName="/customXml/itemProps12.xml" ContentType="application/vnd.openxmlformats-officedocument.customXmlProperties+xml"/>
  <Override PartName="/customXml/itemProps13.xml" ContentType="application/vnd.openxmlformats-officedocument.customXmlProperties+xml"/>
  <Override PartName="/customXml/itemProps14.xml" ContentType="application/vnd.openxmlformats-officedocument.customXmlProperties+xml"/>
  <Override PartName="/customXml/itemProps15.xml" ContentType="application/vnd.openxmlformats-officedocument.customXmlProperties+xml"/>
  <Override PartName="/customXml/itemProps16.xml" ContentType="application/vnd.openxmlformats-officedocument.customXmlProperties+xml"/>
  <Override PartName="/customXml/itemProps17.xml" ContentType="application/vnd.openxmlformats-officedocument.customXmlProperties+xml"/>
  <Override PartName="/customXml/itemProps18.xml" ContentType="application/vnd.openxmlformats-officedocument.customXmlProperties+xml"/>
  <Override PartName="/customXml/itemProps19.xml" ContentType="application/vnd.openxmlformats-officedocument.customXmlProperties+xml"/>
  <Override PartName="/customXml/itemProps20.xml" ContentType="application/vnd.openxmlformats-officedocument.customXmlProperties+xml"/>
  <Override PartName="/customXml/itemProps2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4511A8" w14:textId="77777777" w:rsidR="007C523F" w:rsidRPr="007C523F" w:rsidRDefault="007C523F" w:rsidP="007C523F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7C523F">
        <w:rPr>
          <w:rFonts w:ascii="Garamond" w:hAnsi="Garamond"/>
          <w:b/>
          <w:bCs/>
          <w:sz w:val="24"/>
          <w:szCs w:val="24"/>
        </w:rPr>
        <w:t>VENDIM</w:t>
      </w:r>
    </w:p>
    <w:p w14:paraId="1CC3318D" w14:textId="0C71EA89" w:rsidR="007C523F" w:rsidRPr="007C523F" w:rsidRDefault="007C523F" w:rsidP="007C523F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7C523F">
        <w:rPr>
          <w:rFonts w:ascii="Garamond" w:hAnsi="Garamond"/>
          <w:b/>
          <w:bCs/>
          <w:sz w:val="24"/>
          <w:szCs w:val="24"/>
        </w:rPr>
        <w:t xml:space="preserve">Nr. 77, </w:t>
      </w:r>
      <w:r>
        <w:rPr>
          <w:rFonts w:ascii="Garamond" w:hAnsi="Garamond"/>
          <w:b/>
          <w:bCs/>
          <w:sz w:val="24"/>
          <w:szCs w:val="24"/>
        </w:rPr>
        <w:t>d</w:t>
      </w:r>
      <w:r w:rsidRPr="007C523F">
        <w:rPr>
          <w:rFonts w:ascii="Garamond" w:hAnsi="Garamond"/>
          <w:b/>
          <w:bCs/>
          <w:sz w:val="24"/>
          <w:szCs w:val="24"/>
        </w:rPr>
        <w:t>atë 14.4.2025</w:t>
      </w:r>
    </w:p>
    <w:p w14:paraId="66AF176B" w14:textId="77777777" w:rsidR="007C523F" w:rsidRDefault="007C523F" w:rsidP="007C523F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3C3E175B" w14:textId="061FD219" w:rsidR="007C523F" w:rsidRDefault="007C523F" w:rsidP="007C523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7C523F">
        <w:rPr>
          <w:rFonts w:ascii="Garamond" w:hAnsi="Garamond"/>
          <w:b/>
          <w:bCs/>
          <w:sz w:val="24"/>
          <w:szCs w:val="24"/>
        </w:rPr>
        <w:t>MBI</w:t>
      </w:r>
      <w:r w:rsidR="008E5E70">
        <w:rPr>
          <w:rFonts w:ascii="Garamond" w:hAnsi="Garamond"/>
          <w:b/>
          <w:bCs/>
          <w:sz w:val="24"/>
          <w:szCs w:val="24"/>
        </w:rPr>
        <w:t xml:space="preserve"> </w:t>
      </w:r>
      <w:r w:rsidRPr="007C523F">
        <w:rPr>
          <w:rFonts w:ascii="Garamond" w:hAnsi="Garamond"/>
          <w:b/>
          <w:bCs/>
          <w:sz w:val="24"/>
          <w:szCs w:val="24"/>
        </w:rPr>
        <w:t>DHËNIEN E AUTORIZIMIT NGA ERE PËR VENDOSJEN E TRANSFERIMIT NËPËRMJET VENDOSJES SË BARRËS SIGURUESE TË ASETEVE FIKSE TË SHOQËRISË “M.C. ENERGJI GOJAN” SHA</w:t>
      </w:r>
    </w:p>
    <w:p w14:paraId="58F838C0" w14:textId="77777777" w:rsidR="007C523F" w:rsidRPr="008E5E70" w:rsidRDefault="007C523F" w:rsidP="007C523F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</w:rPr>
      </w:pPr>
    </w:p>
    <w:p w14:paraId="3512C0AC" w14:textId="04B24594" w:rsidR="007C523F" w:rsidRPr="008E5E70" w:rsidRDefault="007C523F" w:rsidP="007C523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E5E70">
        <w:rPr>
          <w:rFonts w:ascii="Garamond" w:hAnsi="Garamond"/>
          <w:sz w:val="24"/>
          <w:szCs w:val="24"/>
        </w:rPr>
        <w:t xml:space="preserve">Në mbështetje të neneve 16, 20, </w:t>
      </w:r>
      <w:r w:rsidR="008E5E70" w:rsidRPr="008E5E70">
        <w:rPr>
          <w:rFonts w:ascii="Garamond" w:hAnsi="Garamond"/>
          <w:sz w:val="24"/>
          <w:szCs w:val="24"/>
        </w:rPr>
        <w:t>germa</w:t>
      </w:r>
      <w:r w:rsidRPr="008E5E70">
        <w:rPr>
          <w:rFonts w:ascii="Garamond" w:hAnsi="Garamond"/>
          <w:sz w:val="24"/>
          <w:szCs w:val="24"/>
        </w:rPr>
        <w:t xml:space="preserve"> “a”, dhe 44, pika 1, të ligjit nr. 43/2015</w:t>
      </w:r>
      <w:r w:rsidR="008E5E70">
        <w:rPr>
          <w:rFonts w:ascii="Garamond" w:hAnsi="Garamond"/>
          <w:sz w:val="24"/>
          <w:szCs w:val="24"/>
        </w:rPr>
        <w:t>,</w:t>
      </w:r>
      <w:r w:rsidRPr="008E5E70">
        <w:rPr>
          <w:rFonts w:ascii="Garamond" w:hAnsi="Garamond"/>
          <w:sz w:val="24"/>
          <w:szCs w:val="24"/>
        </w:rPr>
        <w:t xml:space="preserve"> “</w:t>
      </w:r>
      <w:r w:rsidRPr="008E5E70">
        <w:rPr>
          <w:rFonts w:ascii="Garamond" w:hAnsi="Garamond"/>
          <w:iCs/>
          <w:sz w:val="24"/>
          <w:szCs w:val="24"/>
        </w:rPr>
        <w:t>Për sektorin e energjisë elektrike</w:t>
      </w:r>
      <w:r w:rsidRPr="008E5E70">
        <w:rPr>
          <w:rFonts w:ascii="Garamond" w:hAnsi="Garamond"/>
          <w:sz w:val="24"/>
          <w:szCs w:val="24"/>
        </w:rPr>
        <w:t xml:space="preserve">”, </w:t>
      </w:r>
      <w:r w:rsidR="008E5E70" w:rsidRPr="008E5E70">
        <w:rPr>
          <w:rFonts w:ascii="Garamond" w:hAnsi="Garamond"/>
          <w:sz w:val="24"/>
          <w:szCs w:val="24"/>
        </w:rPr>
        <w:t>të</w:t>
      </w:r>
      <w:r w:rsidRPr="008E5E70">
        <w:rPr>
          <w:rFonts w:ascii="Garamond" w:hAnsi="Garamond"/>
          <w:sz w:val="24"/>
          <w:szCs w:val="24"/>
        </w:rPr>
        <w:t xml:space="preserve"> ndryshuar; </w:t>
      </w:r>
      <w:r w:rsidR="008E5E70" w:rsidRPr="008E5E70">
        <w:rPr>
          <w:rFonts w:ascii="Garamond" w:hAnsi="Garamond"/>
          <w:sz w:val="24"/>
          <w:szCs w:val="24"/>
        </w:rPr>
        <w:t xml:space="preserve">të </w:t>
      </w:r>
      <w:r w:rsidRPr="008E5E70">
        <w:rPr>
          <w:rFonts w:ascii="Garamond" w:hAnsi="Garamond"/>
          <w:sz w:val="24"/>
          <w:szCs w:val="24"/>
        </w:rPr>
        <w:t xml:space="preserve">neneve 4, </w:t>
      </w:r>
      <w:r w:rsidR="008E5E70" w:rsidRPr="008E5E70">
        <w:rPr>
          <w:rFonts w:ascii="Garamond" w:hAnsi="Garamond"/>
          <w:sz w:val="24"/>
          <w:szCs w:val="24"/>
        </w:rPr>
        <w:t>germa</w:t>
      </w:r>
      <w:r w:rsidRPr="008E5E70">
        <w:rPr>
          <w:rFonts w:ascii="Garamond" w:hAnsi="Garamond"/>
          <w:sz w:val="24"/>
          <w:szCs w:val="24"/>
        </w:rPr>
        <w:t xml:space="preserve"> “b”, 6, 7 dhe 8</w:t>
      </w:r>
      <w:r w:rsidR="008E5E70">
        <w:rPr>
          <w:rFonts w:ascii="Garamond" w:hAnsi="Garamond"/>
          <w:sz w:val="24"/>
          <w:szCs w:val="24"/>
        </w:rPr>
        <w:t>,</w:t>
      </w:r>
      <w:r w:rsidRPr="008E5E70">
        <w:rPr>
          <w:rFonts w:ascii="Garamond" w:hAnsi="Garamond"/>
          <w:sz w:val="24"/>
          <w:szCs w:val="24"/>
        </w:rPr>
        <w:t xml:space="preserve"> të </w:t>
      </w:r>
      <w:r w:rsidR="008E5E70">
        <w:rPr>
          <w:rFonts w:ascii="Garamond" w:hAnsi="Garamond"/>
          <w:sz w:val="24"/>
          <w:szCs w:val="24"/>
        </w:rPr>
        <w:t>“</w:t>
      </w:r>
      <w:r w:rsidRPr="008E5E70">
        <w:rPr>
          <w:rFonts w:ascii="Garamond" w:hAnsi="Garamond"/>
          <w:iCs/>
          <w:sz w:val="24"/>
          <w:szCs w:val="24"/>
        </w:rPr>
        <w:t>Rregullores së procedurave të transferimit të aseteve nga të licen</w:t>
      </w:r>
      <w:r w:rsidR="008E5E70">
        <w:rPr>
          <w:rFonts w:ascii="Garamond" w:hAnsi="Garamond"/>
          <w:iCs/>
          <w:sz w:val="24"/>
          <w:szCs w:val="24"/>
        </w:rPr>
        <w:t>c</w:t>
      </w:r>
      <w:r w:rsidRPr="008E5E70">
        <w:rPr>
          <w:rFonts w:ascii="Garamond" w:hAnsi="Garamond"/>
          <w:iCs/>
          <w:sz w:val="24"/>
          <w:szCs w:val="24"/>
        </w:rPr>
        <w:t>uarit</w:t>
      </w:r>
      <w:r w:rsidR="008E5E70">
        <w:rPr>
          <w:rFonts w:ascii="Garamond" w:hAnsi="Garamond"/>
          <w:iCs/>
          <w:sz w:val="24"/>
          <w:szCs w:val="24"/>
        </w:rPr>
        <w:t>”</w:t>
      </w:r>
      <w:r w:rsidRPr="008E5E70">
        <w:rPr>
          <w:rFonts w:ascii="Garamond" w:hAnsi="Garamond"/>
          <w:sz w:val="24"/>
          <w:szCs w:val="24"/>
        </w:rPr>
        <w:t xml:space="preserve">, miratuar me vendimin e </w:t>
      </w:r>
      <w:r w:rsidR="008E5E70" w:rsidRPr="008E5E70">
        <w:rPr>
          <w:rFonts w:ascii="Garamond" w:hAnsi="Garamond"/>
          <w:sz w:val="24"/>
          <w:szCs w:val="24"/>
        </w:rPr>
        <w:t xml:space="preserve">Bordit </w:t>
      </w:r>
      <w:r w:rsidRPr="008E5E70">
        <w:rPr>
          <w:rFonts w:ascii="Garamond" w:hAnsi="Garamond"/>
          <w:sz w:val="24"/>
          <w:szCs w:val="24"/>
        </w:rPr>
        <w:t xml:space="preserve">të Entit Rregullator të Energjisë (ERE) nr. 119, datë 21.7.2016; si dhe </w:t>
      </w:r>
      <w:r w:rsidR="008E5E70" w:rsidRPr="008E5E70">
        <w:rPr>
          <w:rFonts w:ascii="Garamond" w:hAnsi="Garamond"/>
          <w:sz w:val="24"/>
          <w:szCs w:val="24"/>
        </w:rPr>
        <w:t xml:space="preserve">të </w:t>
      </w:r>
      <w:r w:rsidRPr="008E5E70">
        <w:rPr>
          <w:rFonts w:ascii="Garamond" w:hAnsi="Garamond"/>
          <w:sz w:val="24"/>
          <w:szCs w:val="24"/>
        </w:rPr>
        <w:t xml:space="preserve">nenit 15, të </w:t>
      </w:r>
      <w:r w:rsidR="008E5E70">
        <w:rPr>
          <w:rFonts w:ascii="Garamond" w:hAnsi="Garamond"/>
          <w:sz w:val="24"/>
          <w:szCs w:val="24"/>
        </w:rPr>
        <w:t>“</w:t>
      </w:r>
      <w:r w:rsidRPr="008E5E70">
        <w:rPr>
          <w:rFonts w:ascii="Garamond" w:hAnsi="Garamond"/>
          <w:iCs/>
          <w:sz w:val="24"/>
          <w:szCs w:val="24"/>
        </w:rPr>
        <w:t>Rregullores për organizimin, funksionimin dhe procedurat e ERE-s</w:t>
      </w:r>
      <w:r w:rsidR="008E5E70">
        <w:rPr>
          <w:rFonts w:ascii="Garamond" w:hAnsi="Garamond"/>
          <w:iCs/>
          <w:sz w:val="24"/>
          <w:szCs w:val="24"/>
        </w:rPr>
        <w:t>”</w:t>
      </w:r>
      <w:r w:rsidRPr="008E5E70">
        <w:rPr>
          <w:rFonts w:ascii="Garamond" w:hAnsi="Garamond"/>
          <w:sz w:val="24"/>
          <w:szCs w:val="24"/>
        </w:rPr>
        <w:t xml:space="preserve">, miratuar me vendimin e </w:t>
      </w:r>
      <w:r w:rsidR="008E5E70" w:rsidRPr="008E5E70">
        <w:rPr>
          <w:rFonts w:ascii="Garamond" w:hAnsi="Garamond"/>
          <w:sz w:val="24"/>
          <w:szCs w:val="24"/>
        </w:rPr>
        <w:t xml:space="preserve">Bordit </w:t>
      </w:r>
      <w:r w:rsidRPr="008E5E70">
        <w:rPr>
          <w:rFonts w:ascii="Garamond" w:hAnsi="Garamond"/>
          <w:sz w:val="24"/>
          <w:szCs w:val="24"/>
        </w:rPr>
        <w:t>të ERE-s nr. 96, datë 17.6.2016; Bordi i ERE-s, në mbledhjen e tij të datës 14.4.2025, mbasi shqyrtoi relacionin me nr. 169/10 prot., datë 20.3.2024, të Drejtorisë së Licencimit dhe Autorizimeve, “</w:t>
      </w:r>
      <w:r w:rsidRPr="008E5E70">
        <w:rPr>
          <w:rFonts w:ascii="Garamond" w:hAnsi="Garamond"/>
          <w:iCs/>
          <w:sz w:val="24"/>
          <w:szCs w:val="24"/>
        </w:rPr>
        <w:t xml:space="preserve">Mbi kërkesën e shoqërisë </w:t>
      </w:r>
      <w:r w:rsidR="008E5E70">
        <w:rPr>
          <w:rFonts w:ascii="Garamond" w:hAnsi="Garamond"/>
          <w:iCs/>
          <w:sz w:val="24"/>
          <w:szCs w:val="24"/>
        </w:rPr>
        <w:t>‘</w:t>
      </w:r>
      <w:r w:rsidRPr="008E5E70">
        <w:rPr>
          <w:rFonts w:ascii="Garamond" w:hAnsi="Garamond"/>
          <w:iCs/>
          <w:sz w:val="24"/>
          <w:szCs w:val="24"/>
        </w:rPr>
        <w:t xml:space="preserve">M.C. </w:t>
      </w:r>
      <w:r w:rsidR="008E5E70" w:rsidRPr="008E5E70">
        <w:rPr>
          <w:rFonts w:ascii="Garamond" w:hAnsi="Garamond"/>
          <w:iCs/>
          <w:sz w:val="24"/>
          <w:szCs w:val="24"/>
        </w:rPr>
        <w:t>Energji Gojan</w:t>
      </w:r>
      <w:r w:rsidR="008E5E70">
        <w:rPr>
          <w:rFonts w:ascii="Garamond" w:hAnsi="Garamond"/>
          <w:iCs/>
          <w:sz w:val="24"/>
          <w:szCs w:val="24"/>
        </w:rPr>
        <w:t>’</w:t>
      </w:r>
      <w:r w:rsidR="008E5E70" w:rsidRPr="008E5E70">
        <w:rPr>
          <w:rFonts w:ascii="Garamond" w:hAnsi="Garamond"/>
          <w:iCs/>
          <w:sz w:val="24"/>
          <w:szCs w:val="24"/>
        </w:rPr>
        <w:t xml:space="preserve"> </w:t>
      </w:r>
      <w:r w:rsidRPr="008E5E70">
        <w:rPr>
          <w:rFonts w:ascii="Garamond" w:hAnsi="Garamond"/>
          <w:iCs/>
          <w:sz w:val="24"/>
          <w:szCs w:val="24"/>
        </w:rPr>
        <w:t>sh.a. për marrjen e autorizimit nga ERE për transferimin (nëpërmjet vendosjes së barrës siguruese) të aseteve fikse të saj</w:t>
      </w:r>
      <w:r w:rsidRPr="008E5E70">
        <w:rPr>
          <w:rFonts w:ascii="Garamond" w:hAnsi="Garamond"/>
          <w:sz w:val="24"/>
          <w:szCs w:val="24"/>
        </w:rPr>
        <w:t>”,</w:t>
      </w:r>
    </w:p>
    <w:p w14:paraId="745AA45A" w14:textId="6CA95F57" w:rsidR="007C523F" w:rsidRPr="008E5E70" w:rsidRDefault="008E5E70" w:rsidP="007C523F">
      <w:pPr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</w:rPr>
      </w:pPr>
      <w:r>
        <w:rPr>
          <w:rFonts w:ascii="Garamond" w:hAnsi="Garamond"/>
          <w:bCs/>
          <w:sz w:val="24"/>
          <w:szCs w:val="24"/>
        </w:rPr>
        <w:t>k</w:t>
      </w:r>
      <w:r w:rsidR="007C523F" w:rsidRPr="008E5E70">
        <w:rPr>
          <w:rFonts w:ascii="Garamond" w:hAnsi="Garamond"/>
          <w:bCs/>
          <w:sz w:val="24"/>
          <w:szCs w:val="24"/>
        </w:rPr>
        <w:t>onstatoi se:</w:t>
      </w:r>
    </w:p>
    <w:p w14:paraId="5460043C" w14:textId="6E8BDC46" w:rsidR="007C523F" w:rsidRPr="007C523F" w:rsidRDefault="007C523F" w:rsidP="007C523F">
      <w:pPr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</w:rPr>
      </w:pPr>
      <w:r w:rsidRPr="008E5E70">
        <w:rPr>
          <w:rFonts w:ascii="Garamond" w:hAnsi="Garamond"/>
          <w:sz w:val="24"/>
          <w:szCs w:val="24"/>
        </w:rPr>
        <w:t>Për qëllime të shqyrtimit të kërkesës për dhënien e autorizimit për shoqërinë</w:t>
      </w:r>
      <w:r w:rsidRPr="007C523F">
        <w:rPr>
          <w:rFonts w:ascii="Garamond" w:hAnsi="Garamond"/>
          <w:sz w:val="24"/>
          <w:szCs w:val="24"/>
        </w:rPr>
        <w:t xml:space="preserve"> “M.C. </w:t>
      </w:r>
      <w:r w:rsidR="008E5E70" w:rsidRPr="007C523F">
        <w:rPr>
          <w:rFonts w:ascii="Garamond" w:hAnsi="Garamond"/>
          <w:sz w:val="24"/>
          <w:szCs w:val="24"/>
        </w:rPr>
        <w:t>Energji Gojan</w:t>
      </w:r>
      <w:r w:rsidRPr="007C523F">
        <w:rPr>
          <w:rFonts w:ascii="Garamond" w:hAnsi="Garamond"/>
          <w:sz w:val="24"/>
          <w:szCs w:val="24"/>
        </w:rPr>
        <w:t>” sh.p.k. është ndjekur procedura dhe është analizuar dokumentacioni</w:t>
      </w:r>
      <w:r w:rsidR="008E5E70">
        <w:rPr>
          <w:rFonts w:ascii="Garamond" w:hAnsi="Garamond"/>
          <w:sz w:val="24"/>
          <w:szCs w:val="24"/>
        </w:rPr>
        <w:t>,</w:t>
      </w:r>
      <w:r w:rsidRPr="007C523F">
        <w:rPr>
          <w:rFonts w:ascii="Garamond" w:hAnsi="Garamond"/>
          <w:sz w:val="24"/>
          <w:szCs w:val="24"/>
        </w:rPr>
        <w:t xml:space="preserve"> si më poshtë vijon:</w:t>
      </w:r>
      <w:r w:rsidRPr="007C523F">
        <w:rPr>
          <w:rFonts w:ascii="Garamond" w:hAnsi="Garamond"/>
          <w:b/>
          <w:bCs/>
          <w:sz w:val="24"/>
          <w:szCs w:val="24"/>
        </w:rPr>
        <w:t xml:space="preserve"> </w:t>
      </w:r>
    </w:p>
    <w:p w14:paraId="028F4F3D" w14:textId="587C31EC" w:rsidR="007C523F" w:rsidRPr="008E5E70" w:rsidRDefault="007C523F" w:rsidP="007C523F">
      <w:pPr>
        <w:pStyle w:val="Heading3"/>
        <w:spacing w:before="0" w:line="240" w:lineRule="auto"/>
        <w:ind w:firstLine="284"/>
        <w:jc w:val="both"/>
        <w:rPr>
          <w:rFonts w:ascii="Garamond" w:hAnsi="Garamond"/>
          <w:color w:val="auto"/>
        </w:rPr>
      </w:pPr>
      <w:r w:rsidRPr="008E5E70">
        <w:rPr>
          <w:rFonts w:ascii="Garamond" w:hAnsi="Garamond"/>
          <w:b/>
          <w:bCs/>
          <w:color w:val="auto"/>
        </w:rPr>
        <w:t xml:space="preserve">1. Kërkesa për </w:t>
      </w:r>
      <w:r w:rsidR="008E5E70" w:rsidRPr="008E5E70">
        <w:rPr>
          <w:rFonts w:ascii="Garamond" w:hAnsi="Garamond"/>
          <w:b/>
          <w:bCs/>
          <w:color w:val="auto"/>
        </w:rPr>
        <w:t>marrjen e autorizimit</w:t>
      </w:r>
    </w:p>
    <w:p w14:paraId="4EDF77AE" w14:textId="5BF96C86" w:rsidR="007C523F" w:rsidRPr="007C523F" w:rsidRDefault="007C523F" w:rsidP="007C523F">
      <w:pPr>
        <w:tabs>
          <w:tab w:val="left" w:pos="36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C523F">
        <w:rPr>
          <w:rFonts w:ascii="Garamond" w:hAnsi="Garamond"/>
          <w:sz w:val="24"/>
          <w:szCs w:val="24"/>
        </w:rPr>
        <w:t>-</w:t>
      </w:r>
      <w:r w:rsidR="008E5E70">
        <w:rPr>
          <w:rFonts w:ascii="Garamond" w:hAnsi="Garamond"/>
          <w:sz w:val="24"/>
          <w:szCs w:val="24"/>
        </w:rPr>
        <w:t xml:space="preserve"> </w:t>
      </w:r>
      <w:r w:rsidRPr="007C523F">
        <w:rPr>
          <w:rFonts w:ascii="Garamond" w:hAnsi="Garamond"/>
          <w:sz w:val="24"/>
          <w:szCs w:val="24"/>
        </w:rPr>
        <w:t xml:space="preserve">Shoqëria “M.C. </w:t>
      </w:r>
      <w:r w:rsidR="008E5E70" w:rsidRPr="007C523F">
        <w:rPr>
          <w:rFonts w:ascii="Garamond" w:hAnsi="Garamond"/>
          <w:sz w:val="24"/>
          <w:szCs w:val="24"/>
        </w:rPr>
        <w:t>Energji Gojan</w:t>
      </w:r>
      <w:r w:rsidRPr="007C523F">
        <w:rPr>
          <w:rFonts w:ascii="Garamond" w:hAnsi="Garamond"/>
          <w:sz w:val="24"/>
          <w:szCs w:val="24"/>
        </w:rPr>
        <w:t xml:space="preserve">” sh.p.k. është e licencuar nga ERE në veprimtarinë e prodhimit të energjisë elektrike nga HEC “Gojan”, me kapacitet të instaluar 15 </w:t>
      </w:r>
      <w:r w:rsidR="008E5E70">
        <w:rPr>
          <w:rFonts w:ascii="Garamond" w:hAnsi="Garamond"/>
          <w:sz w:val="24"/>
          <w:szCs w:val="24"/>
        </w:rPr>
        <w:t>mw</w:t>
      </w:r>
      <w:r w:rsidRPr="007C523F">
        <w:rPr>
          <w:rFonts w:ascii="Garamond" w:hAnsi="Garamond"/>
          <w:sz w:val="24"/>
          <w:szCs w:val="24"/>
        </w:rPr>
        <w:t xml:space="preserve">, me vendndodhje në lumin Fan i Madh, në zonën midis fshatrave Shkozë dhe Gojan, Njësia Administrative Gjegjan, Bashkia Pukë, </w:t>
      </w:r>
      <w:r w:rsidR="008E5E70">
        <w:rPr>
          <w:rFonts w:ascii="Garamond" w:hAnsi="Garamond"/>
          <w:sz w:val="24"/>
          <w:szCs w:val="24"/>
        </w:rPr>
        <w:t>q</w:t>
      </w:r>
      <w:r w:rsidRPr="007C523F">
        <w:rPr>
          <w:rFonts w:ascii="Garamond" w:hAnsi="Garamond"/>
          <w:sz w:val="24"/>
          <w:szCs w:val="24"/>
        </w:rPr>
        <w:t xml:space="preserve">arku Shkodër, me vendimin e </w:t>
      </w:r>
      <w:r w:rsidR="008E5E70" w:rsidRPr="007C523F">
        <w:rPr>
          <w:rFonts w:ascii="Garamond" w:hAnsi="Garamond"/>
          <w:sz w:val="24"/>
          <w:szCs w:val="24"/>
        </w:rPr>
        <w:t xml:space="preserve">Bordit </w:t>
      </w:r>
      <w:r w:rsidRPr="007C523F">
        <w:rPr>
          <w:rFonts w:ascii="Garamond" w:hAnsi="Garamond"/>
          <w:sz w:val="24"/>
          <w:szCs w:val="24"/>
        </w:rPr>
        <w:t>të ERE-s nr. 276, datë 13.12.2024.</w:t>
      </w:r>
    </w:p>
    <w:p w14:paraId="6DFF219B" w14:textId="73102B8C" w:rsidR="007C523F" w:rsidRPr="007C523F" w:rsidRDefault="007C523F" w:rsidP="007C523F">
      <w:pPr>
        <w:tabs>
          <w:tab w:val="left" w:pos="36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C523F">
        <w:rPr>
          <w:rFonts w:ascii="Garamond" w:hAnsi="Garamond"/>
          <w:sz w:val="24"/>
          <w:szCs w:val="24"/>
        </w:rPr>
        <w:t>-</w:t>
      </w:r>
      <w:r>
        <w:rPr>
          <w:rFonts w:ascii="Garamond" w:hAnsi="Garamond"/>
          <w:sz w:val="24"/>
          <w:szCs w:val="24"/>
        </w:rPr>
        <w:t xml:space="preserve"> </w:t>
      </w:r>
      <w:r w:rsidRPr="007C523F">
        <w:rPr>
          <w:rFonts w:ascii="Garamond" w:hAnsi="Garamond"/>
          <w:sz w:val="24"/>
          <w:szCs w:val="24"/>
        </w:rPr>
        <w:t>Me shkresën e protokolluar në ERE me nr. 169 prot., datë 16.1.2025, shoqëria paraqiti kërkesën për marrjen e autorizimit për transferimin e aseteve të paluajtshme të saj si mjet për garantimin e shlyerjes së detyrimit ndaj “Banka OTP Albania” sh.a.</w:t>
      </w:r>
    </w:p>
    <w:p w14:paraId="6FB92E84" w14:textId="77777777" w:rsidR="007C523F" w:rsidRPr="008E5E70" w:rsidRDefault="007C523F" w:rsidP="007C523F">
      <w:pPr>
        <w:pStyle w:val="Heading3"/>
        <w:spacing w:before="0" w:line="240" w:lineRule="auto"/>
        <w:ind w:firstLine="284"/>
        <w:jc w:val="both"/>
        <w:rPr>
          <w:rFonts w:ascii="Garamond" w:hAnsi="Garamond"/>
          <w:color w:val="auto"/>
        </w:rPr>
      </w:pPr>
      <w:r w:rsidRPr="008E5E70">
        <w:rPr>
          <w:rFonts w:ascii="Garamond" w:hAnsi="Garamond"/>
          <w:b/>
          <w:bCs/>
          <w:color w:val="auto"/>
        </w:rPr>
        <w:t xml:space="preserve">2. Procedura e ndjekur </w:t>
      </w:r>
    </w:p>
    <w:p w14:paraId="2E3A7DDB" w14:textId="5E36E844" w:rsidR="007C523F" w:rsidRPr="007C523F" w:rsidRDefault="007C523F" w:rsidP="007C523F">
      <w:pPr>
        <w:tabs>
          <w:tab w:val="left" w:pos="36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C523F">
        <w:rPr>
          <w:rFonts w:ascii="Garamond" w:hAnsi="Garamond"/>
          <w:sz w:val="24"/>
          <w:szCs w:val="24"/>
        </w:rPr>
        <w:t>-</w:t>
      </w:r>
      <w:r>
        <w:rPr>
          <w:rFonts w:ascii="Garamond" w:hAnsi="Garamond"/>
          <w:sz w:val="24"/>
          <w:szCs w:val="24"/>
        </w:rPr>
        <w:t xml:space="preserve"> </w:t>
      </w:r>
      <w:r w:rsidRPr="007C523F">
        <w:rPr>
          <w:rFonts w:ascii="Garamond" w:hAnsi="Garamond"/>
          <w:sz w:val="24"/>
          <w:szCs w:val="24"/>
        </w:rPr>
        <w:t>Bordi i ERE-s, me vendimin nr. 32, datë 3.2.2025, vendosi fillimin e procedurës për shqyrtimin e kërkesës së shoqërisë.</w:t>
      </w:r>
    </w:p>
    <w:p w14:paraId="14FB16CC" w14:textId="0CD9F6F7" w:rsidR="007C523F" w:rsidRPr="007C523F" w:rsidRDefault="007C523F" w:rsidP="007C523F">
      <w:pPr>
        <w:pStyle w:val="ListParagraph"/>
        <w:tabs>
          <w:tab w:val="left" w:pos="36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7C523F">
        <w:rPr>
          <w:rFonts w:ascii="Garamond" w:hAnsi="Garamond"/>
          <w:sz w:val="24"/>
          <w:szCs w:val="24"/>
        </w:rPr>
        <w:t>-</w:t>
      </w:r>
      <w:r>
        <w:rPr>
          <w:rFonts w:ascii="Garamond" w:hAnsi="Garamond"/>
          <w:sz w:val="24"/>
          <w:szCs w:val="24"/>
        </w:rPr>
        <w:t xml:space="preserve"> </w:t>
      </w:r>
      <w:r w:rsidRPr="007C523F">
        <w:rPr>
          <w:rFonts w:ascii="Garamond" w:hAnsi="Garamond"/>
          <w:sz w:val="24"/>
          <w:szCs w:val="24"/>
        </w:rPr>
        <w:t>Për vendimmarrjen në fjalë, ERE ka njoftuar Ministrinë e Infrastrukturës dhe Energjisë me shkresën nr. 35/5 prot., datë 6.2.2025</w:t>
      </w:r>
      <w:r w:rsidR="008E5E70">
        <w:rPr>
          <w:rFonts w:ascii="Garamond" w:hAnsi="Garamond"/>
          <w:sz w:val="24"/>
          <w:szCs w:val="24"/>
        </w:rPr>
        <w:t>,</w:t>
      </w:r>
      <w:r w:rsidRPr="007C523F">
        <w:rPr>
          <w:rFonts w:ascii="Garamond" w:hAnsi="Garamond"/>
          <w:sz w:val="24"/>
          <w:szCs w:val="24"/>
        </w:rPr>
        <w:t xml:space="preserve"> si dhe me shkresën nr. 169/3 prot., datë 12.2.2025, ERE njoftoi shoqërinë për vendimin e </w:t>
      </w:r>
      <w:r w:rsidR="008E5E70" w:rsidRPr="007C523F">
        <w:rPr>
          <w:rFonts w:ascii="Garamond" w:hAnsi="Garamond"/>
          <w:sz w:val="24"/>
          <w:szCs w:val="24"/>
        </w:rPr>
        <w:t>Bordit</w:t>
      </w:r>
      <w:r w:rsidR="008E5E70">
        <w:rPr>
          <w:rFonts w:ascii="Garamond" w:hAnsi="Garamond"/>
          <w:sz w:val="24"/>
          <w:szCs w:val="24"/>
        </w:rPr>
        <w:t>,</w:t>
      </w:r>
      <w:r w:rsidR="008E5E70" w:rsidRPr="007C523F">
        <w:rPr>
          <w:rFonts w:ascii="Garamond" w:hAnsi="Garamond"/>
          <w:sz w:val="24"/>
          <w:szCs w:val="24"/>
        </w:rPr>
        <w:t xml:space="preserve"> </w:t>
      </w:r>
      <w:r w:rsidRPr="007C523F">
        <w:rPr>
          <w:rFonts w:ascii="Garamond" w:hAnsi="Garamond"/>
          <w:sz w:val="24"/>
          <w:szCs w:val="24"/>
        </w:rPr>
        <w:t>si dhe kërkoi plotësimin e dokumentacionit të nevojshëm për vijimin e procedurës.</w:t>
      </w:r>
    </w:p>
    <w:p w14:paraId="7FA65A96" w14:textId="54FC148F" w:rsidR="007C523F" w:rsidRPr="007C523F" w:rsidRDefault="007C523F" w:rsidP="007C523F">
      <w:pPr>
        <w:pStyle w:val="ListParagraph"/>
        <w:tabs>
          <w:tab w:val="left" w:pos="36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7C523F">
        <w:rPr>
          <w:rFonts w:ascii="Garamond" w:hAnsi="Garamond"/>
          <w:sz w:val="24"/>
          <w:szCs w:val="24"/>
        </w:rPr>
        <w:t>-</w:t>
      </w:r>
      <w:r>
        <w:rPr>
          <w:rFonts w:ascii="Garamond" w:hAnsi="Garamond"/>
          <w:sz w:val="24"/>
          <w:szCs w:val="24"/>
        </w:rPr>
        <w:t xml:space="preserve"> </w:t>
      </w:r>
      <w:r w:rsidRPr="007C523F">
        <w:rPr>
          <w:rFonts w:ascii="Garamond" w:hAnsi="Garamond"/>
          <w:sz w:val="24"/>
          <w:szCs w:val="24"/>
        </w:rPr>
        <w:t>Në përgjigje të shkresave të ERE-s nr. 169/3 prot., datë 13.2.2025 dhe nr. 169/7 prot., datë 25.2.2025, shoqëria, me shkresat nr. 169/6 prot., datë 20.2.2025, nr. 169/8 prot., datë 6.3.2025 dhe nr. 169/12 prot., datë 28.3.2025, ka depozituar dokumentacionin plotësues të kërkuar, përfshirë listën e aseteve të HEC-it, në përputhje me kërkesat e përcaktuara nga ERE në shkresën nr. 169/9 prot., datë 13.3.2025.</w:t>
      </w:r>
    </w:p>
    <w:p w14:paraId="2BEE1B76" w14:textId="51B289B2" w:rsidR="007C523F" w:rsidRPr="008E5E70" w:rsidRDefault="007C523F" w:rsidP="007C523F">
      <w:pPr>
        <w:pStyle w:val="Heading3"/>
        <w:spacing w:before="0" w:line="240" w:lineRule="auto"/>
        <w:ind w:firstLine="284"/>
        <w:rPr>
          <w:rFonts w:ascii="Garamond" w:hAnsi="Garamond"/>
          <w:color w:val="auto"/>
        </w:rPr>
      </w:pPr>
      <w:r w:rsidRPr="008E5E70">
        <w:rPr>
          <w:rFonts w:ascii="Garamond" w:hAnsi="Garamond"/>
          <w:b/>
          <w:bCs/>
          <w:color w:val="auto"/>
        </w:rPr>
        <w:t xml:space="preserve">3. Konstatime mbi </w:t>
      </w:r>
      <w:r w:rsidR="008E5E70" w:rsidRPr="008E5E70">
        <w:rPr>
          <w:rFonts w:ascii="Garamond" w:hAnsi="Garamond"/>
          <w:b/>
          <w:bCs/>
          <w:color w:val="auto"/>
        </w:rPr>
        <w:t>përputhshmërinë me rregulloren</w:t>
      </w:r>
    </w:p>
    <w:p w14:paraId="68A05827" w14:textId="4044FF8D" w:rsidR="007C523F" w:rsidRPr="008E5E70" w:rsidRDefault="007C523F" w:rsidP="007C523F">
      <w:pPr>
        <w:tabs>
          <w:tab w:val="left" w:pos="36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C523F">
        <w:rPr>
          <w:rFonts w:ascii="Garamond" w:hAnsi="Garamond"/>
          <w:sz w:val="24"/>
          <w:szCs w:val="24"/>
        </w:rPr>
        <w:t>-</w:t>
      </w:r>
      <w:r>
        <w:rPr>
          <w:rFonts w:ascii="Garamond" w:hAnsi="Garamond"/>
          <w:sz w:val="24"/>
          <w:szCs w:val="24"/>
        </w:rPr>
        <w:t xml:space="preserve"> </w:t>
      </w:r>
      <w:r w:rsidRPr="007C523F">
        <w:rPr>
          <w:rFonts w:ascii="Garamond" w:hAnsi="Garamond"/>
          <w:sz w:val="24"/>
          <w:szCs w:val="24"/>
        </w:rPr>
        <w:t xml:space="preserve">Nga shqyrtimi përfundimtar i aplikimit, rezulton se shoqëria ka plotësuar dokumentacionin sipas kërkesave të nenit 7, pika 1, </w:t>
      </w:r>
      <w:r w:rsidR="008E5E70" w:rsidRPr="007C523F">
        <w:rPr>
          <w:rFonts w:ascii="Garamond" w:hAnsi="Garamond"/>
          <w:sz w:val="24"/>
          <w:szCs w:val="24"/>
        </w:rPr>
        <w:t>germat</w:t>
      </w:r>
      <w:r w:rsidRPr="007C523F">
        <w:rPr>
          <w:rFonts w:ascii="Garamond" w:hAnsi="Garamond"/>
          <w:sz w:val="24"/>
          <w:szCs w:val="24"/>
        </w:rPr>
        <w:t xml:space="preserve"> “a” deri “j”, si dhe të pikave 3, 4 dhe 6 të </w:t>
      </w:r>
      <w:r w:rsidRPr="008E5E70">
        <w:rPr>
          <w:rFonts w:ascii="Garamond" w:hAnsi="Garamond"/>
          <w:sz w:val="24"/>
          <w:szCs w:val="24"/>
        </w:rPr>
        <w:t>“</w:t>
      </w:r>
      <w:r w:rsidRPr="008E5E70">
        <w:rPr>
          <w:rFonts w:ascii="Garamond" w:hAnsi="Garamond"/>
          <w:iCs/>
          <w:sz w:val="24"/>
          <w:szCs w:val="24"/>
        </w:rPr>
        <w:t>Rregullores së procedurave të transferimit të aseteve nga të licencuarit</w:t>
      </w:r>
      <w:r w:rsidRPr="008E5E70">
        <w:rPr>
          <w:rFonts w:ascii="Garamond" w:hAnsi="Garamond"/>
          <w:sz w:val="24"/>
          <w:szCs w:val="24"/>
        </w:rPr>
        <w:t xml:space="preserve">”, miratuar me vendimin e </w:t>
      </w:r>
      <w:r w:rsidR="008E5E70" w:rsidRPr="008E5E70">
        <w:rPr>
          <w:rFonts w:ascii="Garamond" w:hAnsi="Garamond"/>
          <w:sz w:val="24"/>
          <w:szCs w:val="24"/>
        </w:rPr>
        <w:t xml:space="preserve">Bordit </w:t>
      </w:r>
      <w:r w:rsidRPr="008E5E70">
        <w:rPr>
          <w:rFonts w:ascii="Garamond" w:hAnsi="Garamond"/>
          <w:sz w:val="24"/>
          <w:szCs w:val="24"/>
        </w:rPr>
        <w:t>të ERE-s nr. 119, datë 21.7.2016.</w:t>
      </w:r>
    </w:p>
    <w:p w14:paraId="6A62CBA6" w14:textId="45275D3E" w:rsidR="007C523F" w:rsidRPr="008E5E70" w:rsidRDefault="00552B42" w:rsidP="007C523F">
      <w:pPr>
        <w:pStyle w:val="Heading3"/>
        <w:spacing w:before="0" w:line="240" w:lineRule="auto"/>
        <w:ind w:firstLine="284"/>
        <w:rPr>
          <w:rFonts w:ascii="Garamond" w:hAnsi="Garamond"/>
          <w:color w:val="auto"/>
        </w:rPr>
      </w:pPr>
      <w:r>
        <w:rPr>
          <w:rFonts w:ascii="Garamond" w:hAnsi="Garamond"/>
          <w:b/>
          <w:bCs/>
          <w:color w:val="auto"/>
        </w:rPr>
        <w:t>4</w:t>
      </w:r>
      <w:bookmarkStart w:id="0" w:name="_GoBack"/>
      <w:bookmarkEnd w:id="0"/>
      <w:r w:rsidR="007C523F" w:rsidRPr="008E5E70">
        <w:rPr>
          <w:rFonts w:ascii="Garamond" w:hAnsi="Garamond"/>
          <w:b/>
          <w:bCs/>
          <w:color w:val="auto"/>
        </w:rPr>
        <w:t xml:space="preserve">. Kushtet për </w:t>
      </w:r>
      <w:r w:rsidR="008E5E70" w:rsidRPr="008E5E70">
        <w:rPr>
          <w:rFonts w:ascii="Garamond" w:hAnsi="Garamond"/>
          <w:b/>
          <w:bCs/>
          <w:color w:val="auto"/>
        </w:rPr>
        <w:t>dhënien e autorizimit</w:t>
      </w:r>
    </w:p>
    <w:p w14:paraId="6B2B8654" w14:textId="384D6F9B" w:rsidR="007C523F" w:rsidRPr="008E5E70" w:rsidRDefault="007C523F" w:rsidP="007C523F">
      <w:pPr>
        <w:tabs>
          <w:tab w:val="left" w:pos="36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E5E70">
        <w:rPr>
          <w:rFonts w:ascii="Garamond" w:hAnsi="Garamond"/>
          <w:sz w:val="24"/>
          <w:szCs w:val="24"/>
        </w:rPr>
        <w:t xml:space="preserve">- Dhënia e autorizimit nga ERE për transferimin e aseteve fikse </w:t>
      </w:r>
      <w:r w:rsidRPr="008E5E70">
        <w:rPr>
          <w:rFonts w:ascii="Garamond" w:hAnsi="Garamond"/>
          <w:bCs/>
          <w:sz w:val="24"/>
          <w:szCs w:val="24"/>
        </w:rPr>
        <w:t xml:space="preserve">që i shërbejnë veprimtarisë së licencuar </w:t>
      </w:r>
      <w:r w:rsidRPr="008E5E70">
        <w:rPr>
          <w:rFonts w:ascii="Garamond" w:hAnsi="Garamond"/>
          <w:sz w:val="24"/>
          <w:szCs w:val="24"/>
        </w:rPr>
        <w:t xml:space="preserve">nuk e përjashton shoqërinë nga detyrimi </w:t>
      </w:r>
      <w:r w:rsidRPr="008E5E70">
        <w:rPr>
          <w:rFonts w:ascii="Garamond" w:hAnsi="Garamond"/>
          <w:bCs/>
          <w:sz w:val="24"/>
          <w:szCs w:val="24"/>
        </w:rPr>
        <w:t xml:space="preserve">për të siguruar miratimet përkatëse nga autoritetet e tjera publike apo palët e treta, nëse kjo kërkohet nga legjislacioni apo marrëveshjet kontraktuale në </w:t>
      </w:r>
      <w:r w:rsidRPr="008E5E70">
        <w:rPr>
          <w:rFonts w:ascii="Garamond" w:hAnsi="Garamond"/>
          <w:bCs/>
          <w:sz w:val="24"/>
          <w:szCs w:val="24"/>
        </w:rPr>
        <w:lastRenderedPageBreak/>
        <w:t>fuqi</w:t>
      </w:r>
      <w:r w:rsidRPr="008E5E70">
        <w:rPr>
          <w:rFonts w:ascii="Garamond" w:hAnsi="Garamond"/>
          <w:sz w:val="24"/>
          <w:szCs w:val="24"/>
        </w:rPr>
        <w:t>.</w:t>
      </w:r>
      <w:r w:rsidRPr="007C523F">
        <w:rPr>
          <w:rFonts w:ascii="Garamond" w:hAnsi="Garamond"/>
          <w:sz w:val="24"/>
          <w:szCs w:val="24"/>
        </w:rPr>
        <w:t xml:space="preserve"> </w:t>
      </w:r>
      <w:r w:rsidRPr="008E5E70">
        <w:rPr>
          <w:rFonts w:ascii="Garamond" w:hAnsi="Garamond"/>
          <w:iCs/>
          <w:sz w:val="24"/>
          <w:szCs w:val="24"/>
        </w:rPr>
        <w:t>Ky kusht vendoset për të garantuar që autorizimi i ERE-s të mos interpretohet si zëvendësim i detyrimeve të tjera ligjore, veçanërisht në rastet kur kontratat koncesionare parashikojnë miratime shtesë për vendosjen e barrës ose transferimin e aseteve</w:t>
      </w:r>
      <w:r w:rsidRPr="008E5E70">
        <w:rPr>
          <w:rFonts w:ascii="Garamond" w:hAnsi="Garamond"/>
          <w:sz w:val="24"/>
          <w:szCs w:val="24"/>
        </w:rPr>
        <w:t>.</w:t>
      </w:r>
    </w:p>
    <w:p w14:paraId="7FCD3B59" w14:textId="7F55B778" w:rsidR="007C523F" w:rsidRPr="007C523F" w:rsidRDefault="007C523F" w:rsidP="007C523F">
      <w:pPr>
        <w:tabs>
          <w:tab w:val="left" w:pos="36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C523F">
        <w:rPr>
          <w:rFonts w:ascii="Garamond" w:hAnsi="Garamond"/>
          <w:sz w:val="24"/>
          <w:szCs w:val="24"/>
        </w:rPr>
        <w:t>-</w:t>
      </w:r>
      <w:r>
        <w:rPr>
          <w:rFonts w:ascii="Garamond" w:hAnsi="Garamond"/>
          <w:sz w:val="24"/>
          <w:szCs w:val="24"/>
        </w:rPr>
        <w:t xml:space="preserve"> </w:t>
      </w:r>
      <w:r w:rsidRPr="007C523F">
        <w:rPr>
          <w:rFonts w:ascii="Garamond" w:hAnsi="Garamond"/>
          <w:sz w:val="24"/>
          <w:szCs w:val="24"/>
        </w:rPr>
        <w:t>Për shkak të natyrës së barrës siguruese mbi asetet e licencuara, vlerësohet që shoqëria të detyrohet të njoftojë menjëherë ERE-n në rast të heqjes së kësaj barre apo të ndonjë ekzekutimi të detyrueshëm mbi këto asete.</w:t>
      </w:r>
    </w:p>
    <w:p w14:paraId="3EA764D4" w14:textId="080D869E" w:rsidR="007C523F" w:rsidRPr="007C523F" w:rsidRDefault="007C523F" w:rsidP="007C523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C523F">
        <w:rPr>
          <w:rFonts w:ascii="Garamond" w:hAnsi="Garamond"/>
          <w:sz w:val="24"/>
          <w:szCs w:val="24"/>
        </w:rPr>
        <w:t xml:space="preserve">Për gjithë sa më sipër, </w:t>
      </w:r>
      <w:r w:rsidR="008E5E70" w:rsidRPr="007C523F">
        <w:rPr>
          <w:rFonts w:ascii="Garamond" w:hAnsi="Garamond"/>
          <w:sz w:val="24"/>
          <w:szCs w:val="24"/>
        </w:rPr>
        <w:t xml:space="preserve">Bordi </w:t>
      </w:r>
      <w:r w:rsidRPr="007C523F">
        <w:rPr>
          <w:rFonts w:ascii="Garamond" w:hAnsi="Garamond"/>
          <w:sz w:val="24"/>
          <w:szCs w:val="24"/>
        </w:rPr>
        <w:t>i ERE-s</w:t>
      </w:r>
    </w:p>
    <w:p w14:paraId="4AF79167" w14:textId="77777777" w:rsidR="007C523F" w:rsidRPr="007C523F" w:rsidRDefault="007C523F" w:rsidP="007C523F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</w:rPr>
      </w:pPr>
    </w:p>
    <w:p w14:paraId="36D3DD93" w14:textId="7B41B562" w:rsidR="007C523F" w:rsidRPr="007C523F" w:rsidRDefault="007C523F" w:rsidP="007C523F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</w:rPr>
      </w:pPr>
      <w:r w:rsidRPr="007C523F">
        <w:rPr>
          <w:rFonts w:ascii="Garamond" w:hAnsi="Garamond"/>
          <w:bCs/>
          <w:sz w:val="24"/>
          <w:szCs w:val="24"/>
        </w:rPr>
        <w:t>VENDOSI:</w:t>
      </w:r>
    </w:p>
    <w:p w14:paraId="78E831F5" w14:textId="77777777" w:rsidR="007C523F" w:rsidRPr="007C523F" w:rsidRDefault="007C523F" w:rsidP="007C523F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7ED170DF" w14:textId="212DB595" w:rsidR="007C523F" w:rsidRPr="007C523F" w:rsidRDefault="007C523F" w:rsidP="007C523F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7C523F">
        <w:rPr>
          <w:rFonts w:ascii="Garamond" w:hAnsi="Garamond"/>
          <w:sz w:val="24"/>
          <w:szCs w:val="24"/>
        </w:rPr>
        <w:t>1.</w:t>
      </w:r>
      <w:r>
        <w:rPr>
          <w:rFonts w:ascii="Garamond" w:hAnsi="Garamond"/>
          <w:sz w:val="24"/>
          <w:szCs w:val="24"/>
        </w:rPr>
        <w:t xml:space="preserve"> </w:t>
      </w:r>
      <w:r w:rsidRPr="007C523F">
        <w:rPr>
          <w:rFonts w:ascii="Garamond" w:hAnsi="Garamond"/>
          <w:sz w:val="24"/>
          <w:szCs w:val="24"/>
        </w:rPr>
        <w:t xml:space="preserve">Të miratojë kërkesën e shoqërisë “M.C. </w:t>
      </w:r>
      <w:r w:rsidR="008E5E70" w:rsidRPr="007C523F">
        <w:rPr>
          <w:rFonts w:ascii="Garamond" w:hAnsi="Garamond"/>
          <w:sz w:val="24"/>
          <w:szCs w:val="24"/>
        </w:rPr>
        <w:t>Energji Gojan</w:t>
      </w:r>
      <w:r w:rsidRPr="007C523F">
        <w:rPr>
          <w:rFonts w:ascii="Garamond" w:hAnsi="Garamond"/>
          <w:sz w:val="24"/>
          <w:szCs w:val="24"/>
        </w:rPr>
        <w:t xml:space="preserve">” sh.a. për marrjen e autorizimit nga ERE për transferimin e aseteve fikse të saj, si mjet për garantimin e shlyerjes së detyrimit ndaj “Banka OTP Albania” sh.a., në bazë të “Marrëveshjes Siguruese” nr. 1269 rep., nr. 264 kol., datë 28.3.2025, të lidhur ndërmjet shoqërisë “M.C. </w:t>
      </w:r>
      <w:r w:rsidR="008E5E70" w:rsidRPr="007C523F">
        <w:rPr>
          <w:rFonts w:ascii="Garamond" w:hAnsi="Garamond"/>
          <w:sz w:val="24"/>
          <w:szCs w:val="24"/>
        </w:rPr>
        <w:t>Energji Gojan</w:t>
      </w:r>
      <w:r w:rsidRPr="007C523F">
        <w:rPr>
          <w:rFonts w:ascii="Garamond" w:hAnsi="Garamond"/>
          <w:sz w:val="24"/>
          <w:szCs w:val="24"/>
        </w:rPr>
        <w:t>” sh.p.k., në cilësinë e barrëdhënësit, dhe “Banka OTP Albania” sh.a., në cilësinë e barrëmarrësit (</w:t>
      </w:r>
      <w:r w:rsidR="008E5E70">
        <w:rPr>
          <w:rFonts w:ascii="Garamond" w:hAnsi="Garamond"/>
          <w:sz w:val="24"/>
          <w:szCs w:val="24"/>
        </w:rPr>
        <w:t>l</w:t>
      </w:r>
      <w:r w:rsidRPr="007C523F">
        <w:rPr>
          <w:rFonts w:ascii="Garamond" w:hAnsi="Garamond"/>
          <w:sz w:val="24"/>
          <w:szCs w:val="24"/>
        </w:rPr>
        <w:t xml:space="preserve">ista e aseteve bashkëlidhur). </w:t>
      </w:r>
    </w:p>
    <w:p w14:paraId="2087A3A5" w14:textId="36577D1D" w:rsidR="007C523F" w:rsidRPr="007C523F" w:rsidRDefault="007C523F" w:rsidP="007C523F">
      <w:pPr>
        <w:pStyle w:val="ListParagraph"/>
        <w:tabs>
          <w:tab w:val="left" w:pos="36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7C523F">
        <w:rPr>
          <w:rFonts w:ascii="Garamond" w:hAnsi="Garamond"/>
          <w:sz w:val="24"/>
          <w:szCs w:val="24"/>
        </w:rPr>
        <w:t>2.</w:t>
      </w:r>
      <w:r>
        <w:rPr>
          <w:rFonts w:ascii="Garamond" w:hAnsi="Garamond"/>
          <w:sz w:val="24"/>
          <w:szCs w:val="24"/>
        </w:rPr>
        <w:t xml:space="preserve"> </w:t>
      </w:r>
      <w:r w:rsidRPr="007C523F">
        <w:rPr>
          <w:rFonts w:ascii="Garamond" w:hAnsi="Garamond"/>
          <w:sz w:val="24"/>
          <w:szCs w:val="24"/>
        </w:rPr>
        <w:t xml:space="preserve">Dhënia e autorizimit sipas përcaktimeve të pikës 1 </w:t>
      </w:r>
      <w:r w:rsidRPr="007C523F">
        <w:rPr>
          <w:rFonts w:ascii="Garamond" w:hAnsi="Garamond"/>
          <w:spacing w:val="15"/>
          <w:sz w:val="24"/>
          <w:szCs w:val="24"/>
        </w:rPr>
        <w:t>nuk e çliron shoqërinë “</w:t>
      </w:r>
      <w:r w:rsidRPr="007C523F">
        <w:rPr>
          <w:rFonts w:ascii="Garamond" w:hAnsi="Garamond"/>
          <w:sz w:val="24"/>
          <w:szCs w:val="24"/>
        </w:rPr>
        <w:t xml:space="preserve">M.C. </w:t>
      </w:r>
      <w:r w:rsidR="008E5E70" w:rsidRPr="007C523F">
        <w:rPr>
          <w:rFonts w:ascii="Garamond" w:hAnsi="Garamond"/>
          <w:sz w:val="24"/>
          <w:szCs w:val="24"/>
        </w:rPr>
        <w:t>Energji Gojan</w:t>
      </w:r>
      <w:r w:rsidRPr="007C523F">
        <w:rPr>
          <w:rFonts w:ascii="Garamond" w:hAnsi="Garamond"/>
          <w:spacing w:val="15"/>
          <w:sz w:val="24"/>
          <w:szCs w:val="24"/>
        </w:rPr>
        <w:t xml:space="preserve">” sh.p.k. </w:t>
      </w:r>
      <w:r w:rsidRPr="007C523F">
        <w:rPr>
          <w:rFonts w:ascii="Garamond" w:hAnsi="Garamond"/>
          <w:sz w:val="24"/>
          <w:szCs w:val="24"/>
        </w:rPr>
        <w:t>nga detyrimi për të marrë autorizimin/miratimin e organeve të tjera apo palëve të treta për këtë ndryshim, në rast se kjo kërkohet nga këto organe.</w:t>
      </w:r>
    </w:p>
    <w:p w14:paraId="522C3DDC" w14:textId="227EBC09" w:rsidR="007C523F" w:rsidRPr="007C523F" w:rsidRDefault="007C523F" w:rsidP="007C523F">
      <w:pPr>
        <w:pStyle w:val="ListParagraph"/>
        <w:tabs>
          <w:tab w:val="left" w:pos="36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7C523F">
        <w:rPr>
          <w:rFonts w:ascii="Garamond" w:hAnsi="Garamond"/>
          <w:sz w:val="24"/>
          <w:szCs w:val="24"/>
        </w:rPr>
        <w:t>3.</w:t>
      </w:r>
      <w:r>
        <w:rPr>
          <w:rFonts w:ascii="Garamond" w:hAnsi="Garamond"/>
          <w:sz w:val="24"/>
          <w:szCs w:val="24"/>
        </w:rPr>
        <w:t xml:space="preserve"> </w:t>
      </w:r>
      <w:r w:rsidRPr="007C523F">
        <w:rPr>
          <w:rFonts w:ascii="Garamond" w:hAnsi="Garamond"/>
          <w:sz w:val="24"/>
          <w:szCs w:val="24"/>
        </w:rPr>
        <w:t xml:space="preserve">Shoqëria “M.C. </w:t>
      </w:r>
      <w:r w:rsidR="008E5E70" w:rsidRPr="007C523F">
        <w:rPr>
          <w:rFonts w:ascii="Garamond" w:hAnsi="Garamond"/>
          <w:sz w:val="24"/>
          <w:szCs w:val="24"/>
        </w:rPr>
        <w:t>Energji Gojan</w:t>
      </w:r>
      <w:r w:rsidRPr="007C523F">
        <w:rPr>
          <w:rFonts w:ascii="Garamond" w:hAnsi="Garamond"/>
          <w:sz w:val="24"/>
          <w:szCs w:val="24"/>
        </w:rPr>
        <w:t>” sh.p.k. të njoftojë menjëherë ERE-n për heqjen e barrës siguruese mbi asetet e paluajtshme të saj që i shërbejnë veprimtarisë së licencuar ose në rast të ndodhjes së një ekzekutimi të detyrueshëm.</w:t>
      </w:r>
    </w:p>
    <w:p w14:paraId="064DFFC9" w14:textId="730078BD" w:rsidR="007C523F" w:rsidRPr="007C523F" w:rsidRDefault="007C523F" w:rsidP="007C523F">
      <w:pPr>
        <w:pStyle w:val="ListParagraph"/>
        <w:tabs>
          <w:tab w:val="left" w:pos="36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7C523F">
        <w:rPr>
          <w:rFonts w:ascii="Garamond" w:hAnsi="Garamond"/>
          <w:sz w:val="24"/>
          <w:szCs w:val="24"/>
        </w:rPr>
        <w:t>4.</w:t>
      </w:r>
      <w:r>
        <w:rPr>
          <w:rFonts w:ascii="Garamond" w:hAnsi="Garamond"/>
          <w:sz w:val="24"/>
          <w:szCs w:val="24"/>
        </w:rPr>
        <w:t xml:space="preserve"> </w:t>
      </w:r>
      <w:r w:rsidRPr="007C523F">
        <w:rPr>
          <w:rFonts w:ascii="Garamond" w:hAnsi="Garamond"/>
          <w:sz w:val="24"/>
          <w:szCs w:val="24"/>
        </w:rPr>
        <w:t>Ky vendim është objekt rishikimi në rast se shoqëria dokumenton heqjen e hipotekës dhe barrës siguruese të radhës së parë të vendosur mbi asetet e saj.</w:t>
      </w:r>
    </w:p>
    <w:p w14:paraId="1E1B1DA8" w14:textId="0311FEBB" w:rsidR="007C523F" w:rsidRPr="007C523F" w:rsidRDefault="007C523F" w:rsidP="007C523F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7C523F">
        <w:rPr>
          <w:rFonts w:ascii="Garamond" w:hAnsi="Garamond"/>
          <w:sz w:val="24"/>
          <w:szCs w:val="24"/>
        </w:rPr>
        <w:t>5.</w:t>
      </w:r>
      <w:r>
        <w:rPr>
          <w:rFonts w:ascii="Garamond" w:hAnsi="Garamond"/>
          <w:sz w:val="24"/>
          <w:szCs w:val="24"/>
        </w:rPr>
        <w:t xml:space="preserve"> </w:t>
      </w:r>
      <w:r w:rsidRPr="007C523F">
        <w:rPr>
          <w:rFonts w:ascii="Garamond" w:hAnsi="Garamond"/>
          <w:sz w:val="24"/>
          <w:szCs w:val="24"/>
        </w:rPr>
        <w:t xml:space="preserve">Drejtoria e Licencimit dhe Autorizimeve të njoftojë shoqërinë “M.C. </w:t>
      </w:r>
      <w:r w:rsidR="008E5E70" w:rsidRPr="007C523F">
        <w:rPr>
          <w:rFonts w:ascii="Garamond" w:hAnsi="Garamond"/>
          <w:sz w:val="24"/>
          <w:szCs w:val="24"/>
        </w:rPr>
        <w:t>Energji Gojan</w:t>
      </w:r>
      <w:r w:rsidRPr="007C523F">
        <w:rPr>
          <w:rFonts w:ascii="Garamond" w:hAnsi="Garamond"/>
          <w:sz w:val="24"/>
          <w:szCs w:val="24"/>
        </w:rPr>
        <w:t xml:space="preserve">” sh.p.k. dhe Ministrinë e Infrastrukturës dhe Energjisë për vendimin e </w:t>
      </w:r>
      <w:r w:rsidR="008E5E70" w:rsidRPr="007C523F">
        <w:rPr>
          <w:rFonts w:ascii="Garamond" w:hAnsi="Garamond"/>
          <w:sz w:val="24"/>
          <w:szCs w:val="24"/>
        </w:rPr>
        <w:t xml:space="preserve">Bordit </w:t>
      </w:r>
      <w:r w:rsidRPr="007C523F">
        <w:rPr>
          <w:rFonts w:ascii="Garamond" w:hAnsi="Garamond"/>
          <w:sz w:val="24"/>
          <w:szCs w:val="24"/>
        </w:rPr>
        <w:t>të ERE-s.</w:t>
      </w:r>
    </w:p>
    <w:p w14:paraId="06EC3FA4" w14:textId="77777777" w:rsidR="007C523F" w:rsidRPr="007C523F" w:rsidRDefault="007C523F" w:rsidP="007C523F">
      <w:pPr>
        <w:pStyle w:val="NoSpacing"/>
        <w:ind w:firstLine="284"/>
        <w:jc w:val="both"/>
        <w:rPr>
          <w:rFonts w:ascii="Garamond" w:hAnsi="Garamond" w:cs="Calibri"/>
        </w:rPr>
      </w:pPr>
      <w:r w:rsidRPr="007C523F">
        <w:rPr>
          <w:rFonts w:ascii="Garamond" w:hAnsi="Garamond"/>
        </w:rPr>
        <w:t xml:space="preserve">Ky </w:t>
      </w:r>
      <w:proofErr w:type="spellStart"/>
      <w:r w:rsidRPr="007C523F">
        <w:rPr>
          <w:rFonts w:ascii="Garamond" w:hAnsi="Garamond"/>
        </w:rPr>
        <w:t>vendim</w:t>
      </w:r>
      <w:proofErr w:type="spellEnd"/>
      <w:r w:rsidRPr="007C523F">
        <w:rPr>
          <w:rFonts w:ascii="Garamond" w:hAnsi="Garamond"/>
        </w:rPr>
        <w:t xml:space="preserve"> </w:t>
      </w:r>
      <w:proofErr w:type="spellStart"/>
      <w:r w:rsidRPr="007C523F">
        <w:rPr>
          <w:rFonts w:ascii="Garamond" w:hAnsi="Garamond"/>
        </w:rPr>
        <w:t>hyn</w:t>
      </w:r>
      <w:proofErr w:type="spellEnd"/>
      <w:r w:rsidRPr="007C523F">
        <w:rPr>
          <w:rFonts w:ascii="Garamond" w:hAnsi="Garamond"/>
        </w:rPr>
        <w:t xml:space="preserve"> </w:t>
      </w:r>
      <w:proofErr w:type="spellStart"/>
      <w:r w:rsidRPr="007C523F">
        <w:rPr>
          <w:rFonts w:ascii="Garamond" w:hAnsi="Garamond"/>
        </w:rPr>
        <w:t>në</w:t>
      </w:r>
      <w:proofErr w:type="spellEnd"/>
      <w:r w:rsidRPr="007C523F">
        <w:rPr>
          <w:rFonts w:ascii="Garamond" w:hAnsi="Garamond"/>
        </w:rPr>
        <w:t xml:space="preserve"> </w:t>
      </w:r>
      <w:proofErr w:type="spellStart"/>
      <w:r w:rsidRPr="007C523F">
        <w:rPr>
          <w:rFonts w:ascii="Garamond" w:hAnsi="Garamond"/>
        </w:rPr>
        <w:t>fuqi</w:t>
      </w:r>
      <w:proofErr w:type="spellEnd"/>
      <w:r w:rsidRPr="007C523F">
        <w:rPr>
          <w:rFonts w:ascii="Garamond" w:hAnsi="Garamond"/>
        </w:rPr>
        <w:t xml:space="preserve"> </w:t>
      </w:r>
      <w:proofErr w:type="spellStart"/>
      <w:r w:rsidRPr="007C523F">
        <w:rPr>
          <w:rFonts w:ascii="Garamond" w:hAnsi="Garamond"/>
        </w:rPr>
        <w:t>menjëherë</w:t>
      </w:r>
      <w:proofErr w:type="spellEnd"/>
      <w:r w:rsidRPr="007C523F">
        <w:rPr>
          <w:rFonts w:ascii="Garamond" w:hAnsi="Garamond"/>
        </w:rPr>
        <w:t xml:space="preserve">. </w:t>
      </w:r>
    </w:p>
    <w:p w14:paraId="30522E40" w14:textId="7AA389F1" w:rsidR="007C523F" w:rsidRPr="007C523F" w:rsidRDefault="007C523F" w:rsidP="007C523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C523F">
        <w:rPr>
          <w:rFonts w:ascii="Garamond" w:hAnsi="Garamond"/>
          <w:sz w:val="24"/>
          <w:szCs w:val="24"/>
        </w:rPr>
        <w:t xml:space="preserve">Çdo palë e përfshirë në këtë procedurë mund t’i kërkojë ERE-s, brenda 7 ditëve kalendarike nga data e marrjes së vendimit, rishikimin e vendimit të </w:t>
      </w:r>
      <w:r w:rsidR="008E5E70" w:rsidRPr="007C523F">
        <w:rPr>
          <w:rFonts w:ascii="Garamond" w:hAnsi="Garamond"/>
          <w:sz w:val="24"/>
          <w:szCs w:val="24"/>
        </w:rPr>
        <w:t xml:space="preserve">Bordit </w:t>
      </w:r>
      <w:r w:rsidRPr="007C523F">
        <w:rPr>
          <w:rFonts w:ascii="Garamond" w:hAnsi="Garamond"/>
          <w:sz w:val="24"/>
          <w:szCs w:val="24"/>
        </w:rPr>
        <w:t xml:space="preserve">në rast se ka siguruar prova të reja që mund ta çojnë </w:t>
      </w:r>
      <w:r w:rsidR="008E5E70" w:rsidRPr="007C523F">
        <w:rPr>
          <w:rFonts w:ascii="Garamond" w:hAnsi="Garamond"/>
          <w:sz w:val="24"/>
          <w:szCs w:val="24"/>
        </w:rPr>
        <w:t xml:space="preserve">Bordin </w:t>
      </w:r>
      <w:r w:rsidRPr="007C523F">
        <w:rPr>
          <w:rFonts w:ascii="Garamond" w:hAnsi="Garamond"/>
          <w:sz w:val="24"/>
          <w:szCs w:val="24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5BC52584" w14:textId="77777777" w:rsidR="007C523F" w:rsidRPr="007C523F" w:rsidRDefault="007C523F" w:rsidP="007C523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C523F">
        <w:rPr>
          <w:rFonts w:ascii="Garamond" w:hAnsi="Garamond"/>
          <w:sz w:val="24"/>
          <w:szCs w:val="24"/>
        </w:rPr>
        <w:t>Ky vendim botohet në Fletoren Zyrtare.</w:t>
      </w:r>
    </w:p>
    <w:p w14:paraId="353D11BE" w14:textId="77777777" w:rsidR="007C523F" w:rsidRPr="007C523F" w:rsidRDefault="007C523F" w:rsidP="007C523F">
      <w:pPr>
        <w:tabs>
          <w:tab w:val="left" w:pos="5160"/>
        </w:tabs>
        <w:spacing w:after="0" w:line="240" w:lineRule="auto"/>
        <w:ind w:firstLine="284"/>
        <w:jc w:val="right"/>
        <w:rPr>
          <w:rFonts w:ascii="Garamond" w:hAnsi="Garamond"/>
          <w:b/>
          <w:bCs/>
          <w:sz w:val="24"/>
          <w:szCs w:val="24"/>
        </w:rPr>
      </w:pPr>
    </w:p>
    <w:p w14:paraId="2E4362CB" w14:textId="7153B41D" w:rsidR="007C523F" w:rsidRPr="007C523F" w:rsidRDefault="008E5E70" w:rsidP="007C523F">
      <w:pPr>
        <w:tabs>
          <w:tab w:val="left" w:pos="5160"/>
        </w:tabs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</w:rPr>
      </w:pPr>
      <w:r>
        <w:rPr>
          <w:rFonts w:ascii="Garamond" w:hAnsi="Garamond"/>
          <w:bCs/>
          <w:sz w:val="24"/>
          <w:szCs w:val="24"/>
        </w:rPr>
        <w:t xml:space="preserve"> </w:t>
      </w:r>
      <w:r w:rsidR="007C523F" w:rsidRPr="007C523F">
        <w:rPr>
          <w:rFonts w:ascii="Garamond" w:hAnsi="Garamond"/>
          <w:bCs/>
          <w:sz w:val="24"/>
          <w:szCs w:val="24"/>
        </w:rPr>
        <w:t>KRYETAR</w:t>
      </w:r>
    </w:p>
    <w:p w14:paraId="6A31CEBA" w14:textId="14DF8612" w:rsidR="007C523F" w:rsidRPr="007C523F" w:rsidRDefault="007C523F" w:rsidP="007C523F">
      <w:pPr>
        <w:tabs>
          <w:tab w:val="left" w:pos="5160"/>
        </w:tabs>
        <w:spacing w:after="0" w:line="240" w:lineRule="auto"/>
        <w:ind w:firstLine="284"/>
        <w:jc w:val="right"/>
        <w:rPr>
          <w:rFonts w:ascii="Garamond" w:hAnsi="Garamond"/>
          <w:b/>
          <w:bCs/>
          <w:sz w:val="24"/>
          <w:szCs w:val="24"/>
        </w:rPr>
      </w:pPr>
      <w:r w:rsidRPr="007C523F">
        <w:rPr>
          <w:rFonts w:ascii="Garamond" w:hAnsi="Garamond"/>
          <w:b/>
          <w:bCs/>
          <w:sz w:val="24"/>
          <w:szCs w:val="24"/>
        </w:rPr>
        <w:t>Petrit Ahmeti</w:t>
      </w:r>
    </w:p>
    <w:p w14:paraId="3CD7D355" w14:textId="3ED33148" w:rsidR="00BC0680" w:rsidRDefault="00BC0680" w:rsidP="007C523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40E0307E" w14:textId="23A3D11F" w:rsidR="00BC0680" w:rsidRPr="00BC0680" w:rsidRDefault="00BC0680" w:rsidP="00BC068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</w:rPr>
      </w:pPr>
      <w:r w:rsidRPr="00BC0680">
        <w:rPr>
          <w:rFonts w:ascii="Garamond" w:hAnsi="Garamond"/>
          <w:b/>
          <w:bCs/>
          <w:color w:val="000000"/>
          <w:sz w:val="24"/>
          <w:szCs w:val="24"/>
        </w:rPr>
        <w:t xml:space="preserve">Lista e aseteve të shoqërisë “M.C. </w:t>
      </w:r>
      <w:r w:rsidR="008E5E70" w:rsidRPr="00BC0680">
        <w:rPr>
          <w:rFonts w:ascii="Garamond" w:hAnsi="Garamond"/>
          <w:b/>
          <w:bCs/>
          <w:color w:val="000000"/>
          <w:sz w:val="24"/>
          <w:szCs w:val="24"/>
        </w:rPr>
        <w:t>E</w:t>
      </w:r>
      <w:r w:rsidR="008E5E70">
        <w:rPr>
          <w:rFonts w:ascii="Garamond" w:hAnsi="Garamond"/>
          <w:b/>
          <w:bCs/>
          <w:color w:val="000000"/>
          <w:sz w:val="24"/>
          <w:szCs w:val="24"/>
        </w:rPr>
        <w:t>ne</w:t>
      </w:r>
      <w:r w:rsidR="008E5E70" w:rsidRPr="00BC0680">
        <w:rPr>
          <w:rFonts w:ascii="Garamond" w:hAnsi="Garamond"/>
          <w:b/>
          <w:bCs/>
          <w:color w:val="000000"/>
          <w:sz w:val="24"/>
          <w:szCs w:val="24"/>
        </w:rPr>
        <w:t>rgji Gojan</w:t>
      </w:r>
      <w:r w:rsidRPr="00BC0680">
        <w:rPr>
          <w:rFonts w:ascii="Garamond" w:hAnsi="Garamond"/>
          <w:b/>
          <w:bCs/>
          <w:color w:val="000000"/>
          <w:sz w:val="24"/>
          <w:szCs w:val="24"/>
        </w:rPr>
        <w:t>” sh.p.k.</w:t>
      </w:r>
    </w:p>
    <w:p w14:paraId="73B12E88" w14:textId="77777777" w:rsidR="00BC0680" w:rsidRPr="00BC0680" w:rsidRDefault="00BC0680" w:rsidP="00BC068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</w:rPr>
      </w:pPr>
    </w:p>
    <w:p w14:paraId="6F5312A9" w14:textId="5E9A5938" w:rsidR="00BC0680" w:rsidRPr="00BC0680" w:rsidRDefault="00BC0680" w:rsidP="00BC068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/>
          <w:bCs/>
          <w:color w:val="000000"/>
          <w:sz w:val="24"/>
          <w:szCs w:val="24"/>
        </w:rPr>
      </w:pPr>
      <w:r w:rsidRPr="00BC0680">
        <w:rPr>
          <w:rFonts w:ascii="Garamond" w:hAnsi="Garamond"/>
          <w:color w:val="000000"/>
          <w:sz w:val="24"/>
          <w:szCs w:val="24"/>
        </w:rPr>
        <w:t>1.</w:t>
      </w:r>
      <w:r>
        <w:rPr>
          <w:rFonts w:ascii="Garamond" w:hAnsi="Garamond"/>
          <w:color w:val="000000"/>
          <w:sz w:val="24"/>
          <w:szCs w:val="24"/>
        </w:rPr>
        <w:t xml:space="preserve"> </w:t>
      </w:r>
      <w:r w:rsidRPr="00BC0680">
        <w:rPr>
          <w:rFonts w:ascii="Garamond" w:hAnsi="Garamond"/>
          <w:color w:val="000000"/>
          <w:sz w:val="24"/>
          <w:szCs w:val="24"/>
        </w:rPr>
        <w:t>Vepra e marrjes, me vlerë 93,048,096 lekë</w:t>
      </w:r>
      <w:r w:rsidR="008E5E70">
        <w:rPr>
          <w:rFonts w:ascii="Garamond" w:hAnsi="Garamond"/>
          <w:color w:val="000000"/>
          <w:sz w:val="24"/>
          <w:szCs w:val="24"/>
        </w:rPr>
        <w:t>.</w:t>
      </w:r>
    </w:p>
    <w:p w14:paraId="51BFD585" w14:textId="625D93B5" w:rsidR="00BC0680" w:rsidRPr="00BC0680" w:rsidRDefault="00BC0680" w:rsidP="00BC068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</w:rPr>
      </w:pPr>
      <w:r w:rsidRPr="00BC0680">
        <w:rPr>
          <w:rFonts w:ascii="Garamond" w:hAnsi="Garamond"/>
          <w:color w:val="000000"/>
          <w:sz w:val="24"/>
          <w:szCs w:val="24"/>
        </w:rPr>
        <w:t>2.</w:t>
      </w:r>
      <w:r>
        <w:rPr>
          <w:rFonts w:ascii="Garamond" w:hAnsi="Garamond"/>
          <w:color w:val="000000"/>
          <w:sz w:val="24"/>
          <w:szCs w:val="24"/>
        </w:rPr>
        <w:t xml:space="preserve"> </w:t>
      </w:r>
      <w:r w:rsidRPr="00BC0680">
        <w:rPr>
          <w:rFonts w:ascii="Garamond" w:hAnsi="Garamond"/>
          <w:color w:val="000000"/>
          <w:sz w:val="24"/>
          <w:szCs w:val="24"/>
        </w:rPr>
        <w:t>Kanali i furnizimit, me vlerë 8,089,988 lekë</w:t>
      </w:r>
      <w:r w:rsidR="008E5E70">
        <w:rPr>
          <w:rFonts w:ascii="Garamond" w:hAnsi="Garamond"/>
          <w:color w:val="000000"/>
          <w:sz w:val="24"/>
          <w:szCs w:val="24"/>
        </w:rPr>
        <w:t>.</w:t>
      </w:r>
    </w:p>
    <w:p w14:paraId="0F458CCD" w14:textId="3AF862D7" w:rsidR="00BC0680" w:rsidRPr="00BC0680" w:rsidRDefault="00BC0680" w:rsidP="00BC068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</w:rPr>
      </w:pPr>
      <w:r w:rsidRPr="00BC0680">
        <w:rPr>
          <w:rFonts w:ascii="Garamond" w:hAnsi="Garamond"/>
          <w:color w:val="000000"/>
          <w:sz w:val="24"/>
          <w:szCs w:val="24"/>
        </w:rPr>
        <w:t>3.</w:t>
      </w:r>
      <w:r>
        <w:rPr>
          <w:rFonts w:ascii="Garamond" w:hAnsi="Garamond"/>
          <w:color w:val="000000"/>
          <w:sz w:val="24"/>
          <w:szCs w:val="24"/>
        </w:rPr>
        <w:t xml:space="preserve"> </w:t>
      </w:r>
      <w:r w:rsidRPr="00BC0680">
        <w:rPr>
          <w:rFonts w:ascii="Garamond" w:hAnsi="Garamond"/>
          <w:color w:val="000000"/>
          <w:sz w:val="24"/>
          <w:szCs w:val="24"/>
        </w:rPr>
        <w:t>Dekantuesi, me vlerë 95,743,738 lekë</w:t>
      </w:r>
      <w:r w:rsidR="008E5E70">
        <w:rPr>
          <w:rFonts w:ascii="Garamond" w:hAnsi="Garamond"/>
          <w:color w:val="000000"/>
          <w:sz w:val="24"/>
          <w:szCs w:val="24"/>
        </w:rPr>
        <w:t>.</w:t>
      </w:r>
    </w:p>
    <w:p w14:paraId="35D8A690" w14:textId="65F4B502" w:rsidR="00BC0680" w:rsidRPr="00BC0680" w:rsidRDefault="00BC0680" w:rsidP="00BC068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</w:rPr>
      </w:pPr>
      <w:r w:rsidRPr="00BC0680">
        <w:rPr>
          <w:rFonts w:ascii="Garamond" w:hAnsi="Garamond"/>
          <w:color w:val="000000"/>
          <w:sz w:val="24"/>
          <w:szCs w:val="24"/>
        </w:rPr>
        <w:t>4.</w:t>
      </w:r>
      <w:r>
        <w:rPr>
          <w:rFonts w:ascii="Garamond" w:hAnsi="Garamond"/>
          <w:color w:val="000000"/>
          <w:sz w:val="24"/>
          <w:szCs w:val="24"/>
        </w:rPr>
        <w:t xml:space="preserve"> </w:t>
      </w:r>
      <w:r w:rsidRPr="00BC0680">
        <w:rPr>
          <w:rFonts w:ascii="Garamond" w:hAnsi="Garamond"/>
          <w:color w:val="000000"/>
          <w:sz w:val="24"/>
          <w:szCs w:val="24"/>
        </w:rPr>
        <w:t>Tuneli i sjelljes, me vlerë 846,034,107 lekë</w:t>
      </w:r>
      <w:r w:rsidR="008E5E70">
        <w:rPr>
          <w:rFonts w:ascii="Garamond" w:hAnsi="Garamond"/>
          <w:color w:val="000000"/>
          <w:sz w:val="24"/>
          <w:szCs w:val="24"/>
        </w:rPr>
        <w:t>.</w:t>
      </w:r>
    </w:p>
    <w:p w14:paraId="24A84BD4" w14:textId="77D104EF" w:rsidR="00BC0680" w:rsidRPr="00BC0680" w:rsidRDefault="00BC0680" w:rsidP="00BC068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</w:rPr>
      </w:pPr>
      <w:r w:rsidRPr="00BC0680">
        <w:rPr>
          <w:rFonts w:ascii="Garamond" w:hAnsi="Garamond"/>
          <w:color w:val="000000"/>
          <w:sz w:val="24"/>
          <w:szCs w:val="24"/>
        </w:rPr>
        <w:t>5.</w:t>
      </w:r>
      <w:r>
        <w:rPr>
          <w:rFonts w:ascii="Garamond" w:hAnsi="Garamond"/>
          <w:color w:val="000000"/>
          <w:sz w:val="24"/>
          <w:szCs w:val="24"/>
        </w:rPr>
        <w:t xml:space="preserve"> </w:t>
      </w:r>
      <w:r w:rsidRPr="00BC0680">
        <w:rPr>
          <w:rFonts w:ascii="Garamond" w:hAnsi="Garamond"/>
          <w:color w:val="000000"/>
          <w:sz w:val="24"/>
          <w:szCs w:val="24"/>
        </w:rPr>
        <w:t>Baseni i presionit, me vlerë 161,744,192 lekë</w:t>
      </w:r>
      <w:r w:rsidR="008E5E70">
        <w:rPr>
          <w:rFonts w:ascii="Garamond" w:hAnsi="Garamond"/>
          <w:color w:val="000000"/>
          <w:sz w:val="24"/>
          <w:szCs w:val="24"/>
        </w:rPr>
        <w:t>.</w:t>
      </w:r>
    </w:p>
    <w:p w14:paraId="12091DE5" w14:textId="28B744A7" w:rsidR="00BC0680" w:rsidRPr="00BC0680" w:rsidRDefault="00BC0680" w:rsidP="00BC068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</w:rPr>
      </w:pPr>
      <w:r w:rsidRPr="00BC0680">
        <w:rPr>
          <w:rFonts w:ascii="Garamond" w:hAnsi="Garamond"/>
          <w:color w:val="000000"/>
          <w:sz w:val="24"/>
          <w:szCs w:val="24"/>
        </w:rPr>
        <w:t>6.</w:t>
      </w:r>
      <w:r>
        <w:rPr>
          <w:rFonts w:ascii="Garamond" w:hAnsi="Garamond"/>
          <w:color w:val="000000"/>
          <w:sz w:val="24"/>
          <w:szCs w:val="24"/>
        </w:rPr>
        <w:t xml:space="preserve"> </w:t>
      </w:r>
      <w:r w:rsidRPr="00BC0680">
        <w:rPr>
          <w:rFonts w:ascii="Garamond" w:hAnsi="Garamond"/>
          <w:color w:val="000000"/>
          <w:sz w:val="24"/>
          <w:szCs w:val="24"/>
        </w:rPr>
        <w:t>Tubacioni, me vlerë 152,418,315 lekë</w:t>
      </w:r>
      <w:r w:rsidR="008E5E70">
        <w:rPr>
          <w:rFonts w:ascii="Garamond" w:hAnsi="Garamond"/>
          <w:color w:val="000000"/>
          <w:sz w:val="24"/>
          <w:szCs w:val="24"/>
        </w:rPr>
        <w:t>.</w:t>
      </w:r>
    </w:p>
    <w:p w14:paraId="7DC25B03" w14:textId="19D19004" w:rsidR="00BC0680" w:rsidRPr="00BC0680" w:rsidRDefault="00BC0680" w:rsidP="00BC068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</w:rPr>
      </w:pPr>
      <w:r w:rsidRPr="00BC0680">
        <w:rPr>
          <w:rFonts w:ascii="Garamond" w:hAnsi="Garamond"/>
          <w:color w:val="000000"/>
          <w:sz w:val="24"/>
          <w:szCs w:val="24"/>
        </w:rPr>
        <w:t>7.</w:t>
      </w:r>
      <w:r>
        <w:rPr>
          <w:rFonts w:ascii="Garamond" w:hAnsi="Garamond"/>
          <w:color w:val="000000"/>
          <w:sz w:val="24"/>
          <w:szCs w:val="24"/>
        </w:rPr>
        <w:t xml:space="preserve"> </w:t>
      </w:r>
      <w:r w:rsidRPr="00BC0680">
        <w:rPr>
          <w:rFonts w:ascii="Garamond" w:hAnsi="Garamond"/>
          <w:color w:val="000000"/>
          <w:sz w:val="24"/>
          <w:szCs w:val="24"/>
        </w:rPr>
        <w:t>Nënstacioni, me vlerë 7,845,692 lekë</w:t>
      </w:r>
      <w:r w:rsidR="008E5E70">
        <w:rPr>
          <w:rFonts w:ascii="Garamond" w:hAnsi="Garamond"/>
          <w:color w:val="000000"/>
          <w:sz w:val="24"/>
          <w:szCs w:val="24"/>
        </w:rPr>
        <w:t>.</w:t>
      </w:r>
    </w:p>
    <w:p w14:paraId="0D28E7AF" w14:textId="4C8DE5F9" w:rsidR="00BC0680" w:rsidRPr="00BC0680" w:rsidRDefault="00BC0680" w:rsidP="00BC068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</w:rPr>
      </w:pPr>
      <w:r w:rsidRPr="00BC0680">
        <w:rPr>
          <w:rFonts w:ascii="Garamond" w:hAnsi="Garamond"/>
          <w:color w:val="000000"/>
          <w:sz w:val="24"/>
          <w:szCs w:val="24"/>
        </w:rPr>
        <w:t>8.</w:t>
      </w:r>
      <w:r>
        <w:rPr>
          <w:rFonts w:ascii="Garamond" w:hAnsi="Garamond"/>
          <w:color w:val="000000"/>
          <w:sz w:val="24"/>
          <w:szCs w:val="24"/>
        </w:rPr>
        <w:t xml:space="preserve"> </w:t>
      </w:r>
      <w:r w:rsidRPr="00BC0680">
        <w:rPr>
          <w:rFonts w:ascii="Garamond" w:hAnsi="Garamond"/>
          <w:color w:val="000000"/>
          <w:sz w:val="24"/>
          <w:szCs w:val="24"/>
        </w:rPr>
        <w:t>Godinë e centralit</w:t>
      </w:r>
      <w:r w:rsidR="008E5E70">
        <w:rPr>
          <w:rFonts w:ascii="Garamond" w:hAnsi="Garamond"/>
          <w:color w:val="000000"/>
          <w:sz w:val="24"/>
          <w:szCs w:val="24"/>
        </w:rPr>
        <w:t>,</w:t>
      </w:r>
      <w:r w:rsidRPr="00BC0680">
        <w:rPr>
          <w:rFonts w:ascii="Garamond" w:hAnsi="Garamond"/>
          <w:color w:val="000000"/>
          <w:sz w:val="24"/>
          <w:szCs w:val="24"/>
        </w:rPr>
        <w:t xml:space="preserve"> me vlerë 91,372,816 lekë</w:t>
      </w:r>
      <w:r w:rsidR="008E5E70">
        <w:rPr>
          <w:rFonts w:ascii="Garamond" w:hAnsi="Garamond"/>
          <w:color w:val="000000"/>
          <w:sz w:val="24"/>
          <w:szCs w:val="24"/>
        </w:rPr>
        <w:t>.</w:t>
      </w:r>
    </w:p>
    <w:p w14:paraId="212B8F56" w14:textId="54834F81" w:rsidR="00BC0680" w:rsidRPr="00BC0680" w:rsidRDefault="00BC0680" w:rsidP="00BC068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</w:rPr>
      </w:pPr>
      <w:r w:rsidRPr="00BC0680">
        <w:rPr>
          <w:rFonts w:ascii="Garamond" w:hAnsi="Garamond"/>
          <w:color w:val="000000"/>
          <w:sz w:val="24"/>
          <w:szCs w:val="24"/>
        </w:rPr>
        <w:t>9.</w:t>
      </w:r>
      <w:r>
        <w:rPr>
          <w:rFonts w:ascii="Garamond" w:hAnsi="Garamond"/>
          <w:color w:val="000000"/>
          <w:sz w:val="24"/>
          <w:szCs w:val="24"/>
        </w:rPr>
        <w:t xml:space="preserve"> </w:t>
      </w:r>
      <w:r w:rsidRPr="00BC0680">
        <w:rPr>
          <w:rFonts w:ascii="Garamond" w:hAnsi="Garamond"/>
          <w:color w:val="000000"/>
          <w:sz w:val="24"/>
          <w:szCs w:val="24"/>
        </w:rPr>
        <w:t>Kanali i shkarkimit, me vlerë 12,513,281 lekë</w:t>
      </w:r>
      <w:r w:rsidR="008E5E70">
        <w:rPr>
          <w:rFonts w:ascii="Garamond" w:hAnsi="Garamond"/>
          <w:color w:val="000000"/>
          <w:sz w:val="24"/>
          <w:szCs w:val="24"/>
        </w:rPr>
        <w:t>.</w:t>
      </w:r>
    </w:p>
    <w:p w14:paraId="254D2035" w14:textId="60A11FD2" w:rsidR="00BC0680" w:rsidRPr="00BC0680" w:rsidRDefault="00BC0680" w:rsidP="00BC068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</w:rPr>
      </w:pPr>
      <w:r w:rsidRPr="00BC0680">
        <w:rPr>
          <w:rFonts w:ascii="Garamond" w:hAnsi="Garamond"/>
          <w:color w:val="000000"/>
          <w:sz w:val="24"/>
          <w:szCs w:val="24"/>
        </w:rPr>
        <w:t>10.</w:t>
      </w:r>
      <w:r>
        <w:rPr>
          <w:rFonts w:ascii="Garamond" w:hAnsi="Garamond"/>
          <w:color w:val="000000"/>
          <w:sz w:val="24"/>
          <w:szCs w:val="24"/>
        </w:rPr>
        <w:t xml:space="preserve"> </w:t>
      </w:r>
      <w:r w:rsidRPr="00BC0680">
        <w:rPr>
          <w:rFonts w:ascii="Garamond" w:hAnsi="Garamond"/>
          <w:color w:val="000000"/>
          <w:sz w:val="24"/>
          <w:szCs w:val="24"/>
        </w:rPr>
        <w:t xml:space="preserve">Makineri e </w:t>
      </w:r>
      <w:r w:rsidR="008E5E70" w:rsidRPr="00BC0680">
        <w:rPr>
          <w:rFonts w:ascii="Garamond" w:hAnsi="Garamond"/>
          <w:color w:val="000000"/>
          <w:sz w:val="24"/>
          <w:szCs w:val="24"/>
        </w:rPr>
        <w:t>pajisje</w:t>
      </w:r>
      <w:r w:rsidRPr="00BC0680">
        <w:rPr>
          <w:rFonts w:ascii="Garamond" w:hAnsi="Garamond"/>
          <w:color w:val="000000"/>
          <w:sz w:val="24"/>
          <w:szCs w:val="24"/>
        </w:rPr>
        <w:t>, me vlerë 722,683,914 lekë.</w:t>
      </w:r>
    </w:p>
    <w:p w14:paraId="1DA43ACC" w14:textId="77777777" w:rsidR="00BC0680" w:rsidRPr="008E5E70" w:rsidRDefault="00BC0680" w:rsidP="00BC068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/>
          <w:bCs/>
          <w:color w:val="000000"/>
          <w:sz w:val="24"/>
          <w:szCs w:val="24"/>
        </w:rPr>
      </w:pPr>
      <w:r w:rsidRPr="00BC0680">
        <w:rPr>
          <w:rFonts w:ascii="Garamond" w:hAnsi="Garamond"/>
          <w:b/>
          <w:bCs/>
          <w:color w:val="000000"/>
          <w:sz w:val="24"/>
          <w:szCs w:val="24"/>
        </w:rPr>
        <w:lastRenderedPageBreak/>
        <w:t xml:space="preserve">Në total </w:t>
      </w:r>
      <w:r w:rsidRPr="008E5E70">
        <w:rPr>
          <w:rFonts w:ascii="Garamond" w:hAnsi="Garamond"/>
          <w:b/>
          <w:bCs/>
          <w:iCs/>
          <w:color w:val="000000"/>
          <w:sz w:val="24"/>
          <w:szCs w:val="24"/>
        </w:rPr>
        <w:t>rezultojnë 2,191,494,140 lekë.</w:t>
      </w:r>
    </w:p>
    <w:sectPr w:rsidR="00BC0680" w:rsidRPr="008E5E70" w:rsidSect="008E5E70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108E93" w14:textId="77777777" w:rsidR="00552B42" w:rsidRDefault="00552B42">
      <w:pPr>
        <w:spacing w:after="0" w:line="240" w:lineRule="auto"/>
      </w:pPr>
      <w:r>
        <w:separator/>
      </w:r>
    </w:p>
  </w:endnote>
  <w:endnote w:type="continuationSeparator" w:id="0">
    <w:p w14:paraId="54CD52F1" w14:textId="77777777" w:rsidR="00552B42" w:rsidRDefault="00552B42">
      <w:pPr>
        <w:spacing w:after="0" w:line="240" w:lineRule="auto"/>
      </w:pPr>
      <w:r>
        <w:continuationSeparator/>
      </w:r>
    </w:p>
  </w:endnote>
  <w:endnote w:type="continuationNotice" w:id="1">
    <w:p w14:paraId="1CDB4223" w14:textId="77777777" w:rsidR="00552B42" w:rsidRDefault="00552B4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altName w:val="Segoe U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G Times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177825" w14:textId="77777777" w:rsidR="00552B42" w:rsidRDefault="00552B42">
      <w:pPr>
        <w:spacing w:after="0" w:line="240" w:lineRule="auto"/>
      </w:pPr>
      <w:r>
        <w:separator/>
      </w:r>
    </w:p>
  </w:footnote>
  <w:footnote w:type="continuationSeparator" w:id="0">
    <w:p w14:paraId="5D514CCA" w14:textId="77777777" w:rsidR="00552B42" w:rsidRDefault="00552B42">
      <w:pPr>
        <w:spacing w:after="0" w:line="240" w:lineRule="auto"/>
      </w:pPr>
      <w:r>
        <w:continuationSeparator/>
      </w:r>
    </w:p>
  </w:footnote>
  <w:footnote w:type="continuationNotice" w:id="1">
    <w:p w14:paraId="5F559F5A" w14:textId="77777777" w:rsidR="00552B42" w:rsidRDefault="00552B42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A47A8D2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AD9CC9CA"/>
    <w:lvl w:ilvl="0" w:tplc="74F8DD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hybridMultilevel"/>
    <w:tmpl w:val="D49851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0000004"/>
    <w:multiLevelType w:val="hybridMultilevel"/>
    <w:tmpl w:val="F5A8CA84"/>
    <w:lvl w:ilvl="0" w:tplc="C56097B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0000005"/>
    <w:multiLevelType w:val="multilevel"/>
    <w:tmpl w:val="D59088F6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0000006"/>
    <w:multiLevelType w:val="hybridMultilevel"/>
    <w:tmpl w:val="7A50CCA6"/>
    <w:lvl w:ilvl="0" w:tplc="799E443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0000007"/>
    <w:multiLevelType w:val="hybridMultilevel"/>
    <w:tmpl w:val="2B26ABF6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7" w15:restartNumberingAfterBreak="0">
    <w:nsid w:val="00000008"/>
    <w:multiLevelType w:val="multilevel"/>
    <w:tmpl w:val="31388D52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0000009"/>
    <w:multiLevelType w:val="hybridMultilevel"/>
    <w:tmpl w:val="A0F457EC"/>
    <w:lvl w:ilvl="0" w:tplc="897827B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000000A"/>
    <w:multiLevelType w:val="hybridMultilevel"/>
    <w:tmpl w:val="63182A38"/>
    <w:lvl w:ilvl="0" w:tplc="6510A4F2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000000B"/>
    <w:multiLevelType w:val="hybridMultilevel"/>
    <w:tmpl w:val="ACA82ED8"/>
    <w:lvl w:ilvl="0" w:tplc="55BC6E3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000000C"/>
    <w:multiLevelType w:val="multilevel"/>
    <w:tmpl w:val="3D346AD8"/>
    <w:lvl w:ilvl="0">
      <w:start w:val="1"/>
      <w:numFmt w:val="bullet"/>
      <w:lvlText w:val="-"/>
      <w:lvlJc w:val="left"/>
      <w:pPr>
        <w:tabs>
          <w:tab w:val="left" w:pos="360"/>
        </w:tabs>
        <w:ind w:left="360" w:hanging="360"/>
      </w:pPr>
      <w:rPr>
        <w:rFonts w:ascii="Times New Roman" w:eastAsia="Times New Roman" w:hAnsi="Times New Roman" w:cs="Times New Roman" w:hint="default"/>
        <w:sz w:val="20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2" w:tentative="1">
      <w:start w:val="1"/>
      <w:numFmt w:val="bullet"/>
      <w:lvlText w:val=""/>
      <w:lvlJc w:val="left"/>
      <w:pPr>
        <w:tabs>
          <w:tab w:val="left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000000D"/>
    <w:multiLevelType w:val="hybridMultilevel"/>
    <w:tmpl w:val="92B6FE20"/>
    <w:lvl w:ilvl="0" w:tplc="999C743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000000E"/>
    <w:multiLevelType w:val="multilevel"/>
    <w:tmpl w:val="B6E2A11A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0000000F"/>
    <w:multiLevelType w:val="hybridMultilevel"/>
    <w:tmpl w:val="8CFE91BE"/>
    <w:lvl w:ilvl="0" w:tplc="8BDCFBAC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5" w15:restartNumberingAfterBreak="0">
    <w:nsid w:val="00000010"/>
    <w:multiLevelType w:val="hybridMultilevel"/>
    <w:tmpl w:val="EA4E4808"/>
    <w:lvl w:ilvl="0" w:tplc="EF56495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00000011"/>
    <w:multiLevelType w:val="hybridMultilevel"/>
    <w:tmpl w:val="9DBA749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0000012"/>
    <w:multiLevelType w:val="hybridMultilevel"/>
    <w:tmpl w:val="0B98403E"/>
    <w:lvl w:ilvl="0" w:tplc="143A5562">
      <w:start w:val="1"/>
      <w:numFmt w:val="bullet"/>
      <w:lvlText w:val="-"/>
      <w:lvlJc w:val="left"/>
      <w:pPr>
        <w:ind w:left="108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00000013"/>
    <w:multiLevelType w:val="hybridMultilevel"/>
    <w:tmpl w:val="8CA037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0000014"/>
    <w:multiLevelType w:val="multilevel"/>
    <w:tmpl w:val="01405B0E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00000015"/>
    <w:multiLevelType w:val="hybridMultilevel"/>
    <w:tmpl w:val="6B5E6252"/>
    <w:lvl w:ilvl="0" w:tplc="5F04AE12">
      <w:start w:val="17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00000016"/>
    <w:multiLevelType w:val="hybridMultilevel"/>
    <w:tmpl w:val="0E02AB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00000017"/>
    <w:multiLevelType w:val="hybridMultilevel"/>
    <w:tmpl w:val="9B5A5B36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  <w:sz w:val="20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00000018"/>
    <w:multiLevelType w:val="hybridMultilevel"/>
    <w:tmpl w:val="88FCBA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00000019"/>
    <w:multiLevelType w:val="hybridMultilevel"/>
    <w:tmpl w:val="95BE39AA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0000001A"/>
    <w:multiLevelType w:val="multilevel"/>
    <w:tmpl w:val="8B54BD46"/>
    <w:lvl w:ilvl="0">
      <w:start w:val="1"/>
      <w:numFmt w:val="bullet"/>
      <w:lvlText w:val="-"/>
      <w:lvlJc w:val="left"/>
      <w:pPr>
        <w:tabs>
          <w:tab w:val="left" w:pos="360"/>
        </w:tabs>
        <w:ind w:left="360" w:hanging="360"/>
      </w:pPr>
      <w:rPr>
        <w:rFonts w:ascii="Times New Roman" w:eastAsia="Times New Roman" w:hAnsi="Times New Roman" w:cs="Times New Roman" w:hint="default"/>
        <w:sz w:val="20"/>
      </w:rPr>
    </w:lvl>
    <w:lvl w:ilvl="1">
      <w:start w:val="2"/>
      <w:numFmt w:val="decimal"/>
      <w:lvlText w:val="%2."/>
      <w:lvlJc w:val="left"/>
      <w:pPr>
        <w:ind w:left="360" w:hanging="360"/>
      </w:pPr>
      <w:rPr>
        <w:rFonts w:hint="default"/>
        <w:color w:val="000000"/>
      </w:rPr>
    </w:lvl>
    <w:lvl w:ilvl="2" w:tentative="1">
      <w:start w:val="1"/>
      <w:numFmt w:val="bullet"/>
      <w:lvlText w:val=""/>
      <w:lvlJc w:val="left"/>
      <w:pPr>
        <w:tabs>
          <w:tab w:val="left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0000001B"/>
    <w:multiLevelType w:val="hybridMultilevel"/>
    <w:tmpl w:val="E21867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0000001C"/>
    <w:multiLevelType w:val="multilevel"/>
    <w:tmpl w:val="A9AA7C02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0000001D"/>
    <w:multiLevelType w:val="hybridMultilevel"/>
    <w:tmpl w:val="3E22F1B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0000001E"/>
    <w:multiLevelType w:val="hybridMultilevel"/>
    <w:tmpl w:val="48568F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0000001F"/>
    <w:multiLevelType w:val="hybridMultilevel"/>
    <w:tmpl w:val="BE7639D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00000020"/>
    <w:multiLevelType w:val="hybridMultilevel"/>
    <w:tmpl w:val="ECB6C72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00000021"/>
    <w:multiLevelType w:val="multilevel"/>
    <w:tmpl w:val="B8BA329A"/>
    <w:lvl w:ilvl="0">
      <w:start w:val="1"/>
      <w:numFmt w:val="bullet"/>
      <w:lvlText w:val="-"/>
      <w:lvlJc w:val="left"/>
      <w:pPr>
        <w:tabs>
          <w:tab w:val="left" w:pos="360"/>
        </w:tabs>
        <w:ind w:left="360" w:hanging="360"/>
      </w:pPr>
      <w:rPr>
        <w:rFonts w:ascii="Times New Roman" w:eastAsia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00000022"/>
    <w:multiLevelType w:val="hybridMultilevel"/>
    <w:tmpl w:val="F7E2610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00000023"/>
    <w:multiLevelType w:val="hybridMultilevel"/>
    <w:tmpl w:val="B842558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00000024"/>
    <w:multiLevelType w:val="hybridMultilevel"/>
    <w:tmpl w:val="E0A0DAB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00000025"/>
    <w:multiLevelType w:val="hybridMultilevel"/>
    <w:tmpl w:val="4E92B2D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00000026"/>
    <w:multiLevelType w:val="hybridMultilevel"/>
    <w:tmpl w:val="6870069C"/>
    <w:lvl w:ilvl="0" w:tplc="AAD6473E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00000027"/>
    <w:multiLevelType w:val="multilevel"/>
    <w:tmpl w:val="EA66FB76"/>
    <w:lvl w:ilvl="0">
      <w:start w:val="1"/>
      <w:numFmt w:val="bullet"/>
      <w:lvlText w:val="-"/>
      <w:lvlJc w:val="left"/>
      <w:pPr>
        <w:tabs>
          <w:tab w:val="left" w:pos="360"/>
        </w:tabs>
        <w:ind w:left="360" w:hanging="360"/>
      </w:pPr>
      <w:rPr>
        <w:rFonts w:ascii="Times New Roman" w:eastAsia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00000028"/>
    <w:multiLevelType w:val="hybridMultilevel"/>
    <w:tmpl w:val="12163298"/>
    <w:lvl w:ilvl="0" w:tplc="733A16C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00000029"/>
    <w:multiLevelType w:val="hybridMultilevel"/>
    <w:tmpl w:val="B0180E3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 w15:restartNumberingAfterBreak="0">
    <w:nsid w:val="0000002A"/>
    <w:multiLevelType w:val="hybridMultilevel"/>
    <w:tmpl w:val="A0ECE4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0000002B"/>
    <w:multiLevelType w:val="hybridMultilevel"/>
    <w:tmpl w:val="FC96B8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0000002C"/>
    <w:multiLevelType w:val="hybridMultilevel"/>
    <w:tmpl w:val="6D9C6FE2"/>
    <w:lvl w:ilvl="0" w:tplc="6510A4F2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0000002D"/>
    <w:multiLevelType w:val="hybridMultilevel"/>
    <w:tmpl w:val="11846E3E"/>
    <w:lvl w:ilvl="0" w:tplc="CC2EBB9E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5" w15:restartNumberingAfterBreak="0">
    <w:nsid w:val="0000002E"/>
    <w:multiLevelType w:val="hybridMultilevel"/>
    <w:tmpl w:val="4E046A2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43415DE4"/>
    <w:multiLevelType w:val="multilevel"/>
    <w:tmpl w:val="85DCAFA6"/>
    <w:lvl w:ilvl="0">
      <w:start w:val="1"/>
      <w:numFmt w:val="bullet"/>
      <w:lvlText w:val="-"/>
      <w:lvlJc w:val="left"/>
      <w:pPr>
        <w:tabs>
          <w:tab w:val="left" w:pos="360"/>
        </w:tabs>
        <w:ind w:left="360" w:hanging="360"/>
      </w:pPr>
      <w:rPr>
        <w:rFonts w:ascii="Times New Roman" w:eastAsia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pos="6120"/>
        </w:tabs>
        <w:ind w:left="6120" w:hanging="360"/>
      </w:pPr>
      <w:rPr>
        <w:rFonts w:ascii="Wingdings" w:hAnsi="Wingdings" w:hint="default"/>
        <w:sz w:val="20"/>
      </w:rPr>
    </w:lvl>
  </w:abstractNum>
  <w:num w:numId="1">
    <w:abstractNumId w:val="25"/>
  </w:num>
  <w:num w:numId="2">
    <w:abstractNumId w:val="41"/>
  </w:num>
  <w:num w:numId="3">
    <w:abstractNumId w:val="18"/>
  </w:num>
  <w:num w:numId="4">
    <w:abstractNumId w:val="28"/>
  </w:num>
  <w:num w:numId="5">
    <w:abstractNumId w:val="26"/>
  </w:num>
  <w:num w:numId="6">
    <w:abstractNumId w:val="23"/>
  </w:num>
  <w:num w:numId="7">
    <w:abstractNumId w:val="17"/>
  </w:num>
  <w:num w:numId="8">
    <w:abstractNumId w:val="14"/>
  </w:num>
  <w:num w:numId="9">
    <w:abstractNumId w:val="39"/>
  </w:num>
  <w:num w:numId="10">
    <w:abstractNumId w:val="31"/>
  </w:num>
  <w:num w:numId="11">
    <w:abstractNumId w:val="2"/>
  </w:num>
  <w:num w:numId="12">
    <w:abstractNumId w:val="24"/>
  </w:num>
  <w:num w:numId="13">
    <w:abstractNumId w:val="45"/>
  </w:num>
  <w:num w:numId="14">
    <w:abstractNumId w:val="42"/>
  </w:num>
  <w:num w:numId="15">
    <w:abstractNumId w:val="9"/>
  </w:num>
  <w:num w:numId="1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43"/>
  </w:num>
  <w:num w:numId="18">
    <w:abstractNumId w:val="12"/>
  </w:num>
  <w:num w:numId="19">
    <w:abstractNumId w:val="37"/>
  </w:num>
  <w:num w:numId="20">
    <w:abstractNumId w:val="3"/>
  </w:num>
  <w:num w:numId="21">
    <w:abstractNumId w:val="21"/>
  </w:num>
  <w:num w:numId="22">
    <w:abstractNumId w:val="44"/>
  </w:num>
  <w:num w:numId="23">
    <w:abstractNumId w:val="16"/>
  </w:num>
  <w:num w:numId="24">
    <w:abstractNumId w:val="35"/>
  </w:num>
  <w:num w:numId="25">
    <w:abstractNumId w:val="36"/>
  </w:num>
  <w:num w:numId="26">
    <w:abstractNumId w:val="0"/>
  </w:num>
  <w:num w:numId="27">
    <w:abstractNumId w:val="33"/>
  </w:num>
  <w:num w:numId="28">
    <w:abstractNumId w:val="5"/>
  </w:num>
  <w:num w:numId="29">
    <w:abstractNumId w:val="34"/>
  </w:num>
  <w:num w:numId="30">
    <w:abstractNumId w:val="22"/>
  </w:num>
  <w:num w:numId="31">
    <w:abstractNumId w:val="6"/>
  </w:num>
  <w:num w:numId="32">
    <w:abstractNumId w:val="1"/>
  </w:num>
  <w:num w:numId="33">
    <w:abstractNumId w:val="40"/>
  </w:num>
  <w:num w:numId="34">
    <w:abstractNumId w:val="30"/>
  </w:num>
  <w:num w:numId="35">
    <w:abstractNumId w:val="8"/>
  </w:num>
  <w:num w:numId="36">
    <w:abstractNumId w:val="29"/>
  </w:num>
  <w:num w:numId="37">
    <w:abstractNumId w:val="10"/>
  </w:num>
  <w:num w:numId="38">
    <w:abstractNumId w:val="15"/>
  </w:num>
  <w:num w:numId="39">
    <w:abstractNumId w:val="20"/>
  </w:num>
  <w:num w:numId="40">
    <w:abstractNumId w:val="13"/>
  </w:num>
  <w:num w:numId="41">
    <w:abstractNumId w:val="19"/>
  </w:num>
  <w:num w:numId="42">
    <w:abstractNumId w:val="32"/>
  </w:num>
  <w:num w:numId="43">
    <w:abstractNumId w:val="7"/>
  </w:num>
  <w:num w:numId="44">
    <w:abstractNumId w:val="46"/>
  </w:num>
  <w:num w:numId="45">
    <w:abstractNumId w:val="4"/>
  </w:num>
  <w:num w:numId="46">
    <w:abstractNumId w:val="11"/>
  </w:num>
  <w:num w:numId="47">
    <w:abstractNumId w:val="27"/>
  </w:num>
  <w:num w:numId="48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6751"/>
    <w:rsid w:val="00373AAB"/>
    <w:rsid w:val="00482BD8"/>
    <w:rsid w:val="005005F4"/>
    <w:rsid w:val="00510AC7"/>
    <w:rsid w:val="00552B42"/>
    <w:rsid w:val="00782C9C"/>
    <w:rsid w:val="007C523F"/>
    <w:rsid w:val="008B7E15"/>
    <w:rsid w:val="008E5E70"/>
    <w:rsid w:val="00976751"/>
    <w:rsid w:val="00AE5CF5"/>
    <w:rsid w:val="00B40230"/>
    <w:rsid w:val="00BC0680"/>
    <w:rsid w:val="00D0181E"/>
    <w:rsid w:val="00DD3A13"/>
    <w:rsid w:val="00EC20B3"/>
    <w:rsid w:val="00F5080A"/>
    <w:rsid w:val="00F722FC"/>
    <w:rsid w:val="00FA1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947FC0"/>
  <w15:docId w15:val="{923AC334-936A-4814-A6FC-B48317668A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cs="Times New Roman"/>
      <w:lang w:val="sq-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spacing w:after="0" w:line="240" w:lineRule="auto"/>
      <w:jc w:val="right"/>
      <w:outlineLvl w:val="1"/>
    </w:pPr>
    <w:rPr>
      <w:rFonts w:ascii="Times New Roman" w:eastAsia="Times New Roman" w:hAnsi="Times New Roman"/>
      <w:sz w:val="28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40" w:after="0"/>
      <w:outlineLvl w:val="2"/>
    </w:pPr>
    <w:rPr>
      <w:rFonts w:ascii="Cambria" w:eastAsia="SimSun" w:hAnsi="Cambria" w:cs="SimSun"/>
      <w:color w:val="243F6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Pr>
      <w:rFonts w:ascii="Times New Roman" w:eastAsia="Times New Roman" w:hAnsi="Times New Roman" w:cs="Times New Roman"/>
      <w:sz w:val="28"/>
      <w:szCs w:val="24"/>
    </w:rPr>
  </w:style>
  <w:style w:type="paragraph" w:styleId="Title">
    <w:name w:val="Title"/>
    <w:basedOn w:val="Normal"/>
    <w:link w:val="TitleChar"/>
    <w:uiPriority w:val="10"/>
    <w:qFormat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0"/>
    </w:rPr>
  </w:style>
  <w:style w:type="character" w:customStyle="1" w:styleId="TitleChar">
    <w:name w:val="Title Char"/>
    <w:basedOn w:val="DefaultParagraphFont"/>
    <w:link w:val="Title"/>
    <w:rPr>
      <w:rFonts w:ascii="Times New Roman" w:eastAsia="Times New Roman" w:hAnsi="Times New Roman" w:cs="Times New Roman"/>
      <w:b/>
      <w:sz w:val="24"/>
      <w:szCs w:val="20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rPr>
      <w:color w:val="0000FF"/>
      <w:u w:val="single"/>
    </w:rPr>
  </w:style>
  <w:style w:type="paragraph" w:styleId="NoSpacing">
    <w:name w:val="No Spacing"/>
    <w:uiPriority w:val="1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link w:val="ListParagraphChar"/>
    <w:uiPriority w:val="99"/>
    <w:qFormat/>
    <w:pPr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Pr>
      <w:rFonts w:ascii="Segoe UI" w:eastAsia="Calibri" w:hAnsi="Segoe UI" w:cs="Segoe UI"/>
      <w:sz w:val="18"/>
      <w:szCs w:val="18"/>
    </w:rPr>
  </w:style>
  <w:style w:type="paragraph" w:styleId="HTMLPreformatted">
    <w:name w:val="HTML Preformatted"/>
    <w:basedOn w:val="Normal"/>
    <w:link w:val="HTMLPreformattedChar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Pr>
      <w:rFonts w:ascii="Courier New" w:eastAsia="Times New Roman" w:hAnsi="Courier New" w:cs="Courier New"/>
      <w:sz w:val="20"/>
      <w:szCs w:val="20"/>
    </w:rPr>
  </w:style>
  <w:style w:type="character" w:customStyle="1" w:styleId="ListParagraphChar">
    <w:name w:val="List Paragraph Char"/>
    <w:link w:val="ListParagraph"/>
    <w:uiPriority w:val="34"/>
    <w:qFormat/>
    <w:rPr>
      <w:rFonts w:ascii="Calibri" w:eastAsia="Calibri" w:hAnsi="Calibri" w:cs="Times New Roman"/>
    </w:rPr>
  </w:style>
  <w:style w:type="character" w:styleId="CommentReference">
    <w:name w:val="annotation reference"/>
    <w:uiPriority w:val="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pPr>
      <w:spacing w:after="16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Calibri" w:eastAsia="Calibri" w:hAnsi="Calibri" w:cs="Times New Roman"/>
      <w:sz w:val="20"/>
      <w:szCs w:val="20"/>
    </w:rPr>
  </w:style>
  <w:style w:type="character" w:customStyle="1" w:styleId="cf01">
    <w:name w:val="cf01"/>
    <w:rPr>
      <w:rFonts w:ascii="Segoe UI" w:eastAsia="Calibri" w:hAnsi="Segoe UI" w:cs="Segoe UI" w:hint="default"/>
      <w:sz w:val="18"/>
      <w:szCs w:val="18"/>
    </w:rPr>
  </w:style>
  <w:style w:type="paragraph" w:customStyle="1" w:styleId="v1msoplaintext">
    <w:name w:val="v1msoplaintext"/>
    <w:basedOn w:val="Normal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en-GB"/>
    </w:rPr>
  </w:style>
  <w:style w:type="character" w:customStyle="1" w:styleId="ParagrafiChar">
    <w:name w:val="Paragrafi Char"/>
    <w:link w:val="Paragrafi"/>
    <w:rPr>
      <w:rFonts w:ascii="CG Times" w:hAnsi="CG Times"/>
      <w:szCs w:val="24"/>
    </w:rPr>
  </w:style>
  <w:style w:type="paragraph" w:customStyle="1" w:styleId="Paragrafi">
    <w:name w:val="Paragrafi"/>
    <w:link w:val="ParagrafiChar"/>
    <w:pPr>
      <w:widowControl w:val="0"/>
      <w:spacing w:after="0" w:line="240" w:lineRule="auto"/>
      <w:ind w:firstLine="720"/>
      <w:jc w:val="both"/>
    </w:pPr>
    <w:rPr>
      <w:rFonts w:ascii="CG Times" w:hAnsi="CG Times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pPr>
      <w:spacing w:after="200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Pr>
      <w:rFonts w:ascii="Calibri" w:eastAsia="Calibri" w:hAnsi="Calibri" w:cs="Times New Roman"/>
      <w:b/>
      <w:bCs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="Cambria" w:eastAsia="SimSun" w:hAnsi="Cambria" w:cs="SimSun"/>
      <w:color w:val="243F60"/>
      <w:sz w:val="24"/>
      <w:szCs w:val="24"/>
    </w:rPr>
  </w:style>
  <w:style w:type="character" w:styleId="Strong">
    <w:name w:val="Strong"/>
    <w:basedOn w:val="DefaultParagraphFont"/>
    <w:uiPriority w:val="22"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1504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customXml" Target="../customXml/item13.xml"/><Relationship Id="rId18" Type="http://schemas.openxmlformats.org/officeDocument/2006/relationships/customXml" Target="../customXml/item18.xml"/><Relationship Id="rId26" Type="http://schemas.openxmlformats.org/officeDocument/2006/relationships/footnotes" Target="footnotes.xml"/><Relationship Id="rId3" Type="http://schemas.openxmlformats.org/officeDocument/2006/relationships/customXml" Target="../customXml/item3.xml"/><Relationship Id="rId21" Type="http://schemas.openxmlformats.org/officeDocument/2006/relationships/customXml" Target="../customXml/item21.xml"/><Relationship Id="rId7" Type="http://schemas.openxmlformats.org/officeDocument/2006/relationships/customXml" Target="../customXml/item7.xml"/><Relationship Id="rId12" Type="http://schemas.openxmlformats.org/officeDocument/2006/relationships/customXml" Target="../customXml/item12.xml"/><Relationship Id="rId17" Type="http://schemas.openxmlformats.org/officeDocument/2006/relationships/customXml" Target="../customXml/item17.xml"/><Relationship Id="rId25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customXml" Target="../customXml/item16.xml"/><Relationship Id="rId20" Type="http://schemas.openxmlformats.org/officeDocument/2006/relationships/customXml" Target="../customXml/item20.xm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customXml" Target="../customXml/item11.xml"/><Relationship Id="rId24" Type="http://schemas.openxmlformats.org/officeDocument/2006/relationships/settings" Target="settings.xml"/><Relationship Id="rId5" Type="http://schemas.openxmlformats.org/officeDocument/2006/relationships/customXml" Target="../customXml/item5.xml"/><Relationship Id="rId15" Type="http://schemas.openxmlformats.org/officeDocument/2006/relationships/customXml" Target="../customXml/item15.xml"/><Relationship Id="rId23" Type="http://schemas.openxmlformats.org/officeDocument/2006/relationships/styles" Target="styles.xml"/><Relationship Id="rId28" Type="http://schemas.openxmlformats.org/officeDocument/2006/relationships/fontTable" Target="fontTable.xml"/><Relationship Id="rId10" Type="http://schemas.openxmlformats.org/officeDocument/2006/relationships/customXml" Target="../customXml/item10.xml"/><Relationship Id="rId19" Type="http://schemas.openxmlformats.org/officeDocument/2006/relationships/customXml" Target="../customXml/item19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customXml" Target="../customXml/item14.xml"/><Relationship Id="rId22" Type="http://schemas.openxmlformats.org/officeDocument/2006/relationships/numbering" Target="numbering.xml"/><Relationship Id="rId27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_rels/item1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.xml"/></Relationships>
</file>

<file path=customXml/_rels/item1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2.xml"/></Relationships>
</file>

<file path=customXml/_rels/item1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3.xml"/></Relationships>
</file>

<file path=customXml/_rels/item1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4.xml"/></Relationships>
</file>

<file path=customXml/_rels/item1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5.xml"/></Relationships>
</file>

<file path=customXml/_rels/item1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6.xml"/></Relationships>
</file>

<file path=customXml/_rels/item1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7.xml"/></Relationships>
</file>

<file path=customXml/_rels/item1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8.xml"/></Relationships>
</file>

<file path=customXml/_rels/item1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9.xml"/></Relationships>
</file>

<file path=customXml/_rels/item2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0.xml"/></Relationships>
</file>

<file path=customXml/_rels/item2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1.xml"/></Relationships>
</file>

<file path=customXml/item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77</Nr_x002e__x0020_akti>
    <Data_x0020_e_x0020_Krijimit xmlns="0e656187-b300-4fb0-8bf4-3a50f872073c">2025-05-05T08:15:23Z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2025-05-02T00:00:00Z</Date_x0020_protokolli>
    <Titulli xmlns="0e656187-b300-4fb0-8bf4-3a50f872073c">Mbi dhënien e autorizimit nga ERE për vendosjen e transferimit nëpërmjet vendosjes së barrës siguruese të aseteve fikse të shoqërisë “M.C. ENERGJI GOJAN” sh.a.</Titulli>
    <Modifikuesi xmlns="0e656187-b300-4fb0-8bf4-3a50f872073c">Fjora.Cahani</Modifikuesi>
    <Nr_x002e__x0020_prot_x0020_QBZ xmlns="0e656187-b300-4fb0-8bf4-3a50f872073c">716/3</Nr_x002e__x0020_prot_x0020_QBZ>
    <Data_x0020_e_x0020_Modifikimit xmlns="0e656187-b300-4fb0-8bf4-3a50f872073c">2025-05-05T12:12:59Z</Data_x0020_e_x0020_Modifikimit>
    <Dekretuar xmlns="0e656187-b300-4fb0-8bf4-3a50f872073c">false</Dekretuar>
    <Data xmlns="0e656187-b300-4fb0-8bf4-3a50f872073c">2025-04-14T00:00:00Z</Data>
    <Nr_x002e__x0020_protokolli_x0020_i_x0020_aktit xmlns="0e656187-b300-4fb0-8bf4-3a50f872073c">1655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5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6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7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8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9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0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1E63279893541C29805C039C530CF4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1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5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6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7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8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9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0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1E63279893541C29805C039C530CF4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8C7C23-0565-4BFE-828D-435316E6A188}">
  <ds:schemaRefs>
    <ds:schemaRef ds:uri="http://www.wps.cn/android/officeDocument/2013/mofficeCustomData"/>
  </ds:schemaRefs>
</ds:datastoreItem>
</file>

<file path=customXml/itemProps2.xml><?xml version="1.0" encoding="utf-8"?>
<ds:datastoreItem xmlns:ds="http://schemas.openxmlformats.org/officeDocument/2006/customXml" ds:itemID="{C2C62603-ACC8-4D73-ABF0-135BA4EADF14}">
  <ds:schemaRefs>
    <ds:schemaRef ds:uri="http://www.wps.cn/android/officeDocument/2013/mofficeCustomData"/>
  </ds:schemaRefs>
</ds:datastoreItem>
</file>

<file path=customXml/itemProps3.xml><?xml version="1.0" encoding="utf-8"?>
<ds:datastoreItem xmlns:ds="http://schemas.openxmlformats.org/officeDocument/2006/customXml" ds:itemID="{B9480AEA-830C-4A78-A247-B6638DCA68BC}">
  <ds:schemaRefs>
    <ds:schemaRef ds:uri="http://www.w3.org/XML/1998/namespace"/>
    <ds:schemaRef ds:uri="http://schemas.microsoft.com/office/2006/documentManagement/types"/>
    <ds:schemaRef ds:uri="http://schemas.microsoft.com/office/2006/metadata/properties"/>
    <ds:schemaRef ds:uri="http://purl.org/dc/terms/"/>
    <ds:schemaRef ds:uri="0e656187-b300-4fb0-8bf4-3a50f872073c"/>
    <ds:schemaRef ds:uri="http://purl.org/dc/dcmitype/"/>
    <ds:schemaRef ds:uri="http://schemas.openxmlformats.org/package/2006/metadata/core-properties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82186CAF-6CC4-4ECD-AB44-D44DB1DBDDB8}">
  <ds:schemaRefs>
    <ds:schemaRef ds:uri="http://www.wps.cn/android/officeDocument/2013/mofficeCustomData"/>
  </ds:schemaRefs>
</ds:datastoreItem>
</file>

<file path=customXml/itemProps5.xml><?xml version="1.0" encoding="utf-8"?>
<ds:datastoreItem xmlns:ds="http://schemas.openxmlformats.org/officeDocument/2006/customXml" ds:itemID="{1C30A16F-8525-44FA-8672-5F0EF36708EA}">
  <ds:schemaRefs>
    <ds:schemaRef ds:uri="http://www.wps.cn/android/officeDocument/2013/mofficeCustomData"/>
  </ds:schemaRefs>
</ds:datastoreItem>
</file>

<file path=customXml/itemProps6.xml><?xml version="1.0" encoding="utf-8"?>
<ds:datastoreItem xmlns:ds="http://schemas.openxmlformats.org/officeDocument/2006/customXml" ds:itemID="{AB8EB403-DCB6-4113-93AA-A92ACD7971A0}">
  <ds:schemaRefs>
    <ds:schemaRef ds:uri="http://www.wps.cn/android/officeDocument/2013/mofficeCustomData"/>
  </ds:schemaRefs>
</ds:datastoreItem>
</file>

<file path=customXml/itemProps7.xml><?xml version="1.0" encoding="utf-8"?>
<ds:datastoreItem xmlns:ds="http://schemas.openxmlformats.org/officeDocument/2006/customXml" ds:itemID="{FAD9AD2C-46F8-4D48-B607-D7B05E2486B6}">
  <ds:schemaRefs>
    <ds:schemaRef ds:uri="http://www.wps.cn/android/officeDocument/2013/mofficeCustomData"/>
  </ds:schemaRefs>
</ds:datastoreItem>
</file>

<file path=customXml/itemProps8.xml><?xml version="1.0" encoding="utf-8"?>
<ds:datastoreItem xmlns:ds="http://schemas.openxmlformats.org/officeDocument/2006/customXml" ds:itemID="{6BAACE61-15A3-4D6B-8DF5-7E3F47B04E9F}">
  <ds:schemaRefs>
    <ds:schemaRef ds:uri="http://schemas.microsoft.com/sharepoint/v3/contenttype/forms"/>
  </ds:schemaRefs>
</ds:datastoreItem>
</file>

<file path=customXml/itemProps9.xml><?xml version="1.0" encoding="utf-8"?>
<ds:datastoreItem xmlns:ds="http://schemas.openxmlformats.org/officeDocument/2006/customXml" ds:itemID="{FD90CA71-3AD4-4B51-B0C7-F267714A86AE}">
  <ds:schemaRefs>
    <ds:schemaRef ds:uri="http://www.wps.cn/android/officeDocument/2013/mofficeCustomData"/>
  </ds:schemaRefs>
</ds:datastoreItem>
</file>

<file path=customXml/itemProps10.xml><?xml version="1.0" encoding="utf-8"?>
<ds:datastoreItem xmlns:ds="http://schemas.openxmlformats.org/officeDocument/2006/customXml" ds:itemID="{A05D29B5-3AD2-47D7-BC66-B633BA2BB3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11.xml><?xml version="1.0" encoding="utf-8"?>
<ds:datastoreItem xmlns:ds="http://schemas.openxmlformats.org/officeDocument/2006/customXml" ds:itemID="{54C306D6-929F-4B5B-BC33-A88A73B03632}">
  <ds:schemaRefs>
    <ds:schemaRef ds:uri="http://www.wps.cn/android/officeDocument/2013/mofficeCustomData"/>
  </ds:schemaRefs>
</ds:datastoreItem>
</file>

<file path=customXml/itemProps12.xml><?xml version="1.0" encoding="utf-8"?>
<ds:datastoreItem xmlns:ds="http://schemas.openxmlformats.org/officeDocument/2006/customXml" ds:itemID="{941FA459-7C42-442F-BE87-83B71C44BEF1}">
  <ds:schemaRefs>
    <ds:schemaRef ds:uri="http://www.wps.cn/android/officeDocument/2013/mofficeCustomData"/>
  </ds:schemaRefs>
</ds:datastoreItem>
</file>

<file path=customXml/itemProps13.xml><?xml version="1.0" encoding="utf-8"?>
<ds:datastoreItem xmlns:ds="http://schemas.openxmlformats.org/officeDocument/2006/customXml" ds:itemID="{86D436B5-C9DA-4E0F-B2A8-DC3E5B3B7B05}">
  <ds:schemaRefs>
    <ds:schemaRef ds:uri="http://www.wps.cn/android/officeDocument/2013/mofficeCustomData"/>
  </ds:schemaRefs>
</ds:datastoreItem>
</file>

<file path=customXml/itemProps14.xml><?xml version="1.0" encoding="utf-8"?>
<ds:datastoreItem xmlns:ds="http://schemas.openxmlformats.org/officeDocument/2006/customXml" ds:itemID="{4E6143BF-D466-4BA4-9E03-8874090823B6}">
  <ds:schemaRefs>
    <ds:schemaRef ds:uri="http://www.wps.cn/android/officeDocument/2013/mofficeCustomData"/>
  </ds:schemaRefs>
</ds:datastoreItem>
</file>

<file path=customXml/itemProps15.xml><?xml version="1.0" encoding="utf-8"?>
<ds:datastoreItem xmlns:ds="http://schemas.openxmlformats.org/officeDocument/2006/customXml" ds:itemID="{2F057EB1-BEB4-4E65-9297-1D1E373FF19C}">
  <ds:schemaRefs>
    <ds:schemaRef ds:uri="http://www.wps.cn/android/officeDocument/2013/mofficeCustomData"/>
  </ds:schemaRefs>
</ds:datastoreItem>
</file>

<file path=customXml/itemProps16.xml><?xml version="1.0" encoding="utf-8"?>
<ds:datastoreItem xmlns:ds="http://schemas.openxmlformats.org/officeDocument/2006/customXml" ds:itemID="{F5A74773-3B9E-4A04-8385-40173331D30D}">
  <ds:schemaRefs>
    <ds:schemaRef ds:uri="http://www.wps.cn/android/officeDocument/2013/mofficeCustomData"/>
  </ds:schemaRefs>
</ds:datastoreItem>
</file>

<file path=customXml/itemProps17.xml><?xml version="1.0" encoding="utf-8"?>
<ds:datastoreItem xmlns:ds="http://schemas.openxmlformats.org/officeDocument/2006/customXml" ds:itemID="{5EA21430-46DE-4D68-A957-A88874883FB5}">
  <ds:schemaRefs>
    <ds:schemaRef ds:uri="http://www.wps.cn/android/officeDocument/2013/mofficeCustomData"/>
  </ds:schemaRefs>
</ds:datastoreItem>
</file>

<file path=customXml/itemProps18.xml><?xml version="1.0" encoding="utf-8"?>
<ds:datastoreItem xmlns:ds="http://schemas.openxmlformats.org/officeDocument/2006/customXml" ds:itemID="{AFF0C771-D6A8-4002-8DEF-B37530C8CBC1}">
  <ds:schemaRefs>
    <ds:schemaRef ds:uri="http://www.wps.cn/android/officeDocument/2013/mofficeCustomData"/>
  </ds:schemaRefs>
</ds:datastoreItem>
</file>

<file path=customXml/itemProps19.xml><?xml version="1.0" encoding="utf-8"?>
<ds:datastoreItem xmlns:ds="http://schemas.openxmlformats.org/officeDocument/2006/customXml" ds:itemID="{70C5BDC8-8F9A-4910-8A29-F2FBA3CB4C44}">
  <ds:schemaRefs>
    <ds:schemaRef ds:uri="http://schemas.microsoft.com/sharepoint/v3/contenttype/forms"/>
  </ds:schemaRefs>
</ds:datastoreItem>
</file>

<file path=customXml/itemProps20.xml><?xml version="1.0" encoding="utf-8"?>
<ds:datastoreItem xmlns:ds="http://schemas.openxmlformats.org/officeDocument/2006/customXml" ds:itemID="{0358C08A-B281-4247-B821-8BEF32D005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1.xml><?xml version="1.0" encoding="utf-8"?>
<ds:datastoreItem xmlns:ds="http://schemas.openxmlformats.org/officeDocument/2006/customXml" ds:itemID="{22C63FF8-5BCE-474F-B968-9220D7E747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953</Words>
  <Characters>5434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dhënien e autorizimit nga ERE për vendosjen e transferimit nëpërmjet vendosjes së barrës siguruese të aseteve fikse të shoqërisë “M.C. ENERGJI GOJAN” sh.a.</vt:lpstr>
    </vt:vector>
  </TitlesOfParts>
  <Company>Dpa</Company>
  <LinksUpToDate>false</LinksUpToDate>
  <CharactersWithSpaces>6375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dhënien e autorizimit nga ERE për vendosjen e transferimit nëpërmjet vendosjes së barrës siguruese të aseteve fikse të shoqërisë “M.C. ENERGJI GOJAN” sh.a.</dc:title>
  <dc:creator>DJZM</dc:creator>
  <cp:lastModifiedBy>Valeta Kaftalli</cp:lastModifiedBy>
  <cp:revision>6</cp:revision>
  <cp:lastPrinted>2024-06-10T14:29:00Z</cp:lastPrinted>
  <dcterms:created xsi:type="dcterms:W3CDTF">2025-04-29T10:14:00Z</dcterms:created>
  <dcterms:modified xsi:type="dcterms:W3CDTF">2025-05-06T10:22:00Z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d2fec7aff1fa47f7a262360725fcbd22</vt:lpwstr>
  </property>
</Properties>
</file>