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08EDE5" w14:textId="77777777" w:rsidR="00271E32" w:rsidRPr="009F1725" w:rsidRDefault="00271E32" w:rsidP="00271E32">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9F1725">
        <w:rPr>
          <w:rFonts w:ascii="Garamond" w:eastAsiaTheme="minorHAnsi" w:hAnsi="Garamond" w:cs="Times New Roman"/>
          <w:b/>
          <w:bCs/>
          <w:color w:val="000000"/>
          <w:sz w:val="24"/>
          <w:szCs w:val="24"/>
        </w:rPr>
        <w:t>VENDIM</w:t>
      </w:r>
    </w:p>
    <w:p w14:paraId="169B67B3" w14:textId="4482A2B8" w:rsidR="00271E32" w:rsidRPr="009F1725" w:rsidRDefault="00271E32" w:rsidP="00271E32">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9F1725">
        <w:rPr>
          <w:rFonts w:ascii="Garamond" w:eastAsiaTheme="minorHAnsi" w:hAnsi="Garamond" w:cs="Times New Roman"/>
          <w:b/>
          <w:bCs/>
          <w:color w:val="000000"/>
          <w:sz w:val="24"/>
          <w:szCs w:val="24"/>
        </w:rPr>
        <w:t>Nr. 112, datë 23.5.2025</w:t>
      </w:r>
    </w:p>
    <w:p w14:paraId="62E5FB04" w14:textId="77777777" w:rsidR="00271E32" w:rsidRPr="009F1725" w:rsidRDefault="00271E32" w:rsidP="00271E32">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28D8F046" w14:textId="0567F602" w:rsidR="00271E32" w:rsidRPr="009F1725" w:rsidRDefault="00271E32" w:rsidP="00271E32">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9F1725">
        <w:rPr>
          <w:rFonts w:ascii="Garamond" w:eastAsiaTheme="minorHAnsi" w:hAnsi="Garamond" w:cs="Times New Roman"/>
          <w:b/>
          <w:bCs/>
          <w:color w:val="000000"/>
          <w:sz w:val="24"/>
          <w:szCs w:val="24"/>
        </w:rPr>
        <w:t xml:space="preserve">MBI LLOGARITJEN E PAGESAVE </w:t>
      </w:r>
      <w:proofErr w:type="spellStart"/>
      <w:r w:rsidRPr="009F1725">
        <w:rPr>
          <w:rFonts w:ascii="Garamond" w:eastAsiaTheme="minorHAnsi" w:hAnsi="Garamond" w:cs="Times New Roman"/>
          <w:b/>
          <w:bCs/>
          <w:color w:val="000000"/>
          <w:sz w:val="24"/>
          <w:szCs w:val="24"/>
        </w:rPr>
        <w:t>RREGULLATORE</w:t>
      </w:r>
      <w:proofErr w:type="spellEnd"/>
      <w:r w:rsidRPr="009F1725">
        <w:rPr>
          <w:rFonts w:ascii="Garamond" w:eastAsiaTheme="minorHAnsi" w:hAnsi="Garamond" w:cs="Times New Roman"/>
          <w:b/>
          <w:bCs/>
          <w:color w:val="000000"/>
          <w:sz w:val="24"/>
          <w:szCs w:val="24"/>
        </w:rPr>
        <w:t xml:space="preserve"> PËR VITIN 2025</w:t>
      </w:r>
    </w:p>
    <w:p w14:paraId="00556600" w14:textId="77777777" w:rsidR="00271E32" w:rsidRPr="009F1725" w:rsidRDefault="00271E32" w:rsidP="00271E32">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258684DF" w14:textId="60B28D93" w:rsidR="00271E32" w:rsidRPr="00D60C10"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60C10">
        <w:rPr>
          <w:rFonts w:ascii="Garamond" w:eastAsiaTheme="minorHAnsi" w:hAnsi="Garamond" w:cs="Times New Roman"/>
          <w:color w:val="000000"/>
          <w:sz w:val="24"/>
          <w:szCs w:val="24"/>
        </w:rPr>
        <w:t>Në mbështetje të nenit 17, pika 4, nenit 20, g</w:t>
      </w:r>
      <w:r w:rsidR="00D60C10" w:rsidRPr="00D60C10">
        <w:rPr>
          <w:rFonts w:ascii="Garamond" w:eastAsiaTheme="minorHAnsi" w:hAnsi="Garamond" w:cs="Times New Roman"/>
          <w:color w:val="000000"/>
          <w:sz w:val="24"/>
          <w:szCs w:val="24"/>
        </w:rPr>
        <w:t>e</w:t>
      </w:r>
      <w:r w:rsidRPr="00D60C10">
        <w:rPr>
          <w:rFonts w:ascii="Garamond" w:eastAsiaTheme="minorHAnsi" w:hAnsi="Garamond" w:cs="Times New Roman"/>
          <w:color w:val="000000"/>
          <w:sz w:val="24"/>
          <w:szCs w:val="24"/>
        </w:rPr>
        <w:t>rma “d”, nenit 35, pika 1, neneve 45 dhe 46, nenit 51, pika 2, g</w:t>
      </w:r>
      <w:r w:rsidR="00D60C10" w:rsidRPr="00D60C10">
        <w:rPr>
          <w:rFonts w:ascii="Garamond" w:eastAsiaTheme="minorHAnsi" w:hAnsi="Garamond" w:cs="Times New Roman"/>
          <w:color w:val="000000"/>
          <w:sz w:val="24"/>
          <w:szCs w:val="24"/>
        </w:rPr>
        <w:t>e</w:t>
      </w:r>
      <w:r w:rsidRPr="00D60C10">
        <w:rPr>
          <w:rFonts w:ascii="Garamond" w:eastAsiaTheme="minorHAnsi" w:hAnsi="Garamond" w:cs="Times New Roman"/>
          <w:color w:val="000000"/>
          <w:sz w:val="24"/>
          <w:szCs w:val="24"/>
        </w:rPr>
        <w:t xml:space="preserve">rma “dh”, të </w:t>
      </w:r>
      <w:r w:rsidR="00546659" w:rsidRPr="00D60C10">
        <w:rPr>
          <w:rFonts w:ascii="Garamond" w:eastAsiaTheme="minorHAnsi" w:hAnsi="Garamond" w:cs="Times New Roman"/>
          <w:color w:val="000000"/>
          <w:sz w:val="24"/>
          <w:szCs w:val="24"/>
        </w:rPr>
        <w:t>l</w:t>
      </w:r>
      <w:r w:rsidRPr="00D60C10">
        <w:rPr>
          <w:rFonts w:ascii="Garamond" w:eastAsiaTheme="minorHAnsi" w:hAnsi="Garamond" w:cs="Times New Roman"/>
          <w:color w:val="000000"/>
          <w:sz w:val="24"/>
          <w:szCs w:val="24"/>
        </w:rPr>
        <w:t>igjit nr. 43/2015, “</w:t>
      </w:r>
      <w:r w:rsidRPr="00D60C10">
        <w:rPr>
          <w:rFonts w:ascii="Garamond" w:eastAsiaTheme="minorHAnsi" w:hAnsi="Garamond" w:cs="Times New Roman"/>
          <w:iCs/>
          <w:color w:val="000000"/>
          <w:sz w:val="24"/>
          <w:szCs w:val="24"/>
        </w:rPr>
        <w:t>Për sektorin e energjisë elektrike</w:t>
      </w:r>
      <w:r w:rsidRPr="00D60C10">
        <w:rPr>
          <w:rFonts w:ascii="Garamond" w:eastAsiaTheme="minorHAnsi" w:hAnsi="Garamond" w:cs="Times New Roman"/>
          <w:color w:val="000000"/>
          <w:sz w:val="24"/>
          <w:szCs w:val="24"/>
        </w:rPr>
        <w:t xml:space="preserve">”, i ndryshuar; neneve 14 dhe 30, pika 3, nenit 31, pika 1, të </w:t>
      </w:r>
      <w:r w:rsidR="00546659" w:rsidRPr="00D60C10">
        <w:rPr>
          <w:rFonts w:ascii="Garamond" w:eastAsiaTheme="minorHAnsi" w:hAnsi="Garamond" w:cs="Times New Roman"/>
          <w:color w:val="000000"/>
          <w:sz w:val="24"/>
          <w:szCs w:val="24"/>
        </w:rPr>
        <w:t>l</w:t>
      </w:r>
      <w:r w:rsidRPr="00D60C10">
        <w:rPr>
          <w:rFonts w:ascii="Garamond" w:eastAsiaTheme="minorHAnsi" w:hAnsi="Garamond" w:cs="Times New Roman"/>
          <w:color w:val="000000"/>
          <w:sz w:val="24"/>
          <w:szCs w:val="24"/>
        </w:rPr>
        <w:t>igjit nr. 102/2015, “</w:t>
      </w:r>
      <w:r w:rsidRPr="00D60C10">
        <w:rPr>
          <w:rFonts w:ascii="Garamond" w:eastAsiaTheme="minorHAnsi" w:hAnsi="Garamond" w:cs="Times New Roman"/>
          <w:iCs/>
          <w:color w:val="000000"/>
          <w:sz w:val="24"/>
          <w:szCs w:val="24"/>
        </w:rPr>
        <w:t>Për sektorin e gazit natyror</w:t>
      </w:r>
      <w:r w:rsidRPr="00D60C10">
        <w:rPr>
          <w:rFonts w:ascii="Garamond" w:eastAsiaTheme="minorHAnsi" w:hAnsi="Garamond" w:cs="Times New Roman"/>
          <w:color w:val="000000"/>
          <w:sz w:val="24"/>
          <w:szCs w:val="24"/>
        </w:rPr>
        <w:t>”, i ndryshuar; nenit 5, pikat 5.2, 5.3 dhe 5.4, nenit 6, pikat 6.1, 6.1.1, g</w:t>
      </w:r>
      <w:r w:rsidR="00D60C10" w:rsidRPr="00D60C10">
        <w:rPr>
          <w:rFonts w:ascii="Garamond" w:eastAsiaTheme="minorHAnsi" w:hAnsi="Garamond" w:cs="Times New Roman"/>
          <w:color w:val="000000"/>
          <w:sz w:val="24"/>
          <w:szCs w:val="24"/>
        </w:rPr>
        <w:t>e</w:t>
      </w:r>
      <w:r w:rsidRPr="00D60C10">
        <w:rPr>
          <w:rFonts w:ascii="Garamond" w:eastAsiaTheme="minorHAnsi" w:hAnsi="Garamond" w:cs="Times New Roman"/>
          <w:color w:val="000000"/>
          <w:sz w:val="24"/>
          <w:szCs w:val="24"/>
        </w:rPr>
        <w:t xml:space="preserve">rmat “a”, “b” dhe “c”, 6.2, 6.3 dhe 6.4, të </w:t>
      </w:r>
      <w:r w:rsidR="00546659" w:rsidRPr="00D60C10">
        <w:rPr>
          <w:rFonts w:ascii="Garamond" w:eastAsiaTheme="minorHAnsi" w:hAnsi="Garamond" w:cs="Times New Roman"/>
          <w:color w:val="000000"/>
          <w:sz w:val="24"/>
          <w:szCs w:val="24"/>
        </w:rPr>
        <w:t>“</w:t>
      </w:r>
      <w:r w:rsidRPr="00D60C10">
        <w:rPr>
          <w:rFonts w:ascii="Garamond" w:eastAsiaTheme="minorHAnsi" w:hAnsi="Garamond" w:cs="Times New Roman"/>
          <w:iCs/>
          <w:color w:val="000000"/>
          <w:sz w:val="24"/>
          <w:szCs w:val="24"/>
        </w:rPr>
        <w:t xml:space="preserve">Rregullores mbi përcaktimin e pagesave </w:t>
      </w:r>
      <w:proofErr w:type="spellStart"/>
      <w:r w:rsidRPr="00D60C10">
        <w:rPr>
          <w:rFonts w:ascii="Garamond" w:eastAsiaTheme="minorHAnsi" w:hAnsi="Garamond" w:cs="Times New Roman"/>
          <w:iCs/>
          <w:color w:val="000000"/>
          <w:sz w:val="24"/>
          <w:szCs w:val="24"/>
        </w:rPr>
        <w:t>rregullatore</w:t>
      </w:r>
      <w:proofErr w:type="spellEnd"/>
      <w:r w:rsidR="00546659" w:rsidRPr="00D60C10">
        <w:rPr>
          <w:rFonts w:ascii="Garamond" w:eastAsiaTheme="minorHAnsi" w:hAnsi="Garamond" w:cs="Times New Roman"/>
          <w:iCs/>
          <w:color w:val="000000"/>
          <w:sz w:val="24"/>
          <w:szCs w:val="24"/>
        </w:rPr>
        <w:t>”</w:t>
      </w:r>
      <w:r w:rsidRPr="00D60C10">
        <w:rPr>
          <w:rFonts w:ascii="Garamond" w:eastAsiaTheme="minorHAnsi" w:hAnsi="Garamond" w:cs="Times New Roman"/>
          <w:color w:val="000000"/>
          <w:sz w:val="24"/>
          <w:szCs w:val="24"/>
        </w:rPr>
        <w:t xml:space="preserve">, miratuar me vendimin e </w:t>
      </w:r>
      <w:r w:rsidR="00546659" w:rsidRPr="00D60C10">
        <w:rPr>
          <w:rFonts w:ascii="Garamond" w:eastAsiaTheme="minorHAnsi" w:hAnsi="Garamond" w:cs="Times New Roman"/>
          <w:color w:val="000000"/>
          <w:sz w:val="24"/>
          <w:szCs w:val="24"/>
        </w:rPr>
        <w:t xml:space="preserve">Bordit </w:t>
      </w:r>
      <w:r w:rsidRPr="00D60C10">
        <w:rPr>
          <w:rFonts w:ascii="Garamond" w:eastAsiaTheme="minorHAnsi" w:hAnsi="Garamond" w:cs="Times New Roman"/>
          <w:color w:val="000000"/>
          <w:sz w:val="24"/>
          <w:szCs w:val="24"/>
        </w:rPr>
        <w:t xml:space="preserve">të Entit Rregullator të Energjisë (ERE) nr. 190, datë 23.11.2017, e ndryshuar; neneve 15, 16 dhe 17 të </w:t>
      </w:r>
      <w:r w:rsidR="00D60C10" w:rsidRPr="00D60C10">
        <w:rPr>
          <w:rFonts w:ascii="Garamond" w:eastAsiaTheme="minorHAnsi" w:hAnsi="Garamond" w:cs="Times New Roman"/>
          <w:color w:val="000000"/>
          <w:sz w:val="24"/>
          <w:szCs w:val="24"/>
        </w:rPr>
        <w:t>“</w:t>
      </w:r>
      <w:r w:rsidRPr="00D60C10">
        <w:rPr>
          <w:rFonts w:ascii="Garamond" w:eastAsiaTheme="minorHAnsi" w:hAnsi="Garamond" w:cs="Times New Roman"/>
          <w:iCs/>
          <w:color w:val="000000"/>
          <w:sz w:val="24"/>
          <w:szCs w:val="24"/>
        </w:rPr>
        <w:t>Rregullores për organizimin, funksionimin dhe procedurat e ERE-s</w:t>
      </w:r>
      <w:r w:rsidR="00D60C10" w:rsidRPr="00D60C10">
        <w:rPr>
          <w:rFonts w:ascii="Garamond" w:eastAsiaTheme="minorHAnsi" w:hAnsi="Garamond" w:cs="Times New Roman"/>
          <w:iCs/>
          <w:color w:val="000000"/>
          <w:sz w:val="24"/>
          <w:szCs w:val="24"/>
        </w:rPr>
        <w:t>”</w:t>
      </w:r>
      <w:r w:rsidRPr="00D60C10">
        <w:rPr>
          <w:rFonts w:ascii="Garamond" w:eastAsiaTheme="minorHAnsi" w:hAnsi="Garamond" w:cs="Times New Roman"/>
          <w:color w:val="000000"/>
          <w:sz w:val="24"/>
          <w:szCs w:val="24"/>
        </w:rPr>
        <w:t>, miratuar me vendimin e Bordit të ERE-s nr. 96, datë 17.6.2016, i ndryshuar; si dhe pikës 2</w:t>
      </w:r>
      <w:r w:rsidR="004E5C2C">
        <w:rPr>
          <w:rFonts w:ascii="Garamond" w:eastAsiaTheme="minorHAnsi" w:hAnsi="Garamond" w:cs="Times New Roman"/>
          <w:color w:val="000000"/>
          <w:sz w:val="24"/>
          <w:szCs w:val="24"/>
        </w:rPr>
        <w:t>,</w:t>
      </w:r>
      <w:bookmarkStart w:id="0" w:name="_GoBack"/>
      <w:bookmarkEnd w:id="0"/>
      <w:r w:rsidRPr="00D60C10">
        <w:rPr>
          <w:rFonts w:ascii="Garamond" w:eastAsiaTheme="minorHAnsi" w:hAnsi="Garamond" w:cs="Times New Roman"/>
          <w:color w:val="000000"/>
          <w:sz w:val="24"/>
          <w:szCs w:val="24"/>
        </w:rPr>
        <w:t xml:space="preserve"> të vendimit nr. 83, datë 2.5.2024, të Bordit të ERE-s “</w:t>
      </w:r>
      <w:r w:rsidRPr="00D60C10">
        <w:rPr>
          <w:rFonts w:ascii="Garamond" w:eastAsiaTheme="minorHAnsi" w:hAnsi="Garamond" w:cs="Times New Roman"/>
          <w:iCs/>
          <w:color w:val="000000"/>
          <w:sz w:val="24"/>
          <w:szCs w:val="24"/>
        </w:rPr>
        <w:t xml:space="preserve">Mbi llogaritjen e pagesave </w:t>
      </w:r>
      <w:proofErr w:type="spellStart"/>
      <w:r w:rsidRPr="00D60C10">
        <w:rPr>
          <w:rFonts w:ascii="Garamond" w:eastAsiaTheme="minorHAnsi" w:hAnsi="Garamond" w:cs="Times New Roman"/>
          <w:iCs/>
          <w:color w:val="000000"/>
          <w:sz w:val="24"/>
          <w:szCs w:val="24"/>
        </w:rPr>
        <w:t>rregullatore</w:t>
      </w:r>
      <w:proofErr w:type="spellEnd"/>
      <w:r w:rsidRPr="00D60C10">
        <w:rPr>
          <w:rFonts w:ascii="Garamond" w:eastAsiaTheme="minorHAnsi" w:hAnsi="Garamond" w:cs="Times New Roman"/>
          <w:iCs/>
          <w:color w:val="000000"/>
          <w:sz w:val="24"/>
          <w:szCs w:val="24"/>
        </w:rPr>
        <w:t xml:space="preserve"> për vitin 2024</w:t>
      </w:r>
      <w:r w:rsidRPr="00D60C10">
        <w:rPr>
          <w:rFonts w:ascii="Garamond" w:eastAsiaTheme="minorHAnsi" w:hAnsi="Garamond" w:cs="Times New Roman"/>
          <w:color w:val="000000"/>
          <w:sz w:val="24"/>
          <w:szCs w:val="24"/>
        </w:rPr>
        <w:t>”;</w:t>
      </w:r>
    </w:p>
    <w:p w14:paraId="34A437E1" w14:textId="3B73D732" w:rsidR="00271E32" w:rsidRPr="00D60C10"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Bordi i ERE-s, në mbledhjen e tij të datës 23.</w:t>
      </w:r>
      <w:r w:rsidRPr="009F1725">
        <w:rPr>
          <w:rFonts w:ascii="Garamond" w:eastAsiaTheme="minorHAnsi" w:hAnsi="Garamond" w:cs="Times New Roman"/>
          <w:bCs/>
          <w:color w:val="000000"/>
          <w:sz w:val="24"/>
          <w:szCs w:val="24"/>
        </w:rPr>
        <w:t>5.</w:t>
      </w:r>
      <w:r w:rsidRPr="009F1725">
        <w:rPr>
          <w:rFonts w:ascii="Garamond" w:eastAsiaTheme="minorHAnsi" w:hAnsi="Garamond" w:cs="Times New Roman"/>
          <w:color w:val="000000"/>
          <w:sz w:val="24"/>
          <w:szCs w:val="24"/>
        </w:rPr>
        <w:t xml:space="preserve">2025, pasi shqyrtoi relacionin nr. 1750 </w:t>
      </w:r>
      <w:proofErr w:type="spellStart"/>
      <w:r w:rsidRPr="009F1725">
        <w:rPr>
          <w:rFonts w:ascii="Garamond" w:eastAsiaTheme="minorHAnsi" w:hAnsi="Garamond" w:cs="Times New Roman"/>
          <w:color w:val="000000"/>
          <w:sz w:val="24"/>
          <w:szCs w:val="24"/>
        </w:rPr>
        <w:t>prot</w:t>
      </w:r>
      <w:proofErr w:type="spellEnd"/>
      <w:r w:rsidRPr="009F1725">
        <w:rPr>
          <w:rFonts w:ascii="Garamond" w:eastAsiaTheme="minorHAnsi" w:hAnsi="Garamond" w:cs="Times New Roman"/>
          <w:color w:val="000000"/>
          <w:sz w:val="24"/>
          <w:szCs w:val="24"/>
        </w:rPr>
        <w:t xml:space="preserve">., datë 22.5.2025, të përgatitur nga Drejtoria e Tarifave dhe Çmimeve </w:t>
      </w:r>
      <w:r w:rsidRPr="00D60C10">
        <w:rPr>
          <w:rFonts w:ascii="Garamond" w:eastAsiaTheme="minorHAnsi" w:hAnsi="Garamond" w:cs="Times New Roman"/>
          <w:color w:val="000000"/>
          <w:sz w:val="24"/>
          <w:szCs w:val="24"/>
        </w:rPr>
        <w:t>“</w:t>
      </w:r>
      <w:r w:rsidRPr="00D60C10">
        <w:rPr>
          <w:rFonts w:ascii="Garamond" w:eastAsiaTheme="minorHAnsi" w:hAnsi="Garamond" w:cs="Times New Roman"/>
          <w:iCs/>
          <w:color w:val="000000"/>
          <w:sz w:val="24"/>
          <w:szCs w:val="24"/>
        </w:rPr>
        <w:t xml:space="preserve">Mbi llogaritjen e pagesave </w:t>
      </w:r>
      <w:proofErr w:type="spellStart"/>
      <w:r w:rsidRPr="00D60C10">
        <w:rPr>
          <w:rFonts w:ascii="Garamond" w:eastAsiaTheme="minorHAnsi" w:hAnsi="Garamond" w:cs="Times New Roman"/>
          <w:iCs/>
          <w:color w:val="000000"/>
          <w:sz w:val="24"/>
          <w:szCs w:val="24"/>
        </w:rPr>
        <w:t>rregullatore</w:t>
      </w:r>
      <w:proofErr w:type="spellEnd"/>
      <w:r w:rsidRPr="00D60C10">
        <w:rPr>
          <w:rFonts w:ascii="Garamond" w:eastAsiaTheme="minorHAnsi" w:hAnsi="Garamond" w:cs="Times New Roman"/>
          <w:iCs/>
          <w:color w:val="000000"/>
          <w:sz w:val="24"/>
          <w:szCs w:val="24"/>
        </w:rPr>
        <w:t xml:space="preserve"> për vitin 2025</w:t>
      </w:r>
      <w:r w:rsidRPr="00D60C10">
        <w:rPr>
          <w:rFonts w:ascii="Garamond" w:eastAsiaTheme="minorHAnsi" w:hAnsi="Garamond" w:cs="Times New Roman"/>
          <w:color w:val="000000"/>
          <w:sz w:val="24"/>
          <w:szCs w:val="24"/>
        </w:rPr>
        <w:t>”,</w:t>
      </w:r>
    </w:p>
    <w:p w14:paraId="1B00768D" w14:textId="77777777"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9F1725">
        <w:rPr>
          <w:rFonts w:ascii="Garamond" w:eastAsiaTheme="minorHAnsi" w:hAnsi="Garamond" w:cs="Times New Roman"/>
          <w:bCs/>
          <w:color w:val="000000"/>
          <w:sz w:val="24"/>
          <w:szCs w:val="24"/>
        </w:rPr>
        <w:t>Konstatoi se:</w:t>
      </w:r>
    </w:p>
    <w:p w14:paraId="7BD0C175" w14:textId="754D5616"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 ERE përcakton dhe miraton pagesën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që paguhet prej të licencuarve në sektorin e energjisë elektrike dhe gazit natyror, në përputhje me dispozitat ligjore dhe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në fuqi.</w:t>
      </w:r>
    </w:p>
    <w:p w14:paraId="4F5B7EF4" w14:textId="5E01E5E4"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 Me qëllim mbledhjen e të dhënave që do të shërbenin për përllogaritjen e pagesave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për vitin 2025, ERE, gjatë periudhës janar–mars 2025, me shkresa dhe </w:t>
      </w:r>
      <w:proofErr w:type="spellStart"/>
      <w:r w:rsidRPr="009F1725">
        <w:rPr>
          <w:rFonts w:ascii="Garamond" w:eastAsiaTheme="minorHAnsi" w:hAnsi="Garamond" w:cs="Times New Roman"/>
          <w:color w:val="000000"/>
          <w:sz w:val="24"/>
          <w:szCs w:val="24"/>
        </w:rPr>
        <w:t>email</w:t>
      </w:r>
      <w:proofErr w:type="spellEnd"/>
      <w:r w:rsidRPr="009F1725">
        <w:rPr>
          <w:rFonts w:ascii="Garamond" w:eastAsiaTheme="minorHAnsi" w:hAnsi="Garamond" w:cs="Times New Roman"/>
          <w:color w:val="000000"/>
          <w:sz w:val="24"/>
          <w:szCs w:val="24"/>
        </w:rPr>
        <w:t xml:space="preserve">-e të protokolluara me lëndë “Kërkohet depozitimi i pasqyrave financiare të plota për vitin 2024” dhe “Kërkesë për informacion”, u ka rikujtuar të gjithë subjekteve të licencuara përmbushjen e detyrimit për depozitimin e pasqyrave financiare dhe formularëve të deklarimit të </w:t>
      </w:r>
      <w:proofErr w:type="spellStart"/>
      <w:r w:rsidRPr="009F1725">
        <w:rPr>
          <w:rFonts w:ascii="Garamond" w:eastAsiaTheme="minorHAnsi" w:hAnsi="Garamond" w:cs="Times New Roman"/>
          <w:color w:val="000000"/>
          <w:sz w:val="24"/>
          <w:szCs w:val="24"/>
        </w:rPr>
        <w:t>të</w:t>
      </w:r>
      <w:proofErr w:type="spellEnd"/>
      <w:r w:rsidRPr="009F1725">
        <w:rPr>
          <w:rFonts w:ascii="Garamond" w:eastAsiaTheme="minorHAnsi" w:hAnsi="Garamond" w:cs="Times New Roman"/>
          <w:color w:val="000000"/>
          <w:sz w:val="24"/>
          <w:szCs w:val="24"/>
        </w:rPr>
        <w:t xml:space="preserve"> ardhurave për vitin 2024, duke mbajtur në konsideratë ndarjen e llogarive sipas veprimtarive të licencuara dhe për çdo aktivitet tjetër jashtë sektorit të energjisë elektrike, në zbatim të përcaktimeve të nenit 35, pika 1 dhe nenit 46, pika 1 të </w:t>
      </w:r>
      <w:r w:rsidR="0041400D">
        <w:rPr>
          <w:rFonts w:ascii="Garamond" w:eastAsiaTheme="minorHAnsi" w:hAnsi="Garamond" w:cs="Times New Roman"/>
          <w:color w:val="000000"/>
          <w:sz w:val="24"/>
          <w:szCs w:val="24"/>
        </w:rPr>
        <w:t>l</w:t>
      </w:r>
      <w:r w:rsidRPr="009F1725">
        <w:rPr>
          <w:rFonts w:ascii="Garamond" w:eastAsiaTheme="minorHAnsi" w:hAnsi="Garamond" w:cs="Times New Roman"/>
          <w:color w:val="000000"/>
          <w:sz w:val="24"/>
          <w:szCs w:val="24"/>
        </w:rPr>
        <w:t xml:space="preserve">igjit nr. 43/2015 “Për sektorin e energjisë elektrike”, i ndryshuar, me qëllim shmangien e </w:t>
      </w:r>
      <w:proofErr w:type="spellStart"/>
      <w:r w:rsidRPr="009F1725">
        <w:rPr>
          <w:rFonts w:ascii="Garamond" w:eastAsiaTheme="minorHAnsi" w:hAnsi="Garamond" w:cs="Times New Roman"/>
          <w:color w:val="000000"/>
          <w:sz w:val="24"/>
          <w:szCs w:val="24"/>
        </w:rPr>
        <w:t>ndërsubvencionimit</w:t>
      </w:r>
      <w:proofErr w:type="spellEnd"/>
      <w:r w:rsidRPr="009F1725">
        <w:rPr>
          <w:rFonts w:ascii="Garamond" w:eastAsiaTheme="minorHAnsi" w:hAnsi="Garamond" w:cs="Times New Roman"/>
          <w:color w:val="000000"/>
          <w:sz w:val="24"/>
          <w:szCs w:val="24"/>
        </w:rPr>
        <w:t xml:space="preserve"> dhe c</w:t>
      </w:r>
      <w:r w:rsidR="0041400D">
        <w:rPr>
          <w:rFonts w:ascii="Garamond" w:eastAsiaTheme="minorHAnsi" w:hAnsi="Garamond" w:cs="Times New Roman"/>
          <w:color w:val="000000"/>
          <w:sz w:val="24"/>
          <w:szCs w:val="24"/>
        </w:rPr>
        <w:t>e</w:t>
      </w:r>
      <w:r w:rsidRPr="009F1725">
        <w:rPr>
          <w:rFonts w:ascii="Garamond" w:eastAsiaTheme="minorHAnsi" w:hAnsi="Garamond" w:cs="Times New Roman"/>
          <w:color w:val="000000"/>
          <w:sz w:val="24"/>
          <w:szCs w:val="24"/>
        </w:rPr>
        <w:t>nimit të konkurrencës.</w:t>
      </w:r>
    </w:p>
    <w:p w14:paraId="2D885D6B" w14:textId="0BF282C7"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Në regjistrin e licencave të ERE</w:t>
      </w:r>
      <w:r w:rsidR="009F1725" w:rsidRPr="009F1725">
        <w:rPr>
          <w:rFonts w:ascii="Garamond" w:eastAsiaTheme="minorHAnsi" w:hAnsi="Garamond" w:cs="Times New Roman"/>
          <w:color w:val="000000"/>
          <w:sz w:val="24"/>
          <w:szCs w:val="24"/>
        </w:rPr>
        <w:t>-s</w:t>
      </w:r>
      <w:r w:rsidRPr="009F1725">
        <w:rPr>
          <w:rFonts w:ascii="Garamond" w:eastAsiaTheme="minorHAnsi" w:hAnsi="Garamond" w:cs="Times New Roman"/>
          <w:color w:val="000000"/>
          <w:sz w:val="24"/>
          <w:szCs w:val="24"/>
        </w:rPr>
        <w:t xml:space="preserve">, deri më datë 31.12.2024, figurojnë 392 subjekte të licencuara, të cilët përbëjnë bazën e përllogaritjes së pagesave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për vitin 2025.</w:t>
      </w:r>
    </w:p>
    <w:p w14:paraId="0CFDA187" w14:textId="347D2611"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 Pagesat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janë përllogaritur në përputhje me pikën 5.3 të nenit 5 dhe pikat 6.1–6.4 të nenit 6 të “Rregullores mbi përcaktimin e miratimin e pagesave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miratuar me vendimin e </w:t>
      </w:r>
      <w:r w:rsidR="009F1725" w:rsidRPr="009F1725">
        <w:rPr>
          <w:rFonts w:ascii="Garamond" w:eastAsiaTheme="minorHAnsi" w:hAnsi="Garamond" w:cs="Times New Roman"/>
          <w:color w:val="000000"/>
          <w:sz w:val="24"/>
          <w:szCs w:val="24"/>
        </w:rPr>
        <w:t>B</w:t>
      </w:r>
      <w:r w:rsidRPr="009F1725">
        <w:rPr>
          <w:rFonts w:ascii="Garamond" w:eastAsiaTheme="minorHAnsi" w:hAnsi="Garamond" w:cs="Times New Roman"/>
          <w:color w:val="000000"/>
          <w:sz w:val="24"/>
          <w:szCs w:val="24"/>
        </w:rPr>
        <w:t>ordit të ERE-s nr. 190/2017, e ndryshuar.</w:t>
      </w:r>
    </w:p>
    <w:p w14:paraId="6ADEC553" w14:textId="1BAA97C4"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 Llogaritja e pagesave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për secilin të licencuar është bërë mbi bazën e peshës specifike të </w:t>
      </w:r>
      <w:proofErr w:type="spellStart"/>
      <w:r w:rsidRPr="009F1725">
        <w:rPr>
          <w:rFonts w:ascii="Garamond" w:eastAsiaTheme="minorHAnsi" w:hAnsi="Garamond" w:cs="Times New Roman"/>
          <w:color w:val="000000"/>
          <w:sz w:val="24"/>
          <w:szCs w:val="24"/>
        </w:rPr>
        <w:t>të</w:t>
      </w:r>
      <w:proofErr w:type="spellEnd"/>
      <w:r w:rsidRPr="009F1725">
        <w:rPr>
          <w:rFonts w:ascii="Garamond" w:eastAsiaTheme="minorHAnsi" w:hAnsi="Garamond" w:cs="Times New Roman"/>
          <w:color w:val="000000"/>
          <w:sz w:val="24"/>
          <w:szCs w:val="24"/>
        </w:rPr>
        <w:t xml:space="preserve"> ardhurave nga aktiviteti i licencuar për vitin 2024 në raport me totalin e të ardhurave të sektorit, si dhe në përputhje me vlerën për t’u shpërndarë të miratuar me vendimin nr. 62/2025 të </w:t>
      </w:r>
      <w:r w:rsidR="008246FA" w:rsidRPr="009F1725">
        <w:rPr>
          <w:rFonts w:ascii="Garamond" w:eastAsiaTheme="minorHAnsi" w:hAnsi="Garamond" w:cs="Times New Roman"/>
          <w:color w:val="000000"/>
          <w:sz w:val="24"/>
          <w:szCs w:val="24"/>
        </w:rPr>
        <w:t xml:space="preserve">Bordit </w:t>
      </w:r>
      <w:r w:rsidRPr="009F1725">
        <w:rPr>
          <w:rFonts w:ascii="Garamond" w:eastAsiaTheme="minorHAnsi" w:hAnsi="Garamond" w:cs="Times New Roman"/>
          <w:color w:val="000000"/>
          <w:sz w:val="24"/>
          <w:szCs w:val="24"/>
        </w:rPr>
        <w:t>të ERE-s.</w:t>
      </w:r>
    </w:p>
    <w:p w14:paraId="1107C336" w14:textId="48E8AE49"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 </w:t>
      </w:r>
      <w:r w:rsidRPr="009F1725">
        <w:rPr>
          <w:rFonts w:ascii="Garamond" w:eastAsiaTheme="minorHAnsi" w:hAnsi="Garamond" w:cs="Times New Roman"/>
          <w:sz w:val="24"/>
          <w:szCs w:val="24"/>
        </w:rPr>
        <w:t>Për subjektet që nuk kanë zhvilluar aktivitet apo që nuk kanë paraqitur pasqyrat financiare sipas detyrimeve ligjore, është aplikuar pagesa fikse prej 100,000 lekësh, në përputhje me pikat 5.2 dhe 6.3 të rregullores përkatëse.</w:t>
      </w:r>
    </w:p>
    <w:p w14:paraId="1FFFF6AF" w14:textId="4876208C"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sz w:val="24"/>
          <w:szCs w:val="24"/>
        </w:rPr>
      </w:pPr>
      <w:r w:rsidRPr="009F1725">
        <w:rPr>
          <w:rFonts w:ascii="Garamond" w:eastAsiaTheme="minorHAnsi" w:hAnsi="Garamond" w:cs="Times New Roman"/>
          <w:color w:val="000000"/>
          <w:sz w:val="24"/>
          <w:szCs w:val="24"/>
        </w:rPr>
        <w:t xml:space="preserve">- Për subjektet e licencuara në veprimtarinë e tregtimit apo furnizimit të energjisë elektrike dhe gazit natyror, të cilat kanë rezultuar me humbje nga aktiviteti i shitblerjes, është zbatuar tarifa në vlerën 0 (zero) lekë, duke shmangur një </w:t>
      </w:r>
      <w:proofErr w:type="spellStart"/>
      <w:r w:rsidRPr="009F1725">
        <w:rPr>
          <w:rFonts w:ascii="Garamond" w:eastAsiaTheme="minorHAnsi" w:hAnsi="Garamond" w:cs="Times New Roman"/>
          <w:color w:val="000000"/>
          <w:sz w:val="24"/>
          <w:szCs w:val="24"/>
        </w:rPr>
        <w:t>tarifim</w:t>
      </w:r>
      <w:proofErr w:type="spellEnd"/>
      <w:r w:rsidRPr="009F1725">
        <w:rPr>
          <w:rFonts w:ascii="Garamond" w:eastAsiaTheme="minorHAnsi" w:hAnsi="Garamond" w:cs="Times New Roman"/>
          <w:color w:val="000000"/>
          <w:sz w:val="24"/>
          <w:szCs w:val="24"/>
        </w:rPr>
        <w:t xml:space="preserve"> negativ që do të c</w:t>
      </w:r>
      <w:r w:rsidR="00D60C10">
        <w:rPr>
          <w:rFonts w:ascii="Garamond" w:eastAsiaTheme="minorHAnsi" w:hAnsi="Garamond" w:cs="Times New Roman"/>
          <w:color w:val="000000"/>
          <w:sz w:val="24"/>
          <w:szCs w:val="24"/>
        </w:rPr>
        <w:t>e</w:t>
      </w:r>
      <w:r w:rsidRPr="009F1725">
        <w:rPr>
          <w:rFonts w:ascii="Garamond" w:eastAsiaTheme="minorHAnsi" w:hAnsi="Garamond" w:cs="Times New Roman"/>
          <w:color w:val="000000"/>
          <w:sz w:val="24"/>
          <w:szCs w:val="24"/>
        </w:rPr>
        <w:t>nonte shpërndarjen proporcionale ndërmjet të licencuarve të tjerë.</w:t>
      </w:r>
    </w:p>
    <w:p w14:paraId="656C5B8F" w14:textId="3B5771AD"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sz w:val="24"/>
          <w:szCs w:val="24"/>
        </w:rPr>
      </w:pPr>
      <w:r w:rsidRPr="009F1725">
        <w:rPr>
          <w:rFonts w:ascii="Garamond" w:eastAsiaTheme="minorHAnsi" w:hAnsi="Garamond" w:cs="Times New Roman"/>
          <w:color w:val="000000"/>
          <w:sz w:val="24"/>
          <w:szCs w:val="24"/>
        </w:rPr>
        <w:t>- Për disa subjekte, në mungesë të pasqyrave financiare për vitin 2024, janë konsideruar të ardhurat e vitit 2023, me korrigjimet përkatëse që do të aplikohen në periudhën pasardhëse kur të jenë depozituar të dhënat përkatëse financiare.</w:t>
      </w:r>
    </w:p>
    <w:p w14:paraId="189B594F" w14:textId="2B90FCD2"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sz w:val="24"/>
          <w:szCs w:val="24"/>
        </w:rPr>
      </w:pPr>
      <w:r w:rsidRPr="009F1725">
        <w:rPr>
          <w:rFonts w:ascii="Garamond" w:eastAsiaTheme="minorHAnsi" w:hAnsi="Garamond" w:cs="Times New Roman"/>
          <w:color w:val="000000"/>
          <w:sz w:val="24"/>
          <w:szCs w:val="24"/>
        </w:rPr>
        <w:lastRenderedPageBreak/>
        <w:t>- Diferencat që rezultojnë nga pasqyrat financiare të certifikuara për vitin 2024 do të reflektohen në përllogaritjen e pagesave për periudhën pasardhëse, në përputhje me vendimet përkatëse të bordit të ERE-s.</w:t>
      </w:r>
    </w:p>
    <w:p w14:paraId="03387B3A" w14:textId="519B2543"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sz w:val="24"/>
          <w:szCs w:val="24"/>
        </w:rPr>
      </w:pPr>
      <w:r w:rsidRPr="009F1725">
        <w:rPr>
          <w:rFonts w:ascii="Garamond" w:eastAsiaTheme="minorHAnsi" w:hAnsi="Garamond" w:cs="Times New Roman"/>
          <w:color w:val="000000"/>
          <w:sz w:val="24"/>
          <w:szCs w:val="24"/>
        </w:rPr>
        <w:t xml:space="preserve">- Për subjektet me status “pezulluar”, “në likuidim” apo me licencë të dhënë me kusht, pagesa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është pezulluar, për shkak të pamundësisë objektive për ushtrim aktiviteti apo vjelje tarife.</w:t>
      </w:r>
    </w:p>
    <w:p w14:paraId="1F2E64CB" w14:textId="78832016"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sz w:val="24"/>
          <w:szCs w:val="24"/>
        </w:rPr>
      </w:pPr>
      <w:r w:rsidRPr="009F1725">
        <w:rPr>
          <w:rFonts w:ascii="Garamond" w:eastAsiaTheme="minorHAnsi" w:hAnsi="Garamond" w:cs="Times New Roman"/>
          <w:color w:val="000000"/>
          <w:sz w:val="24"/>
          <w:szCs w:val="24"/>
        </w:rPr>
        <w:t xml:space="preserve">- Në përputhje me vendimet e </w:t>
      </w:r>
      <w:r w:rsidR="009F1725" w:rsidRPr="009F1725">
        <w:rPr>
          <w:rFonts w:ascii="Garamond" w:eastAsiaTheme="minorHAnsi" w:hAnsi="Garamond" w:cs="Times New Roman"/>
          <w:color w:val="000000"/>
          <w:sz w:val="24"/>
          <w:szCs w:val="24"/>
        </w:rPr>
        <w:t xml:space="preserve">Bordit </w:t>
      </w:r>
      <w:r w:rsidRPr="009F1725">
        <w:rPr>
          <w:rFonts w:ascii="Garamond" w:eastAsiaTheme="minorHAnsi" w:hAnsi="Garamond" w:cs="Times New Roman"/>
          <w:color w:val="000000"/>
          <w:sz w:val="24"/>
          <w:szCs w:val="24"/>
        </w:rPr>
        <w:t xml:space="preserve">të ERE-s nr. 171, datë 15.5.2023 dhe nr. 83, datë 2.5.2024, janë reflektuar diferencat që kanë rezultuar nga pasqyrat financiare të certifikuara për vitet 2023 dhe 2024 në përllogaritjen e pagesave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për vitin 2025.</w:t>
      </w:r>
    </w:p>
    <w:p w14:paraId="39912CBF" w14:textId="4C370045"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Për gjithë sa më sipër, </w:t>
      </w:r>
      <w:r w:rsidR="009F1725" w:rsidRPr="009F1725">
        <w:rPr>
          <w:rFonts w:ascii="Garamond" w:eastAsiaTheme="minorHAnsi" w:hAnsi="Garamond" w:cs="Times New Roman"/>
          <w:color w:val="000000"/>
          <w:sz w:val="24"/>
          <w:szCs w:val="24"/>
        </w:rPr>
        <w:t xml:space="preserve">Bordi </w:t>
      </w:r>
      <w:r w:rsidRPr="009F1725">
        <w:rPr>
          <w:rFonts w:ascii="Garamond" w:eastAsiaTheme="minorHAnsi" w:hAnsi="Garamond" w:cs="Times New Roman"/>
          <w:color w:val="000000"/>
          <w:sz w:val="24"/>
          <w:szCs w:val="24"/>
        </w:rPr>
        <w:t xml:space="preserve">i ERE-s </w:t>
      </w:r>
    </w:p>
    <w:p w14:paraId="3D01D562" w14:textId="77777777"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116E7C7F" w14:textId="36E65A0F" w:rsidR="00271E32" w:rsidRPr="009F1725" w:rsidRDefault="00271E32" w:rsidP="00271E32">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9F1725">
        <w:rPr>
          <w:rFonts w:ascii="Garamond" w:eastAsiaTheme="minorHAnsi" w:hAnsi="Garamond" w:cs="Times New Roman"/>
          <w:bCs/>
          <w:color w:val="000000"/>
          <w:sz w:val="24"/>
          <w:szCs w:val="24"/>
        </w:rPr>
        <w:t>VENDOSI:</w:t>
      </w:r>
    </w:p>
    <w:p w14:paraId="56AAD732" w14:textId="77777777" w:rsidR="00271E32" w:rsidRPr="009F1725" w:rsidRDefault="00271E32" w:rsidP="00271E32">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730E88CE" w14:textId="5C9FB85F"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1. Miratimin e pagesave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për vitin 2025, sipas tabelës bashkëlidhur.</w:t>
      </w:r>
    </w:p>
    <w:p w14:paraId="03DDF3EC" w14:textId="4DA97993"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2. Diferencat që rezultojnë </w:t>
      </w:r>
      <w:r w:rsidR="0000291A" w:rsidRPr="009F1725">
        <w:rPr>
          <w:rFonts w:ascii="Garamond" w:eastAsiaTheme="minorHAnsi" w:hAnsi="Garamond" w:cs="Times New Roman"/>
          <w:color w:val="000000"/>
          <w:sz w:val="24"/>
          <w:szCs w:val="24"/>
        </w:rPr>
        <w:t xml:space="preserve">nga pasqyrat financiare </w:t>
      </w:r>
      <w:r w:rsidRPr="009F1725">
        <w:rPr>
          <w:rFonts w:ascii="Garamond" w:eastAsiaTheme="minorHAnsi" w:hAnsi="Garamond" w:cs="Times New Roman"/>
          <w:color w:val="000000"/>
          <w:sz w:val="24"/>
          <w:szCs w:val="24"/>
        </w:rPr>
        <w:t>të certifikuara për vitin 2024, të konsiderohen në llogaritjen e pagesave të rregullimit të periudhës pasardhëse.</w:t>
      </w:r>
    </w:p>
    <w:p w14:paraId="4F20D3C8" w14:textId="79A9CCA6"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3. Të licencuarit subjekt i këtij vendimi (sipas tabelës bashkëlidhur) duhet të kryejnë pagesat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ndaj ERE</w:t>
      </w:r>
      <w:r w:rsidR="009F1725" w:rsidRPr="009F1725">
        <w:rPr>
          <w:rFonts w:ascii="Garamond" w:eastAsiaTheme="minorHAnsi" w:hAnsi="Garamond" w:cs="Times New Roman"/>
          <w:color w:val="000000"/>
          <w:sz w:val="24"/>
          <w:szCs w:val="24"/>
        </w:rPr>
        <w:t>-s</w:t>
      </w:r>
      <w:r w:rsidRPr="009F1725">
        <w:rPr>
          <w:rFonts w:ascii="Garamond" w:eastAsiaTheme="minorHAnsi" w:hAnsi="Garamond" w:cs="Times New Roman"/>
          <w:color w:val="000000"/>
          <w:sz w:val="24"/>
          <w:szCs w:val="24"/>
        </w:rPr>
        <w:t>, jo më vonë se 30 ditë nga botimi në Fletoren Zyrtare të këtij vendimi, në të kundërt, do të jenë subjekt i aplikimit të masave administrative të parashikuara në nenin 42, pika 1, g</w:t>
      </w:r>
      <w:r w:rsidR="009F1725" w:rsidRPr="009F1725">
        <w:rPr>
          <w:rFonts w:ascii="Garamond" w:eastAsiaTheme="minorHAnsi" w:hAnsi="Garamond" w:cs="Times New Roman"/>
          <w:color w:val="000000"/>
          <w:sz w:val="24"/>
          <w:szCs w:val="24"/>
        </w:rPr>
        <w:t>e</w:t>
      </w:r>
      <w:r w:rsidRPr="009F1725">
        <w:rPr>
          <w:rFonts w:ascii="Garamond" w:eastAsiaTheme="minorHAnsi" w:hAnsi="Garamond" w:cs="Times New Roman"/>
          <w:color w:val="000000"/>
          <w:sz w:val="24"/>
          <w:szCs w:val="24"/>
        </w:rPr>
        <w:t xml:space="preserve">rma </w:t>
      </w:r>
      <w:r w:rsidR="009F1725">
        <w:rPr>
          <w:rFonts w:ascii="Garamond" w:eastAsiaTheme="minorHAnsi" w:hAnsi="Garamond" w:cs="Times New Roman"/>
          <w:color w:val="000000"/>
          <w:sz w:val="24"/>
          <w:szCs w:val="24"/>
        </w:rPr>
        <w:t>“</w:t>
      </w:r>
      <w:r w:rsidRPr="009F1725">
        <w:rPr>
          <w:rFonts w:ascii="Garamond" w:eastAsiaTheme="minorHAnsi" w:hAnsi="Garamond" w:cs="Times New Roman"/>
          <w:color w:val="000000"/>
          <w:sz w:val="24"/>
          <w:szCs w:val="24"/>
        </w:rPr>
        <w:t>ç</w:t>
      </w:r>
      <w:r w:rsidR="009F1725">
        <w:rPr>
          <w:rFonts w:ascii="Garamond" w:eastAsiaTheme="minorHAnsi" w:hAnsi="Garamond" w:cs="Times New Roman"/>
          <w:color w:val="000000"/>
          <w:sz w:val="24"/>
          <w:szCs w:val="24"/>
        </w:rPr>
        <w:t>”</w:t>
      </w:r>
      <w:r w:rsidRPr="009F1725">
        <w:rPr>
          <w:rFonts w:ascii="Garamond" w:eastAsiaTheme="minorHAnsi" w:hAnsi="Garamond" w:cs="Times New Roman"/>
          <w:color w:val="000000"/>
          <w:sz w:val="24"/>
          <w:szCs w:val="24"/>
        </w:rPr>
        <w:t>, pika 2, g</w:t>
      </w:r>
      <w:r w:rsidR="009F1725" w:rsidRPr="009F1725">
        <w:rPr>
          <w:rFonts w:ascii="Garamond" w:eastAsiaTheme="minorHAnsi" w:hAnsi="Garamond" w:cs="Times New Roman"/>
          <w:color w:val="000000"/>
          <w:sz w:val="24"/>
          <w:szCs w:val="24"/>
        </w:rPr>
        <w:t>e</w:t>
      </w:r>
      <w:r w:rsidRPr="009F1725">
        <w:rPr>
          <w:rFonts w:ascii="Garamond" w:eastAsiaTheme="minorHAnsi" w:hAnsi="Garamond" w:cs="Times New Roman"/>
          <w:color w:val="000000"/>
          <w:sz w:val="24"/>
          <w:szCs w:val="24"/>
        </w:rPr>
        <w:t xml:space="preserve">rma </w:t>
      </w:r>
      <w:r w:rsidR="009F1725">
        <w:rPr>
          <w:rFonts w:ascii="Garamond" w:eastAsiaTheme="minorHAnsi" w:hAnsi="Garamond" w:cs="Times New Roman"/>
          <w:color w:val="000000"/>
          <w:sz w:val="24"/>
          <w:szCs w:val="24"/>
        </w:rPr>
        <w:t>“</w:t>
      </w:r>
      <w:r w:rsidRPr="009F1725">
        <w:rPr>
          <w:rFonts w:ascii="Garamond" w:eastAsiaTheme="minorHAnsi" w:hAnsi="Garamond" w:cs="Times New Roman"/>
          <w:color w:val="000000"/>
          <w:sz w:val="24"/>
          <w:szCs w:val="24"/>
        </w:rPr>
        <w:t>b</w:t>
      </w:r>
      <w:r w:rsidR="009F1725">
        <w:rPr>
          <w:rFonts w:ascii="Garamond" w:eastAsiaTheme="minorHAnsi" w:hAnsi="Garamond" w:cs="Times New Roman"/>
          <w:color w:val="000000"/>
          <w:sz w:val="24"/>
          <w:szCs w:val="24"/>
        </w:rPr>
        <w:t>”</w:t>
      </w:r>
      <w:r w:rsidRPr="009F1725">
        <w:rPr>
          <w:rFonts w:ascii="Garamond" w:eastAsiaTheme="minorHAnsi" w:hAnsi="Garamond" w:cs="Times New Roman"/>
          <w:color w:val="000000"/>
          <w:sz w:val="24"/>
          <w:szCs w:val="24"/>
        </w:rPr>
        <w:t xml:space="preserve"> dhe nenit 107, të ligjit nr. 43/2015</w:t>
      </w:r>
      <w:r w:rsidR="0000291A">
        <w:rPr>
          <w:rFonts w:ascii="Garamond" w:eastAsiaTheme="minorHAnsi" w:hAnsi="Garamond" w:cs="Times New Roman"/>
          <w:color w:val="000000"/>
          <w:sz w:val="24"/>
          <w:szCs w:val="24"/>
        </w:rPr>
        <w:t>,</w:t>
      </w:r>
      <w:r w:rsidRPr="009F1725">
        <w:rPr>
          <w:rFonts w:ascii="Garamond" w:eastAsiaTheme="minorHAnsi" w:hAnsi="Garamond" w:cs="Times New Roman"/>
          <w:color w:val="000000"/>
          <w:sz w:val="24"/>
          <w:szCs w:val="24"/>
        </w:rPr>
        <w:t xml:space="preserve"> “Për sektorin e energjisë elektrike” i ndryshuar, nenit 27, pika 1, g</w:t>
      </w:r>
      <w:r w:rsidR="009F1725" w:rsidRPr="009F1725">
        <w:rPr>
          <w:rFonts w:ascii="Garamond" w:eastAsiaTheme="minorHAnsi" w:hAnsi="Garamond" w:cs="Times New Roman"/>
          <w:color w:val="000000"/>
          <w:sz w:val="24"/>
          <w:szCs w:val="24"/>
        </w:rPr>
        <w:t>e</w:t>
      </w:r>
      <w:r w:rsidRPr="009F1725">
        <w:rPr>
          <w:rFonts w:ascii="Garamond" w:eastAsiaTheme="minorHAnsi" w:hAnsi="Garamond" w:cs="Times New Roman"/>
          <w:color w:val="000000"/>
          <w:sz w:val="24"/>
          <w:szCs w:val="24"/>
        </w:rPr>
        <w:t>rma “ç” dhe nenit 106, g</w:t>
      </w:r>
      <w:r w:rsidR="009F1725">
        <w:rPr>
          <w:rFonts w:ascii="Garamond" w:eastAsiaTheme="minorHAnsi" w:hAnsi="Garamond" w:cs="Times New Roman"/>
          <w:color w:val="000000"/>
          <w:sz w:val="24"/>
          <w:szCs w:val="24"/>
        </w:rPr>
        <w:t>e</w:t>
      </w:r>
      <w:r w:rsidRPr="009F1725">
        <w:rPr>
          <w:rFonts w:ascii="Garamond" w:eastAsiaTheme="minorHAnsi" w:hAnsi="Garamond" w:cs="Times New Roman"/>
          <w:color w:val="000000"/>
          <w:sz w:val="24"/>
          <w:szCs w:val="24"/>
        </w:rPr>
        <w:t>rma “a” (</w:t>
      </w:r>
      <w:proofErr w:type="spellStart"/>
      <w:r w:rsidRPr="009F1725">
        <w:rPr>
          <w:rFonts w:ascii="Garamond" w:eastAsiaTheme="minorHAnsi" w:hAnsi="Garamond" w:cs="Times New Roman"/>
          <w:color w:val="000000"/>
          <w:sz w:val="24"/>
          <w:szCs w:val="24"/>
        </w:rPr>
        <w:t>xi</w:t>
      </w:r>
      <w:proofErr w:type="spellEnd"/>
      <w:r w:rsidRPr="009F1725">
        <w:rPr>
          <w:rFonts w:ascii="Garamond" w:eastAsiaTheme="minorHAnsi" w:hAnsi="Garamond" w:cs="Times New Roman"/>
          <w:color w:val="000000"/>
          <w:sz w:val="24"/>
          <w:szCs w:val="24"/>
        </w:rPr>
        <w:t>)</w:t>
      </w:r>
      <w:r w:rsidR="009F1725">
        <w:rPr>
          <w:rFonts w:ascii="Garamond" w:eastAsiaTheme="minorHAnsi" w:hAnsi="Garamond" w:cs="Times New Roman"/>
          <w:color w:val="000000"/>
          <w:sz w:val="24"/>
          <w:szCs w:val="24"/>
        </w:rPr>
        <w:t>,</w:t>
      </w:r>
      <w:r w:rsidRPr="009F1725">
        <w:rPr>
          <w:rFonts w:ascii="Garamond" w:eastAsiaTheme="minorHAnsi" w:hAnsi="Garamond" w:cs="Times New Roman"/>
          <w:color w:val="000000"/>
          <w:sz w:val="24"/>
          <w:szCs w:val="24"/>
        </w:rPr>
        <w:t xml:space="preserve"> e </w:t>
      </w:r>
      <w:r w:rsidR="009F1725" w:rsidRPr="009F1725">
        <w:rPr>
          <w:rFonts w:ascii="Garamond" w:eastAsiaTheme="minorHAnsi" w:hAnsi="Garamond" w:cs="Times New Roman"/>
          <w:color w:val="000000"/>
          <w:sz w:val="24"/>
          <w:szCs w:val="24"/>
        </w:rPr>
        <w:t xml:space="preserve">ligjit </w:t>
      </w:r>
      <w:r w:rsidRPr="009F1725">
        <w:rPr>
          <w:rFonts w:ascii="Garamond" w:eastAsiaTheme="minorHAnsi" w:hAnsi="Garamond" w:cs="Times New Roman"/>
          <w:color w:val="000000"/>
          <w:sz w:val="24"/>
          <w:szCs w:val="24"/>
        </w:rPr>
        <w:t>nr. 102/2015</w:t>
      </w:r>
      <w:r w:rsidR="009F1725" w:rsidRPr="009F1725">
        <w:rPr>
          <w:rFonts w:ascii="Garamond" w:eastAsiaTheme="minorHAnsi" w:hAnsi="Garamond" w:cs="Times New Roman"/>
          <w:color w:val="000000"/>
          <w:sz w:val="24"/>
          <w:szCs w:val="24"/>
        </w:rPr>
        <w:t>,</w:t>
      </w:r>
      <w:r w:rsidRPr="009F1725">
        <w:rPr>
          <w:rFonts w:ascii="Garamond" w:eastAsiaTheme="minorHAnsi" w:hAnsi="Garamond" w:cs="Times New Roman"/>
          <w:color w:val="000000"/>
          <w:sz w:val="24"/>
          <w:szCs w:val="24"/>
        </w:rPr>
        <w:t xml:space="preserve"> “Për sektorin e gazit natyror”, i ndryshuar</w:t>
      </w:r>
      <w:r w:rsidR="009F1725">
        <w:rPr>
          <w:rFonts w:ascii="Garamond" w:eastAsiaTheme="minorHAnsi" w:hAnsi="Garamond" w:cs="Times New Roman"/>
          <w:color w:val="000000"/>
          <w:sz w:val="24"/>
          <w:szCs w:val="24"/>
        </w:rPr>
        <w:t>,</w:t>
      </w:r>
      <w:r w:rsidRPr="009F1725">
        <w:rPr>
          <w:rFonts w:ascii="Garamond" w:eastAsiaTheme="minorHAnsi" w:hAnsi="Garamond" w:cs="Times New Roman"/>
          <w:color w:val="000000"/>
          <w:sz w:val="24"/>
          <w:szCs w:val="24"/>
        </w:rPr>
        <w:t xml:space="preserve"> dhe nenit 5, pika 1, të “Rregullores për procedurat e vendosjes dhe reduktimit të gjobave” miratuar me vendimin nr. 125, datë 29.7.2016, të </w:t>
      </w:r>
      <w:r w:rsidR="009F1725" w:rsidRPr="009F1725">
        <w:rPr>
          <w:rFonts w:ascii="Garamond" w:eastAsiaTheme="minorHAnsi" w:hAnsi="Garamond" w:cs="Times New Roman"/>
          <w:color w:val="000000"/>
          <w:sz w:val="24"/>
          <w:szCs w:val="24"/>
        </w:rPr>
        <w:t xml:space="preserve">Bordit </w:t>
      </w:r>
      <w:r w:rsidRPr="009F1725">
        <w:rPr>
          <w:rFonts w:ascii="Garamond" w:eastAsiaTheme="minorHAnsi" w:hAnsi="Garamond" w:cs="Times New Roman"/>
          <w:color w:val="000000"/>
          <w:sz w:val="24"/>
          <w:szCs w:val="24"/>
        </w:rPr>
        <w:t>të ERE-s.</w:t>
      </w:r>
    </w:p>
    <w:p w14:paraId="206C3788" w14:textId="3E19C345"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 4. Për të licencuarit, për të cilët pagesa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për vitin aktual është pezulluar, nëse do të ndryshojnë rrethanat ligjore, që çuan në pezullim, ky vendim do të jetë objekt rishikimi sa i përket përllogaritjes së pagesave </w:t>
      </w:r>
      <w:proofErr w:type="spellStart"/>
      <w:r w:rsidRPr="009F1725">
        <w:rPr>
          <w:rFonts w:ascii="Garamond" w:eastAsiaTheme="minorHAnsi" w:hAnsi="Garamond" w:cs="Times New Roman"/>
          <w:color w:val="000000"/>
          <w:sz w:val="24"/>
          <w:szCs w:val="24"/>
        </w:rPr>
        <w:t>rregullatore</w:t>
      </w:r>
      <w:proofErr w:type="spellEnd"/>
      <w:r w:rsidRPr="009F1725">
        <w:rPr>
          <w:rFonts w:ascii="Garamond" w:eastAsiaTheme="minorHAnsi" w:hAnsi="Garamond" w:cs="Times New Roman"/>
          <w:color w:val="000000"/>
          <w:sz w:val="24"/>
          <w:szCs w:val="24"/>
        </w:rPr>
        <w:t xml:space="preserve"> që do të rezultojnë. </w:t>
      </w:r>
    </w:p>
    <w:p w14:paraId="3473BEBD" w14:textId="77777777"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Ky vendim hyn në fuqi menjëherë. </w:t>
      </w:r>
    </w:p>
    <w:p w14:paraId="79A0ABB8" w14:textId="23E345EF"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 xml:space="preserve">Çdo palë e përfshirë në këtë procedurë mund t’i kërkojë ERE-s, brenda 7 ditëve kalendarike nga data e marrjes së vendimit, rishikimin e vendimit të </w:t>
      </w:r>
      <w:r w:rsidR="009F1725" w:rsidRPr="009F1725">
        <w:rPr>
          <w:rFonts w:ascii="Garamond" w:eastAsiaTheme="minorHAnsi" w:hAnsi="Garamond" w:cs="Times New Roman"/>
          <w:color w:val="000000"/>
          <w:sz w:val="24"/>
          <w:szCs w:val="24"/>
        </w:rPr>
        <w:t xml:space="preserve">Bordit </w:t>
      </w:r>
      <w:r w:rsidRPr="009F1725">
        <w:rPr>
          <w:rFonts w:ascii="Garamond" w:eastAsiaTheme="minorHAnsi" w:hAnsi="Garamond" w:cs="Times New Roman"/>
          <w:color w:val="000000"/>
          <w:sz w:val="24"/>
          <w:szCs w:val="24"/>
        </w:rPr>
        <w:t xml:space="preserve">në rast se ka siguruar prova të reja që mund ta çojnë </w:t>
      </w:r>
      <w:r w:rsidR="009F1725" w:rsidRPr="009F1725">
        <w:rPr>
          <w:rFonts w:ascii="Garamond" w:eastAsiaTheme="minorHAnsi" w:hAnsi="Garamond" w:cs="Times New Roman"/>
          <w:color w:val="000000"/>
          <w:sz w:val="24"/>
          <w:szCs w:val="24"/>
        </w:rPr>
        <w:t xml:space="preserve">Bordin </w:t>
      </w:r>
      <w:r w:rsidRPr="009F1725">
        <w:rPr>
          <w:rFonts w:ascii="Garamond" w:eastAsiaTheme="minorHAnsi" w:hAnsi="Garamond" w:cs="Times New Roman"/>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329B75BE" w14:textId="77777777"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9F1725">
        <w:rPr>
          <w:rFonts w:ascii="Garamond" w:eastAsiaTheme="minorHAnsi" w:hAnsi="Garamond" w:cs="Times New Roman"/>
          <w:color w:val="000000"/>
          <w:sz w:val="24"/>
          <w:szCs w:val="24"/>
        </w:rPr>
        <w:t>Ky vendim botohet në Fletoren Zyrtare.</w:t>
      </w:r>
    </w:p>
    <w:p w14:paraId="1100D0A5" w14:textId="77777777" w:rsidR="00271E32" w:rsidRPr="009F1725" w:rsidRDefault="00271E32" w:rsidP="00271E32">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6750FC84" w14:textId="58987E80" w:rsidR="00271E32" w:rsidRPr="009F1725" w:rsidRDefault="00271E32" w:rsidP="00271E32">
      <w:pPr>
        <w:tabs>
          <w:tab w:val="left" w:pos="8200"/>
        </w:tabs>
        <w:autoSpaceDE w:val="0"/>
        <w:autoSpaceDN w:val="0"/>
        <w:adjustRightInd w:val="0"/>
        <w:spacing w:after="0" w:line="240" w:lineRule="auto"/>
        <w:ind w:firstLine="284"/>
        <w:jc w:val="right"/>
        <w:rPr>
          <w:rFonts w:ascii="Garamond" w:eastAsiaTheme="minorHAnsi" w:hAnsi="Garamond" w:cs="Times New Roman"/>
          <w:bCs/>
          <w:color w:val="000000"/>
          <w:sz w:val="24"/>
          <w:szCs w:val="24"/>
        </w:rPr>
      </w:pPr>
      <w:r w:rsidRPr="009F1725">
        <w:rPr>
          <w:rFonts w:ascii="Garamond" w:eastAsiaTheme="minorHAnsi" w:hAnsi="Garamond" w:cs="Times New Roman"/>
          <w:bCs/>
          <w:color w:val="000000"/>
          <w:sz w:val="24"/>
          <w:szCs w:val="24"/>
        </w:rPr>
        <w:t>KRYETAR</w:t>
      </w:r>
    </w:p>
    <w:p w14:paraId="28F44519" w14:textId="7BAFE173" w:rsidR="00271E32" w:rsidRPr="009F1725" w:rsidRDefault="00271E32" w:rsidP="00271E32">
      <w:pPr>
        <w:tabs>
          <w:tab w:val="left" w:pos="8200"/>
        </w:tabs>
        <w:autoSpaceDE w:val="0"/>
        <w:autoSpaceDN w:val="0"/>
        <w:adjustRightInd w:val="0"/>
        <w:spacing w:after="0" w:line="240" w:lineRule="auto"/>
        <w:ind w:firstLine="284"/>
        <w:jc w:val="right"/>
        <w:rPr>
          <w:rFonts w:ascii="Garamond" w:eastAsiaTheme="minorHAnsi" w:hAnsi="Garamond" w:cs="Times New Roman"/>
          <w:b/>
          <w:bCs/>
          <w:color w:val="000000"/>
          <w:sz w:val="24"/>
          <w:szCs w:val="24"/>
        </w:rPr>
      </w:pPr>
      <w:r w:rsidRPr="009F1725">
        <w:rPr>
          <w:rFonts w:ascii="Garamond" w:eastAsiaTheme="minorHAnsi" w:hAnsi="Garamond" w:cs="Times New Roman"/>
          <w:b/>
          <w:bCs/>
          <w:color w:val="000000"/>
          <w:sz w:val="24"/>
          <w:szCs w:val="24"/>
        </w:rPr>
        <w:t xml:space="preserve">Petrit </w:t>
      </w:r>
      <w:proofErr w:type="spellStart"/>
      <w:r w:rsidRPr="009F1725">
        <w:rPr>
          <w:rFonts w:ascii="Garamond" w:eastAsiaTheme="minorHAnsi" w:hAnsi="Garamond" w:cs="Times New Roman"/>
          <w:b/>
          <w:bCs/>
          <w:color w:val="000000"/>
          <w:sz w:val="24"/>
          <w:szCs w:val="24"/>
        </w:rPr>
        <w:t>Ahmeti</w:t>
      </w:r>
      <w:proofErr w:type="spellEnd"/>
    </w:p>
    <w:p w14:paraId="60A8BB78" w14:textId="1FDB7787" w:rsidR="007606FE" w:rsidRPr="009F1725" w:rsidRDefault="007606FE" w:rsidP="00271E32">
      <w:pPr>
        <w:spacing w:after="0" w:line="240" w:lineRule="auto"/>
        <w:ind w:firstLine="284"/>
        <w:rPr>
          <w:rFonts w:ascii="Garamond" w:hAnsi="Garamond" w:cs="Times New Roman"/>
          <w:sz w:val="24"/>
          <w:szCs w:val="24"/>
        </w:rPr>
      </w:pPr>
    </w:p>
    <w:p w14:paraId="545E27FE" w14:textId="77777777" w:rsidR="007606FE" w:rsidRPr="009F1725" w:rsidRDefault="007606FE" w:rsidP="00271E32">
      <w:pPr>
        <w:pStyle w:val="BodyText"/>
        <w:spacing w:after="0"/>
        <w:ind w:firstLine="284"/>
        <w:rPr>
          <w:rFonts w:ascii="Garamond" w:hAnsi="Garamond"/>
          <w:b/>
          <w:sz w:val="24"/>
          <w:szCs w:val="24"/>
          <w:lang w:val="sq-AL"/>
        </w:rPr>
      </w:pPr>
    </w:p>
    <w:p w14:paraId="3B312C6A" w14:textId="43087009" w:rsidR="007606FE" w:rsidRPr="009F1725" w:rsidRDefault="007606FE" w:rsidP="00271E32">
      <w:pPr>
        <w:pStyle w:val="BodyText"/>
        <w:spacing w:after="0"/>
        <w:ind w:firstLine="284"/>
        <w:jc w:val="center"/>
        <w:rPr>
          <w:rFonts w:ascii="Garamond" w:hAnsi="Garamond"/>
          <w:b/>
          <w:sz w:val="24"/>
          <w:szCs w:val="24"/>
          <w:lang w:val="sq-AL"/>
        </w:rPr>
      </w:pPr>
    </w:p>
    <w:p w14:paraId="35BEDCE4" w14:textId="762CE593" w:rsidR="00F55B23" w:rsidRPr="009F1725" w:rsidRDefault="00F55B23" w:rsidP="00271E32">
      <w:pPr>
        <w:pStyle w:val="BodyText"/>
        <w:spacing w:after="0"/>
        <w:ind w:firstLine="284"/>
        <w:jc w:val="center"/>
        <w:rPr>
          <w:rFonts w:ascii="Garamond" w:hAnsi="Garamond"/>
          <w:b/>
          <w:sz w:val="24"/>
          <w:szCs w:val="24"/>
          <w:lang w:val="sq-AL"/>
        </w:rPr>
      </w:pPr>
    </w:p>
    <w:p w14:paraId="337034EF" w14:textId="72AB8A77" w:rsidR="00F55B23" w:rsidRPr="009F1725" w:rsidRDefault="00F55B23" w:rsidP="00271E32">
      <w:pPr>
        <w:pStyle w:val="BodyText"/>
        <w:spacing w:after="0"/>
        <w:ind w:firstLine="284"/>
        <w:jc w:val="center"/>
        <w:rPr>
          <w:rFonts w:ascii="Garamond" w:hAnsi="Garamond"/>
          <w:b/>
          <w:sz w:val="24"/>
          <w:szCs w:val="24"/>
          <w:lang w:val="sq-AL"/>
        </w:rPr>
      </w:pPr>
    </w:p>
    <w:p w14:paraId="55AE735C" w14:textId="208C7940" w:rsidR="00F55B23" w:rsidRPr="009F1725" w:rsidRDefault="00F55B23" w:rsidP="00271E32">
      <w:pPr>
        <w:pStyle w:val="BodyText"/>
        <w:spacing w:after="0"/>
        <w:ind w:firstLine="284"/>
        <w:rPr>
          <w:rFonts w:ascii="Garamond" w:hAnsi="Garamond"/>
          <w:b/>
          <w:sz w:val="24"/>
          <w:szCs w:val="24"/>
          <w:lang w:val="sq-AL"/>
        </w:rPr>
      </w:pPr>
    </w:p>
    <w:p w14:paraId="24CD5D32" w14:textId="3F5805A4" w:rsidR="00F55B23" w:rsidRPr="009F1725" w:rsidRDefault="00F55B23" w:rsidP="00271E32">
      <w:pPr>
        <w:pStyle w:val="BodyText"/>
        <w:spacing w:after="0"/>
        <w:ind w:firstLine="284"/>
        <w:rPr>
          <w:rFonts w:ascii="Garamond" w:hAnsi="Garamond"/>
          <w:b/>
          <w:sz w:val="24"/>
          <w:szCs w:val="24"/>
          <w:lang w:val="sq-AL"/>
        </w:rPr>
      </w:pPr>
    </w:p>
    <w:p w14:paraId="2EDD3B0C" w14:textId="782F065C" w:rsidR="00DC0E96" w:rsidRPr="009F1725" w:rsidRDefault="00DC0E96" w:rsidP="00271E32">
      <w:pPr>
        <w:pStyle w:val="BodyText"/>
        <w:spacing w:after="0"/>
        <w:ind w:firstLine="284"/>
        <w:rPr>
          <w:rFonts w:ascii="Garamond" w:hAnsi="Garamond"/>
          <w:b/>
          <w:sz w:val="24"/>
          <w:szCs w:val="24"/>
          <w:lang w:val="sq-AL"/>
        </w:rPr>
      </w:pPr>
    </w:p>
    <w:p w14:paraId="3F13F0CE" w14:textId="7B09F290" w:rsidR="00DC0E96" w:rsidRPr="009F1725" w:rsidRDefault="00DC0E96" w:rsidP="00271E32">
      <w:pPr>
        <w:pStyle w:val="BodyText"/>
        <w:spacing w:after="0"/>
        <w:ind w:firstLine="284"/>
        <w:rPr>
          <w:rFonts w:ascii="Garamond" w:hAnsi="Garamond"/>
          <w:b/>
          <w:sz w:val="24"/>
          <w:szCs w:val="24"/>
          <w:lang w:val="sq-AL"/>
        </w:rPr>
      </w:pPr>
    </w:p>
    <w:p w14:paraId="47AB7573" w14:textId="321B681A" w:rsidR="00DC0E96" w:rsidRPr="009F1725" w:rsidRDefault="008865C1" w:rsidP="00271E32">
      <w:pPr>
        <w:pStyle w:val="BodyText"/>
        <w:spacing w:after="0"/>
        <w:jc w:val="center"/>
        <w:rPr>
          <w:rFonts w:ascii="Garamond" w:hAnsi="Garamond"/>
          <w:sz w:val="24"/>
          <w:szCs w:val="24"/>
          <w:lang w:val="sq-AL"/>
        </w:rPr>
      </w:pPr>
      <w:r w:rsidRPr="009F1725">
        <w:rPr>
          <w:rFonts w:ascii="Garamond" w:hAnsi="Garamond"/>
          <w:sz w:val="24"/>
          <w:szCs w:val="24"/>
          <w:lang w:val="sq-AL"/>
        </w:rPr>
        <w:lastRenderedPageBreak/>
        <w:drawing>
          <wp:inline distT="0" distB="0" distL="0" distR="0" wp14:anchorId="60757407" wp14:editId="14F10E6E">
            <wp:extent cx="5724525" cy="824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8248650"/>
                    </a:xfrm>
                    <a:prstGeom prst="rect">
                      <a:avLst/>
                    </a:prstGeom>
                    <a:noFill/>
                    <a:ln>
                      <a:noFill/>
                    </a:ln>
                  </pic:spPr>
                </pic:pic>
              </a:graphicData>
            </a:graphic>
          </wp:inline>
        </w:drawing>
      </w:r>
    </w:p>
    <w:p w14:paraId="5C3621C9" w14:textId="4BEF2931" w:rsidR="00EB095A" w:rsidRPr="009F1725" w:rsidRDefault="00EB095A" w:rsidP="00271E32">
      <w:pPr>
        <w:pStyle w:val="BodyText"/>
        <w:spacing w:after="0"/>
        <w:rPr>
          <w:rFonts w:ascii="Garamond" w:hAnsi="Garamond"/>
          <w:sz w:val="24"/>
          <w:szCs w:val="24"/>
          <w:lang w:val="sq-AL"/>
        </w:rPr>
      </w:pPr>
    </w:p>
    <w:p w14:paraId="4B8F6B6C" w14:textId="310C2879" w:rsidR="00EB095A" w:rsidRPr="009F1725" w:rsidRDefault="00EB095A" w:rsidP="00271E32">
      <w:pPr>
        <w:pStyle w:val="BodyText"/>
        <w:spacing w:after="0"/>
        <w:rPr>
          <w:rFonts w:ascii="Garamond" w:hAnsi="Garamond"/>
          <w:sz w:val="24"/>
          <w:szCs w:val="24"/>
          <w:lang w:val="sq-AL"/>
        </w:rPr>
      </w:pPr>
    </w:p>
    <w:p w14:paraId="501E6078" w14:textId="6075B80B" w:rsidR="00EB095A" w:rsidRPr="009F1725" w:rsidRDefault="008865C1" w:rsidP="00271E32">
      <w:pPr>
        <w:pStyle w:val="BodyText"/>
        <w:spacing w:after="0"/>
        <w:jc w:val="center"/>
        <w:rPr>
          <w:rFonts w:ascii="Garamond" w:hAnsi="Garamond"/>
          <w:sz w:val="24"/>
          <w:szCs w:val="24"/>
          <w:lang w:val="sq-AL"/>
        </w:rPr>
      </w:pPr>
      <w:r w:rsidRPr="009F1725">
        <w:rPr>
          <w:rFonts w:ascii="Garamond" w:hAnsi="Garamond"/>
          <w:sz w:val="24"/>
          <w:szCs w:val="24"/>
          <w:lang w:val="sq-AL"/>
        </w:rPr>
        <w:lastRenderedPageBreak/>
        <w:drawing>
          <wp:inline distT="0" distB="0" distL="0" distR="0" wp14:anchorId="1F22785B" wp14:editId="0870064A">
            <wp:extent cx="5724525" cy="82105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4525" cy="8210550"/>
                    </a:xfrm>
                    <a:prstGeom prst="rect">
                      <a:avLst/>
                    </a:prstGeom>
                    <a:noFill/>
                    <a:ln>
                      <a:noFill/>
                    </a:ln>
                  </pic:spPr>
                </pic:pic>
              </a:graphicData>
            </a:graphic>
          </wp:inline>
        </w:drawing>
      </w:r>
    </w:p>
    <w:p w14:paraId="7D5D785B" w14:textId="5D62AE50" w:rsidR="00EB095A" w:rsidRPr="009F1725" w:rsidRDefault="008865C1" w:rsidP="00271E32">
      <w:pPr>
        <w:pStyle w:val="BodyText"/>
        <w:spacing w:after="0"/>
        <w:jc w:val="center"/>
        <w:rPr>
          <w:rFonts w:ascii="Garamond" w:hAnsi="Garamond"/>
          <w:sz w:val="24"/>
          <w:szCs w:val="24"/>
          <w:lang w:val="sq-AL"/>
        </w:rPr>
      </w:pPr>
      <w:r w:rsidRPr="009F1725">
        <w:rPr>
          <w:rFonts w:ascii="Garamond" w:hAnsi="Garamond"/>
          <w:sz w:val="24"/>
          <w:szCs w:val="24"/>
          <w:lang w:val="sq-AL"/>
        </w:rPr>
        <w:lastRenderedPageBreak/>
        <w:drawing>
          <wp:inline distT="0" distB="0" distL="0" distR="0" wp14:anchorId="2DC60BEE" wp14:editId="21C46D46">
            <wp:extent cx="5724525" cy="82105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525" cy="8210550"/>
                    </a:xfrm>
                    <a:prstGeom prst="rect">
                      <a:avLst/>
                    </a:prstGeom>
                    <a:noFill/>
                    <a:ln>
                      <a:noFill/>
                    </a:ln>
                  </pic:spPr>
                </pic:pic>
              </a:graphicData>
            </a:graphic>
          </wp:inline>
        </w:drawing>
      </w:r>
    </w:p>
    <w:p w14:paraId="5EAF5992" w14:textId="27385D10" w:rsidR="00EB095A" w:rsidRPr="009F1725" w:rsidRDefault="00EB095A" w:rsidP="00271E32">
      <w:pPr>
        <w:pStyle w:val="BodyText"/>
        <w:spacing w:after="0"/>
        <w:rPr>
          <w:rFonts w:ascii="Garamond" w:hAnsi="Garamond"/>
          <w:sz w:val="24"/>
          <w:szCs w:val="24"/>
          <w:lang w:val="sq-AL"/>
        </w:rPr>
      </w:pPr>
    </w:p>
    <w:p w14:paraId="52F20F17" w14:textId="2B39BC46" w:rsidR="00EB095A" w:rsidRPr="009F1725" w:rsidRDefault="00EB095A" w:rsidP="00271E32">
      <w:pPr>
        <w:pStyle w:val="BodyText"/>
        <w:spacing w:after="0"/>
        <w:rPr>
          <w:rFonts w:ascii="Garamond" w:hAnsi="Garamond"/>
          <w:sz w:val="24"/>
          <w:szCs w:val="24"/>
          <w:lang w:val="sq-AL"/>
        </w:rPr>
      </w:pPr>
    </w:p>
    <w:p w14:paraId="60F897E1" w14:textId="777F6749" w:rsidR="00EB095A" w:rsidRPr="009F1725" w:rsidRDefault="008865C1" w:rsidP="00271E32">
      <w:pPr>
        <w:pStyle w:val="BodyText"/>
        <w:spacing w:after="0"/>
        <w:jc w:val="center"/>
        <w:rPr>
          <w:rFonts w:ascii="Garamond" w:hAnsi="Garamond"/>
          <w:sz w:val="24"/>
          <w:szCs w:val="24"/>
          <w:lang w:val="sq-AL"/>
        </w:rPr>
      </w:pPr>
      <w:r w:rsidRPr="009F1725">
        <w:rPr>
          <w:rFonts w:ascii="Garamond" w:hAnsi="Garamond"/>
          <w:sz w:val="24"/>
          <w:szCs w:val="24"/>
          <w:lang w:val="sq-AL"/>
        </w:rPr>
        <w:lastRenderedPageBreak/>
        <w:drawing>
          <wp:inline distT="0" distB="0" distL="0" distR="0" wp14:anchorId="6DAA5580" wp14:editId="3A9F049D">
            <wp:extent cx="5724525" cy="82105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525" cy="8210550"/>
                    </a:xfrm>
                    <a:prstGeom prst="rect">
                      <a:avLst/>
                    </a:prstGeom>
                    <a:noFill/>
                    <a:ln>
                      <a:noFill/>
                    </a:ln>
                  </pic:spPr>
                </pic:pic>
              </a:graphicData>
            </a:graphic>
          </wp:inline>
        </w:drawing>
      </w:r>
    </w:p>
    <w:p w14:paraId="3942CFAB" w14:textId="5325B520" w:rsidR="00EB095A" w:rsidRPr="009F1725" w:rsidRDefault="00EB095A" w:rsidP="00271E32">
      <w:pPr>
        <w:pStyle w:val="BodyText"/>
        <w:spacing w:after="0"/>
        <w:rPr>
          <w:rFonts w:ascii="Garamond" w:hAnsi="Garamond"/>
          <w:sz w:val="24"/>
          <w:szCs w:val="24"/>
          <w:lang w:val="sq-AL"/>
        </w:rPr>
      </w:pPr>
    </w:p>
    <w:p w14:paraId="68A27CF1" w14:textId="6E65EECC" w:rsidR="00EB095A" w:rsidRPr="009F1725" w:rsidRDefault="008865C1" w:rsidP="00271E32">
      <w:pPr>
        <w:pStyle w:val="BodyText"/>
        <w:spacing w:after="0"/>
        <w:jc w:val="center"/>
        <w:rPr>
          <w:rFonts w:ascii="Garamond" w:hAnsi="Garamond"/>
          <w:sz w:val="24"/>
          <w:szCs w:val="24"/>
          <w:lang w:val="sq-AL"/>
        </w:rPr>
      </w:pPr>
      <w:r w:rsidRPr="009F1725">
        <w:rPr>
          <w:rFonts w:ascii="Garamond" w:hAnsi="Garamond"/>
          <w:sz w:val="24"/>
          <w:szCs w:val="24"/>
          <w:lang w:val="sq-AL"/>
        </w:rPr>
        <w:lastRenderedPageBreak/>
        <w:drawing>
          <wp:inline distT="0" distB="0" distL="0" distR="0" wp14:anchorId="5786F5BA" wp14:editId="6F8DD6E1">
            <wp:extent cx="5724525" cy="43338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4525" cy="4333875"/>
                    </a:xfrm>
                    <a:prstGeom prst="rect">
                      <a:avLst/>
                    </a:prstGeom>
                    <a:noFill/>
                    <a:ln>
                      <a:noFill/>
                    </a:ln>
                  </pic:spPr>
                </pic:pic>
              </a:graphicData>
            </a:graphic>
          </wp:inline>
        </w:drawing>
      </w:r>
    </w:p>
    <w:p w14:paraId="6349F281" w14:textId="26E930C2" w:rsidR="00EB095A" w:rsidRPr="009F1725" w:rsidRDefault="00EB095A" w:rsidP="00271E32">
      <w:pPr>
        <w:pStyle w:val="BodyText"/>
        <w:spacing w:after="0"/>
        <w:rPr>
          <w:rFonts w:ascii="Garamond" w:hAnsi="Garamond"/>
          <w:sz w:val="24"/>
          <w:szCs w:val="24"/>
          <w:lang w:val="sq-AL"/>
        </w:rPr>
      </w:pPr>
    </w:p>
    <w:p w14:paraId="2313E835" w14:textId="51053418" w:rsidR="00EB095A" w:rsidRPr="009F1725" w:rsidRDefault="008865C1" w:rsidP="00271E32">
      <w:pPr>
        <w:pStyle w:val="BodyText"/>
        <w:spacing w:after="0"/>
        <w:jc w:val="both"/>
        <w:rPr>
          <w:rFonts w:ascii="Garamond" w:hAnsi="Garamond"/>
          <w:sz w:val="24"/>
          <w:szCs w:val="24"/>
          <w:lang w:val="sq-AL"/>
        </w:rPr>
      </w:pPr>
      <w:r w:rsidRPr="009F1725">
        <w:rPr>
          <w:rFonts w:ascii="Garamond" w:hAnsi="Garamond"/>
          <w:sz w:val="24"/>
          <w:szCs w:val="24"/>
          <w:lang w:val="sq-AL"/>
        </w:rPr>
        <w:drawing>
          <wp:inline distT="0" distB="0" distL="0" distR="0" wp14:anchorId="4FAC5030" wp14:editId="208D289E">
            <wp:extent cx="5724525" cy="21717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4525" cy="2171700"/>
                    </a:xfrm>
                    <a:prstGeom prst="rect">
                      <a:avLst/>
                    </a:prstGeom>
                    <a:noFill/>
                    <a:ln>
                      <a:noFill/>
                    </a:ln>
                  </pic:spPr>
                </pic:pic>
              </a:graphicData>
            </a:graphic>
          </wp:inline>
        </w:drawing>
      </w:r>
    </w:p>
    <w:p w14:paraId="57DDE89D" w14:textId="797D68A1" w:rsidR="00EB095A" w:rsidRPr="009F1725" w:rsidRDefault="00EB095A" w:rsidP="00271E32">
      <w:pPr>
        <w:pStyle w:val="BodyText"/>
        <w:spacing w:after="0"/>
        <w:rPr>
          <w:rFonts w:ascii="Garamond" w:hAnsi="Garamond"/>
          <w:sz w:val="24"/>
          <w:szCs w:val="24"/>
          <w:lang w:val="sq-AL"/>
        </w:rPr>
      </w:pPr>
    </w:p>
    <w:p w14:paraId="34BD1F6B" w14:textId="50D30014" w:rsidR="00EB095A" w:rsidRPr="009F1725" w:rsidRDefault="00EB095A" w:rsidP="00271E32">
      <w:pPr>
        <w:pStyle w:val="BodyText"/>
        <w:spacing w:after="0"/>
        <w:rPr>
          <w:rFonts w:ascii="Garamond" w:hAnsi="Garamond"/>
          <w:sz w:val="24"/>
          <w:szCs w:val="24"/>
          <w:lang w:val="sq-AL"/>
        </w:rPr>
      </w:pPr>
    </w:p>
    <w:p w14:paraId="49B6E47E" w14:textId="08689ED4" w:rsidR="008865C1" w:rsidRPr="009F1725" w:rsidRDefault="008865C1" w:rsidP="00271E32">
      <w:pPr>
        <w:pStyle w:val="BodyText"/>
        <w:spacing w:after="0"/>
        <w:rPr>
          <w:rFonts w:ascii="Garamond" w:hAnsi="Garamond"/>
          <w:sz w:val="24"/>
          <w:szCs w:val="24"/>
          <w:lang w:val="sq-AL"/>
        </w:rPr>
      </w:pPr>
    </w:p>
    <w:p w14:paraId="30A1D175" w14:textId="4AED2FF3" w:rsidR="008865C1" w:rsidRPr="009F1725" w:rsidRDefault="008865C1" w:rsidP="00271E32">
      <w:pPr>
        <w:pStyle w:val="BodyText"/>
        <w:spacing w:after="0"/>
        <w:rPr>
          <w:rFonts w:ascii="Garamond" w:hAnsi="Garamond"/>
          <w:sz w:val="24"/>
          <w:szCs w:val="24"/>
          <w:lang w:val="sq-AL"/>
        </w:rPr>
      </w:pPr>
    </w:p>
    <w:p w14:paraId="08554AD5" w14:textId="4B2480C8" w:rsidR="008865C1" w:rsidRPr="009F1725" w:rsidRDefault="008865C1" w:rsidP="00271E32">
      <w:pPr>
        <w:pStyle w:val="BodyText"/>
        <w:spacing w:after="0"/>
        <w:rPr>
          <w:rFonts w:ascii="Garamond" w:hAnsi="Garamond"/>
          <w:sz w:val="24"/>
          <w:szCs w:val="24"/>
          <w:lang w:val="sq-AL"/>
        </w:rPr>
      </w:pPr>
    </w:p>
    <w:p w14:paraId="526D435C" w14:textId="7D22A772" w:rsidR="008865C1" w:rsidRPr="009F1725" w:rsidRDefault="008865C1" w:rsidP="00271E32">
      <w:pPr>
        <w:pStyle w:val="BodyText"/>
        <w:spacing w:after="0"/>
        <w:jc w:val="center"/>
        <w:rPr>
          <w:rFonts w:ascii="Garamond" w:hAnsi="Garamond"/>
          <w:sz w:val="24"/>
          <w:szCs w:val="24"/>
          <w:lang w:val="sq-AL"/>
        </w:rPr>
      </w:pPr>
      <w:r w:rsidRPr="009F1725">
        <w:rPr>
          <w:rFonts w:ascii="Garamond" w:hAnsi="Garamond"/>
          <w:sz w:val="24"/>
          <w:szCs w:val="24"/>
          <w:lang w:val="sq-AL"/>
        </w:rPr>
        <w:lastRenderedPageBreak/>
        <w:drawing>
          <wp:inline distT="0" distB="0" distL="0" distR="0" wp14:anchorId="357EB05C" wp14:editId="58407B48">
            <wp:extent cx="5781675" cy="61912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92955" cy="6203329"/>
                    </a:xfrm>
                    <a:prstGeom prst="rect">
                      <a:avLst/>
                    </a:prstGeom>
                    <a:noFill/>
                    <a:ln>
                      <a:noFill/>
                    </a:ln>
                  </pic:spPr>
                </pic:pic>
              </a:graphicData>
            </a:graphic>
          </wp:inline>
        </w:drawing>
      </w:r>
    </w:p>
    <w:p w14:paraId="7809F2B3" w14:textId="09B0C9B8" w:rsidR="00EB095A" w:rsidRPr="009F1725" w:rsidRDefault="00EB095A" w:rsidP="00271E32">
      <w:pPr>
        <w:pStyle w:val="BodyText"/>
        <w:spacing w:after="0"/>
        <w:rPr>
          <w:rFonts w:ascii="Garamond" w:hAnsi="Garamond"/>
          <w:sz w:val="24"/>
          <w:szCs w:val="24"/>
          <w:lang w:val="sq-AL"/>
        </w:rPr>
      </w:pPr>
    </w:p>
    <w:p w14:paraId="5E374300" w14:textId="091248D2" w:rsidR="008865C1" w:rsidRPr="009F1725" w:rsidRDefault="008865C1" w:rsidP="00271E32">
      <w:pPr>
        <w:pStyle w:val="BodyText"/>
        <w:spacing w:after="0"/>
        <w:rPr>
          <w:rFonts w:ascii="Garamond" w:hAnsi="Garamond"/>
          <w:sz w:val="24"/>
          <w:szCs w:val="24"/>
          <w:lang w:val="sq-AL"/>
        </w:rPr>
      </w:pPr>
    </w:p>
    <w:p w14:paraId="1D805065" w14:textId="4613AA41" w:rsidR="008865C1" w:rsidRPr="009F1725" w:rsidRDefault="008865C1" w:rsidP="00271E32">
      <w:pPr>
        <w:pStyle w:val="BodyText"/>
        <w:spacing w:after="0"/>
        <w:rPr>
          <w:rFonts w:ascii="Garamond" w:hAnsi="Garamond"/>
          <w:sz w:val="24"/>
          <w:szCs w:val="24"/>
          <w:lang w:val="sq-AL"/>
        </w:rPr>
      </w:pPr>
      <w:r w:rsidRPr="009F1725">
        <w:rPr>
          <w:rFonts w:ascii="Garamond" w:hAnsi="Garamond"/>
          <w:sz w:val="24"/>
          <w:szCs w:val="24"/>
          <w:lang w:val="sq-AL"/>
        </w:rPr>
        <w:drawing>
          <wp:inline distT="0" distB="0" distL="0" distR="0" wp14:anchorId="7B776C42" wp14:editId="2F81085A">
            <wp:extent cx="5724525" cy="18573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4525" cy="1857375"/>
                    </a:xfrm>
                    <a:prstGeom prst="rect">
                      <a:avLst/>
                    </a:prstGeom>
                    <a:noFill/>
                    <a:ln>
                      <a:noFill/>
                    </a:ln>
                  </pic:spPr>
                </pic:pic>
              </a:graphicData>
            </a:graphic>
          </wp:inline>
        </w:drawing>
      </w:r>
    </w:p>
    <w:p w14:paraId="2E4968B0" w14:textId="5141E54E" w:rsidR="008865C1" w:rsidRPr="009F1725" w:rsidRDefault="008865C1" w:rsidP="00271E32">
      <w:pPr>
        <w:pStyle w:val="BodyText"/>
        <w:spacing w:after="0"/>
        <w:rPr>
          <w:rFonts w:ascii="Garamond" w:hAnsi="Garamond"/>
          <w:sz w:val="24"/>
          <w:szCs w:val="24"/>
          <w:lang w:val="sq-AL"/>
        </w:rPr>
      </w:pPr>
    </w:p>
    <w:p w14:paraId="6806B21B" w14:textId="63EBAEAB" w:rsidR="008865C1" w:rsidRPr="009F1725" w:rsidRDefault="008865C1" w:rsidP="00271E32">
      <w:pPr>
        <w:pStyle w:val="BodyText"/>
        <w:spacing w:after="0"/>
        <w:rPr>
          <w:rFonts w:ascii="Garamond" w:hAnsi="Garamond"/>
          <w:sz w:val="24"/>
          <w:szCs w:val="24"/>
          <w:lang w:val="sq-AL"/>
        </w:rPr>
      </w:pPr>
    </w:p>
    <w:p w14:paraId="6398AF6F" w14:textId="0B0F0AA5" w:rsidR="008865C1" w:rsidRPr="009F1725" w:rsidRDefault="008865C1" w:rsidP="00271E32">
      <w:pPr>
        <w:pStyle w:val="BodyText"/>
        <w:spacing w:after="0"/>
        <w:jc w:val="center"/>
        <w:rPr>
          <w:rFonts w:ascii="Garamond" w:hAnsi="Garamond"/>
          <w:sz w:val="24"/>
          <w:szCs w:val="24"/>
          <w:lang w:val="sq-AL"/>
        </w:rPr>
      </w:pPr>
      <w:r w:rsidRPr="009F1725">
        <w:rPr>
          <w:rFonts w:ascii="Garamond" w:hAnsi="Garamond"/>
          <w:sz w:val="24"/>
          <w:szCs w:val="24"/>
          <w:lang w:val="sq-AL"/>
        </w:rPr>
        <w:drawing>
          <wp:inline distT="0" distB="0" distL="0" distR="0" wp14:anchorId="5B1821A0" wp14:editId="48253E2E">
            <wp:extent cx="5648325" cy="83832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50671" cy="8386686"/>
                    </a:xfrm>
                    <a:prstGeom prst="rect">
                      <a:avLst/>
                    </a:prstGeom>
                    <a:noFill/>
                    <a:ln>
                      <a:noFill/>
                    </a:ln>
                  </pic:spPr>
                </pic:pic>
              </a:graphicData>
            </a:graphic>
          </wp:inline>
        </w:drawing>
      </w:r>
    </w:p>
    <w:p w14:paraId="553C6DC9" w14:textId="08817B73" w:rsidR="008865C1" w:rsidRPr="009F1725" w:rsidRDefault="008865C1" w:rsidP="00271E32">
      <w:pPr>
        <w:pStyle w:val="BodyText"/>
        <w:spacing w:after="0"/>
        <w:jc w:val="center"/>
        <w:rPr>
          <w:rFonts w:ascii="Garamond" w:hAnsi="Garamond"/>
          <w:sz w:val="24"/>
          <w:szCs w:val="24"/>
          <w:lang w:val="sq-AL"/>
        </w:rPr>
      </w:pPr>
      <w:r w:rsidRPr="009F1725">
        <w:rPr>
          <w:rFonts w:ascii="Garamond" w:hAnsi="Garamond"/>
          <w:sz w:val="24"/>
          <w:szCs w:val="24"/>
          <w:lang w:val="sq-AL"/>
        </w:rPr>
        <w:lastRenderedPageBreak/>
        <w:drawing>
          <wp:inline distT="0" distB="0" distL="0" distR="0" wp14:anchorId="6A69AB4A" wp14:editId="72DD1EC8">
            <wp:extent cx="5724525" cy="8343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4525" cy="8343900"/>
                    </a:xfrm>
                    <a:prstGeom prst="rect">
                      <a:avLst/>
                    </a:prstGeom>
                    <a:noFill/>
                    <a:ln>
                      <a:noFill/>
                    </a:ln>
                  </pic:spPr>
                </pic:pic>
              </a:graphicData>
            </a:graphic>
          </wp:inline>
        </w:drawing>
      </w:r>
    </w:p>
    <w:p w14:paraId="3A27CCB1" w14:textId="23E4832F" w:rsidR="008865C1" w:rsidRPr="009F1725" w:rsidRDefault="008865C1" w:rsidP="00271E32">
      <w:pPr>
        <w:pStyle w:val="BodyText"/>
        <w:spacing w:after="0"/>
        <w:rPr>
          <w:rFonts w:ascii="Garamond" w:hAnsi="Garamond"/>
          <w:sz w:val="24"/>
          <w:szCs w:val="24"/>
          <w:lang w:val="sq-AL"/>
        </w:rPr>
      </w:pPr>
    </w:p>
    <w:p w14:paraId="10897699" w14:textId="49E46B78" w:rsidR="008865C1" w:rsidRPr="009F1725" w:rsidRDefault="008865C1" w:rsidP="00271E32">
      <w:pPr>
        <w:pStyle w:val="BodyText"/>
        <w:spacing w:after="0"/>
        <w:jc w:val="center"/>
        <w:rPr>
          <w:rFonts w:ascii="Garamond" w:hAnsi="Garamond"/>
          <w:sz w:val="24"/>
          <w:szCs w:val="24"/>
          <w:lang w:val="sq-AL"/>
        </w:rPr>
      </w:pPr>
      <w:r w:rsidRPr="009F1725">
        <w:rPr>
          <w:rFonts w:ascii="Garamond" w:hAnsi="Garamond"/>
          <w:sz w:val="24"/>
          <w:szCs w:val="24"/>
          <w:lang w:val="sq-AL"/>
        </w:rPr>
        <w:lastRenderedPageBreak/>
        <w:drawing>
          <wp:inline distT="0" distB="0" distL="0" distR="0" wp14:anchorId="5AFBB9AD" wp14:editId="060F0EF2">
            <wp:extent cx="5724525" cy="3714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4525" cy="3714750"/>
                    </a:xfrm>
                    <a:prstGeom prst="rect">
                      <a:avLst/>
                    </a:prstGeom>
                    <a:noFill/>
                    <a:ln>
                      <a:noFill/>
                    </a:ln>
                  </pic:spPr>
                </pic:pic>
              </a:graphicData>
            </a:graphic>
          </wp:inline>
        </w:drawing>
      </w:r>
    </w:p>
    <w:p w14:paraId="42513B5D" w14:textId="77777777" w:rsidR="008865C1" w:rsidRPr="009F1725" w:rsidRDefault="008865C1" w:rsidP="00271E32">
      <w:pPr>
        <w:pStyle w:val="BodyText"/>
        <w:spacing w:after="0"/>
        <w:rPr>
          <w:rFonts w:ascii="Garamond" w:hAnsi="Garamond"/>
          <w:sz w:val="24"/>
          <w:szCs w:val="24"/>
          <w:lang w:val="sq-AL"/>
        </w:rPr>
      </w:pPr>
    </w:p>
    <w:p w14:paraId="6F063971" w14:textId="27464028" w:rsidR="00EB095A" w:rsidRPr="009F1725" w:rsidRDefault="008865C1" w:rsidP="00271E32">
      <w:pPr>
        <w:pStyle w:val="BodyText"/>
        <w:spacing w:after="0"/>
        <w:jc w:val="center"/>
        <w:rPr>
          <w:rFonts w:ascii="Garamond" w:hAnsi="Garamond"/>
          <w:sz w:val="24"/>
          <w:szCs w:val="24"/>
          <w:lang w:val="sq-AL"/>
        </w:rPr>
      </w:pPr>
      <w:r w:rsidRPr="009F1725">
        <w:rPr>
          <w:rFonts w:ascii="Garamond" w:hAnsi="Garamond"/>
          <w:sz w:val="24"/>
          <w:szCs w:val="24"/>
          <w:lang w:val="sq-AL"/>
        </w:rPr>
        <w:drawing>
          <wp:inline distT="0" distB="0" distL="0" distR="0" wp14:anchorId="4D1816CC" wp14:editId="302F68E7">
            <wp:extent cx="5724525" cy="14001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4525" cy="1400175"/>
                    </a:xfrm>
                    <a:prstGeom prst="rect">
                      <a:avLst/>
                    </a:prstGeom>
                    <a:noFill/>
                    <a:ln>
                      <a:noFill/>
                    </a:ln>
                  </pic:spPr>
                </pic:pic>
              </a:graphicData>
            </a:graphic>
          </wp:inline>
        </w:drawing>
      </w:r>
    </w:p>
    <w:p w14:paraId="2DC1ED78" w14:textId="03BFD230" w:rsidR="00EB095A" w:rsidRPr="009F1725" w:rsidRDefault="00EB095A" w:rsidP="00271E32">
      <w:pPr>
        <w:pStyle w:val="BodyText"/>
        <w:spacing w:after="0"/>
        <w:rPr>
          <w:rFonts w:ascii="Garamond" w:hAnsi="Garamond"/>
          <w:sz w:val="24"/>
          <w:szCs w:val="24"/>
          <w:lang w:val="sq-AL"/>
        </w:rPr>
      </w:pPr>
    </w:p>
    <w:p w14:paraId="70EF3AC0" w14:textId="24ADC440" w:rsidR="00EB095A" w:rsidRPr="009F1725" w:rsidRDefault="00EB095A" w:rsidP="00271E32">
      <w:pPr>
        <w:pStyle w:val="BodyText"/>
        <w:spacing w:after="0"/>
        <w:rPr>
          <w:rFonts w:ascii="Garamond" w:hAnsi="Garamond"/>
          <w:sz w:val="24"/>
          <w:szCs w:val="24"/>
          <w:lang w:val="sq-AL"/>
        </w:rPr>
      </w:pPr>
    </w:p>
    <w:p w14:paraId="394E7F53" w14:textId="13777636" w:rsidR="00EB095A" w:rsidRPr="009F1725" w:rsidRDefault="00EB095A" w:rsidP="00271E32">
      <w:pPr>
        <w:pStyle w:val="BodyText"/>
        <w:spacing w:after="0"/>
        <w:rPr>
          <w:rFonts w:ascii="Garamond" w:hAnsi="Garamond"/>
          <w:sz w:val="24"/>
          <w:szCs w:val="24"/>
          <w:lang w:val="sq-AL"/>
        </w:rPr>
      </w:pPr>
    </w:p>
    <w:p w14:paraId="400A0032" w14:textId="77777777" w:rsidR="00C2328F" w:rsidRPr="009F1725" w:rsidRDefault="00C2328F" w:rsidP="00271E32">
      <w:pPr>
        <w:spacing w:after="0" w:line="240" w:lineRule="auto"/>
        <w:rPr>
          <w:rFonts w:ascii="Garamond" w:hAnsi="Garamond" w:cs="Times New Roman"/>
          <w:sz w:val="24"/>
          <w:szCs w:val="24"/>
        </w:rPr>
      </w:pPr>
    </w:p>
    <w:sectPr w:rsidR="00C2328F" w:rsidRPr="009F1725" w:rsidSect="008865C1">
      <w:footerReference w:type="default" r:id="rId24"/>
      <w:pgSz w:w="12240" w:h="15840"/>
      <w:pgMar w:top="810" w:right="1440" w:bottom="1440" w:left="1440" w:header="708" w:footer="4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F27441" w14:textId="77777777" w:rsidR="00546659" w:rsidRDefault="00546659">
      <w:pPr>
        <w:spacing w:after="0" w:line="240" w:lineRule="auto"/>
      </w:pPr>
      <w:r>
        <w:separator/>
      </w:r>
    </w:p>
  </w:endnote>
  <w:endnote w:type="continuationSeparator" w:id="0">
    <w:p w14:paraId="0C388CC3" w14:textId="77777777" w:rsidR="00546659" w:rsidRDefault="00546659">
      <w:pPr>
        <w:spacing w:after="0" w:line="240" w:lineRule="auto"/>
      </w:pPr>
      <w:r>
        <w:continuationSeparator/>
      </w:r>
    </w:p>
  </w:endnote>
  <w:endnote w:type="continuationNotice" w:id="1">
    <w:p w14:paraId="6B9CFFC1" w14:textId="77777777" w:rsidR="00F171B4" w:rsidRDefault="00F171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B9D26" w14:textId="560EB903" w:rsidR="00546659" w:rsidRPr="00A7460F" w:rsidRDefault="00546659" w:rsidP="007F27C9">
    <w:pPr>
      <w:pStyle w:val="Footer"/>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0021A1" w14:textId="77777777" w:rsidR="00546659" w:rsidRDefault="00546659">
      <w:pPr>
        <w:spacing w:after="0" w:line="240" w:lineRule="auto"/>
      </w:pPr>
      <w:r>
        <w:separator/>
      </w:r>
    </w:p>
  </w:footnote>
  <w:footnote w:type="continuationSeparator" w:id="0">
    <w:p w14:paraId="1E8E7509" w14:textId="77777777" w:rsidR="00546659" w:rsidRDefault="00546659">
      <w:pPr>
        <w:spacing w:after="0" w:line="240" w:lineRule="auto"/>
      </w:pPr>
      <w:r>
        <w:continuationSeparator/>
      </w:r>
    </w:p>
  </w:footnote>
  <w:footnote w:type="continuationNotice" w:id="1">
    <w:p w14:paraId="69E13DB8" w14:textId="77777777" w:rsidR="00F171B4" w:rsidRDefault="00F171B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83F1A"/>
    <w:multiLevelType w:val="hybridMultilevel"/>
    <w:tmpl w:val="F35006E6"/>
    <w:lvl w:ilvl="0" w:tplc="BD2E2F90">
      <w:start w:val="1"/>
      <w:numFmt w:val="bullet"/>
      <w:lvlText w:val=""/>
      <w:lvlJc w:val="left"/>
      <w:pPr>
        <w:ind w:left="360" w:hanging="360"/>
      </w:pPr>
      <w:rPr>
        <w:rFonts w:ascii="Symbol" w:hAnsi="Symbol"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 w15:restartNumberingAfterBreak="0">
    <w:nsid w:val="079A469C"/>
    <w:multiLevelType w:val="hybridMultilevel"/>
    <w:tmpl w:val="3C8AFDB2"/>
    <w:lvl w:ilvl="0" w:tplc="75C6C152">
      <w:numFmt w:val="bullet"/>
      <w:lvlText w:val="-"/>
      <w:lvlJc w:val="left"/>
      <w:pPr>
        <w:ind w:left="360" w:hanging="360"/>
      </w:pPr>
      <w:rPr>
        <w:rFonts w:ascii="Times New Roman" w:eastAsia="Times New Roman" w:hAnsi="Times New Roman" w:cs="Times New Roman"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 w15:restartNumberingAfterBreak="0">
    <w:nsid w:val="0AAB7ED8"/>
    <w:multiLevelType w:val="hybridMultilevel"/>
    <w:tmpl w:val="AE0C72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3F30B52"/>
    <w:multiLevelType w:val="hybridMultilevel"/>
    <w:tmpl w:val="F9ACC364"/>
    <w:lvl w:ilvl="0" w:tplc="75C6C152">
      <w:numFmt w:val="bullet"/>
      <w:lvlText w:val="-"/>
      <w:lvlJc w:val="left"/>
      <w:pPr>
        <w:ind w:left="360" w:hanging="360"/>
      </w:pPr>
      <w:rPr>
        <w:rFonts w:ascii="Times New Roman" w:eastAsia="Times New Roman" w:hAnsi="Times New Roman" w:cs="Times New Roman"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 w15:restartNumberingAfterBreak="0">
    <w:nsid w:val="20B902C9"/>
    <w:multiLevelType w:val="hybridMultilevel"/>
    <w:tmpl w:val="F98888C8"/>
    <w:lvl w:ilvl="0" w:tplc="AD9CD4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615198"/>
    <w:multiLevelType w:val="hybridMultilevel"/>
    <w:tmpl w:val="8D9E78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6026752"/>
    <w:multiLevelType w:val="hybridMultilevel"/>
    <w:tmpl w:val="EF8428C2"/>
    <w:lvl w:ilvl="0" w:tplc="75C6C152">
      <w:numFmt w:val="bullet"/>
      <w:lvlText w:val="-"/>
      <w:lvlJc w:val="left"/>
      <w:pPr>
        <w:ind w:left="360" w:hanging="360"/>
      </w:pPr>
      <w:rPr>
        <w:rFonts w:ascii="Times New Roman" w:eastAsia="Times New Roman" w:hAnsi="Times New Roman" w:cs="Times New Roman"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7" w15:restartNumberingAfterBreak="0">
    <w:nsid w:val="26B1122D"/>
    <w:multiLevelType w:val="hybridMultilevel"/>
    <w:tmpl w:val="54525A9C"/>
    <w:lvl w:ilvl="0" w:tplc="7BBE87CC">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4D1E19"/>
    <w:multiLevelType w:val="hybridMultilevel"/>
    <w:tmpl w:val="C9D81B3A"/>
    <w:lvl w:ilvl="0" w:tplc="75C6C152">
      <w:numFmt w:val="bullet"/>
      <w:lvlText w:val="-"/>
      <w:lvlJc w:val="left"/>
      <w:pPr>
        <w:ind w:left="360" w:hanging="360"/>
      </w:pPr>
      <w:rPr>
        <w:rFonts w:ascii="Times New Roman" w:eastAsia="Times New Roman" w:hAnsi="Times New Roman" w:cs="Times New Roman"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9" w15:restartNumberingAfterBreak="0">
    <w:nsid w:val="4565000E"/>
    <w:multiLevelType w:val="hybridMultilevel"/>
    <w:tmpl w:val="8BA8237E"/>
    <w:lvl w:ilvl="0" w:tplc="BD2E2F90">
      <w:start w:val="1"/>
      <w:numFmt w:val="bullet"/>
      <w:lvlText w:val=""/>
      <w:lvlJc w:val="left"/>
      <w:pPr>
        <w:ind w:left="360" w:hanging="360"/>
      </w:pPr>
      <w:rPr>
        <w:rFonts w:ascii="Symbol" w:hAnsi="Symbol" w:hint="default"/>
        <w:sz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CF523C5"/>
    <w:multiLevelType w:val="hybridMultilevel"/>
    <w:tmpl w:val="1E087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307B0A"/>
    <w:multiLevelType w:val="hybridMultilevel"/>
    <w:tmpl w:val="202CBF7A"/>
    <w:lvl w:ilvl="0" w:tplc="75C6C152">
      <w:numFmt w:val="bullet"/>
      <w:lvlText w:val="-"/>
      <w:lvlJc w:val="left"/>
      <w:pPr>
        <w:ind w:left="360" w:hanging="360"/>
      </w:pPr>
      <w:rPr>
        <w:rFonts w:ascii="Times New Roman" w:eastAsia="Times New Roman" w:hAnsi="Times New Roman" w:cs="Times New Roman"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2" w15:restartNumberingAfterBreak="0">
    <w:nsid w:val="5B2B3713"/>
    <w:multiLevelType w:val="hybridMultilevel"/>
    <w:tmpl w:val="0FA8F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CB1E91"/>
    <w:multiLevelType w:val="hybridMultilevel"/>
    <w:tmpl w:val="B4C687BE"/>
    <w:lvl w:ilvl="0" w:tplc="75C6C15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0"/>
  </w:num>
  <w:num w:numId="3">
    <w:abstractNumId w:val="4"/>
  </w:num>
  <w:num w:numId="4">
    <w:abstractNumId w:val="0"/>
  </w:num>
  <w:num w:numId="5">
    <w:abstractNumId w:val="5"/>
  </w:num>
  <w:num w:numId="6">
    <w:abstractNumId w:val="12"/>
  </w:num>
  <w:num w:numId="7">
    <w:abstractNumId w:val="9"/>
  </w:num>
  <w:num w:numId="8">
    <w:abstractNumId w:val="2"/>
  </w:num>
  <w:num w:numId="9">
    <w:abstractNumId w:val="6"/>
  </w:num>
  <w:num w:numId="10">
    <w:abstractNumId w:val="1"/>
  </w:num>
  <w:num w:numId="11">
    <w:abstractNumId w:val="3"/>
  </w:num>
  <w:num w:numId="12">
    <w:abstractNumId w:val="11"/>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742"/>
    <w:rsid w:val="0000291A"/>
    <w:rsid w:val="000905AA"/>
    <w:rsid w:val="000C4C92"/>
    <w:rsid w:val="00130742"/>
    <w:rsid w:val="001D5E93"/>
    <w:rsid w:val="001D7060"/>
    <w:rsid w:val="002176E3"/>
    <w:rsid w:val="002212B0"/>
    <w:rsid w:val="00230F47"/>
    <w:rsid w:val="00263689"/>
    <w:rsid w:val="00271E32"/>
    <w:rsid w:val="002C1BF2"/>
    <w:rsid w:val="002E2506"/>
    <w:rsid w:val="00335D3C"/>
    <w:rsid w:val="00354F0A"/>
    <w:rsid w:val="003E3DDB"/>
    <w:rsid w:val="0041400D"/>
    <w:rsid w:val="0046768F"/>
    <w:rsid w:val="00475217"/>
    <w:rsid w:val="004A0002"/>
    <w:rsid w:val="004E3F56"/>
    <w:rsid w:val="004E5C2C"/>
    <w:rsid w:val="00546659"/>
    <w:rsid w:val="00565FA1"/>
    <w:rsid w:val="00573C2F"/>
    <w:rsid w:val="005A72F3"/>
    <w:rsid w:val="005F70FA"/>
    <w:rsid w:val="00621B72"/>
    <w:rsid w:val="00630CF5"/>
    <w:rsid w:val="00674BAD"/>
    <w:rsid w:val="00686EE1"/>
    <w:rsid w:val="006E752D"/>
    <w:rsid w:val="006F2574"/>
    <w:rsid w:val="00756D29"/>
    <w:rsid w:val="007606FE"/>
    <w:rsid w:val="0078407D"/>
    <w:rsid w:val="007C5FA5"/>
    <w:rsid w:val="007E5417"/>
    <w:rsid w:val="007F27C9"/>
    <w:rsid w:val="008246FA"/>
    <w:rsid w:val="008334F1"/>
    <w:rsid w:val="00853F17"/>
    <w:rsid w:val="008865C1"/>
    <w:rsid w:val="008B2648"/>
    <w:rsid w:val="008B74C0"/>
    <w:rsid w:val="008E3895"/>
    <w:rsid w:val="00924E5B"/>
    <w:rsid w:val="009F1725"/>
    <w:rsid w:val="00A00C72"/>
    <w:rsid w:val="00A036FA"/>
    <w:rsid w:val="00A213FD"/>
    <w:rsid w:val="00A6290C"/>
    <w:rsid w:val="00AA6BB0"/>
    <w:rsid w:val="00B201CC"/>
    <w:rsid w:val="00B20F85"/>
    <w:rsid w:val="00B61EAE"/>
    <w:rsid w:val="00C16588"/>
    <w:rsid w:val="00C2328F"/>
    <w:rsid w:val="00C5122F"/>
    <w:rsid w:val="00C544CE"/>
    <w:rsid w:val="00C62219"/>
    <w:rsid w:val="00C71140"/>
    <w:rsid w:val="00C7138A"/>
    <w:rsid w:val="00D36337"/>
    <w:rsid w:val="00D60C10"/>
    <w:rsid w:val="00D65E2F"/>
    <w:rsid w:val="00D92D68"/>
    <w:rsid w:val="00D945D5"/>
    <w:rsid w:val="00DA1868"/>
    <w:rsid w:val="00DC0E96"/>
    <w:rsid w:val="00DC6374"/>
    <w:rsid w:val="00DD03A8"/>
    <w:rsid w:val="00DE16A3"/>
    <w:rsid w:val="00E126B8"/>
    <w:rsid w:val="00E85CAF"/>
    <w:rsid w:val="00EA3C04"/>
    <w:rsid w:val="00EB095A"/>
    <w:rsid w:val="00EC6A00"/>
    <w:rsid w:val="00ED3EF1"/>
    <w:rsid w:val="00EF1423"/>
    <w:rsid w:val="00F12096"/>
    <w:rsid w:val="00F171B4"/>
    <w:rsid w:val="00F210AA"/>
    <w:rsid w:val="00F3313E"/>
    <w:rsid w:val="00F55B23"/>
    <w:rsid w:val="00FD5FA7"/>
    <w:rsid w:val="00FE409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7B3DB"/>
  <w15:chartTrackingRefBased/>
  <w15:docId w15:val="{E2B7DA59-ACE8-4244-BC37-E8E2BB71D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0742"/>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30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742"/>
    <w:rPr>
      <w:rFonts w:ascii="Calibri" w:eastAsia="Calibri" w:hAnsi="Calibri" w:cs="SimSun"/>
    </w:rPr>
  </w:style>
  <w:style w:type="character" w:styleId="Hyperlink">
    <w:name w:val="Hyperlink"/>
    <w:basedOn w:val="DefaultParagraphFont"/>
    <w:uiPriority w:val="99"/>
    <w:rsid w:val="00130742"/>
    <w:rPr>
      <w:color w:val="0563C1"/>
      <w:u w:val="single"/>
    </w:rPr>
  </w:style>
  <w:style w:type="paragraph" w:styleId="ListParagraph">
    <w:name w:val="List Paragraph"/>
    <w:basedOn w:val="Normal"/>
    <w:uiPriority w:val="34"/>
    <w:qFormat/>
    <w:rsid w:val="00130742"/>
    <w:pPr>
      <w:ind w:left="720"/>
      <w:contextualSpacing/>
    </w:pPr>
  </w:style>
  <w:style w:type="paragraph" w:styleId="CommentText">
    <w:name w:val="annotation text"/>
    <w:basedOn w:val="Normal"/>
    <w:link w:val="CommentTextChar"/>
    <w:uiPriority w:val="99"/>
    <w:unhideWhenUsed/>
    <w:rsid w:val="00130742"/>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130742"/>
    <w:rPr>
      <w:rFonts w:ascii="Times New Roman" w:eastAsia="Times New Roman" w:hAnsi="Times New Roman" w:cs="Times New Roman"/>
      <w:sz w:val="20"/>
      <w:szCs w:val="20"/>
    </w:rPr>
  </w:style>
  <w:style w:type="paragraph" w:customStyle="1" w:styleId="Default">
    <w:name w:val="Default"/>
    <w:uiPriority w:val="99"/>
    <w:rsid w:val="00130742"/>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odyText">
    <w:name w:val="Body Text"/>
    <w:basedOn w:val="Normal"/>
    <w:link w:val="BodyTextChar"/>
    <w:unhideWhenUsed/>
    <w:rsid w:val="007606FE"/>
    <w:pPr>
      <w:spacing w:after="120" w:line="240" w:lineRule="auto"/>
    </w:pPr>
    <w:rPr>
      <w:rFonts w:ascii="Times New Roman" w:eastAsia="Times New Roman" w:hAnsi="Times New Roman" w:cs="Times New Roman"/>
      <w:sz w:val="20"/>
      <w:szCs w:val="20"/>
      <w:lang w:val="en-GB" w:eastAsia="x-none"/>
    </w:rPr>
  </w:style>
  <w:style w:type="character" w:customStyle="1" w:styleId="BodyTextChar">
    <w:name w:val="Body Text Char"/>
    <w:basedOn w:val="DefaultParagraphFont"/>
    <w:link w:val="BodyText"/>
    <w:rsid w:val="007606FE"/>
    <w:rPr>
      <w:rFonts w:ascii="Times New Roman" w:eastAsia="Times New Roman" w:hAnsi="Times New Roman" w:cs="Times New Roman"/>
      <w:sz w:val="20"/>
      <w:szCs w:val="20"/>
      <w:lang w:val="en-GB" w:eastAsia="x-none"/>
    </w:rPr>
  </w:style>
  <w:style w:type="character" w:styleId="Strong">
    <w:name w:val="Strong"/>
    <w:basedOn w:val="DefaultParagraphFont"/>
    <w:uiPriority w:val="22"/>
    <w:qFormat/>
    <w:rsid w:val="004A0002"/>
    <w:rPr>
      <w:b/>
      <w:bCs/>
    </w:rPr>
  </w:style>
  <w:style w:type="paragraph" w:styleId="Header">
    <w:name w:val="header"/>
    <w:basedOn w:val="Normal"/>
    <w:link w:val="HeaderChar"/>
    <w:uiPriority w:val="99"/>
    <w:unhideWhenUsed/>
    <w:rsid w:val="00271E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E32"/>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13552">
      <w:bodyDiv w:val="1"/>
      <w:marLeft w:val="0"/>
      <w:marRight w:val="0"/>
      <w:marTop w:val="0"/>
      <w:marBottom w:val="0"/>
      <w:divBdr>
        <w:top w:val="none" w:sz="0" w:space="0" w:color="auto"/>
        <w:left w:val="none" w:sz="0" w:space="0" w:color="auto"/>
        <w:bottom w:val="none" w:sz="0" w:space="0" w:color="auto"/>
        <w:right w:val="none" w:sz="0" w:space="0" w:color="auto"/>
      </w:divBdr>
    </w:div>
    <w:div w:id="125686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image" Target="media/image7.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emf"/><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6.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4.emf"/><Relationship Id="rId23" Type="http://schemas.openxmlformats.org/officeDocument/2006/relationships/image" Target="media/image12.emf"/><Relationship Id="rId10" Type="http://schemas.openxmlformats.org/officeDocument/2006/relationships/footnotes" Target="footnotes.xml"/><Relationship Id="rId19" Type="http://schemas.openxmlformats.org/officeDocument/2006/relationships/image" Target="media/image8.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112</Nr_x002e__x0020_akti>
    <Data_x0020_e_x0020_Krijimit xmlns="0e656187-b300-4fb0-8bf4-3a50f872073c">2025-06-12T13:06:07Z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2025-06-12T00:00:00Z</Date_x0020_protokolli>
    <Titulli xmlns="0e656187-b300-4fb0-8bf4-3a50f872073c">Mbi llogaritjen e pagesave rregullatore për vitin 2025</Titulli>
    <Modifikuesi xmlns="0e656187-b300-4fb0-8bf4-3a50f872073c">keisina.zace</Modifikuesi>
    <Nr_x002e__x0020_prot_x0020_QBZ xmlns="0e656187-b300-4fb0-8bf4-3a50f872073c">934/9</Nr_x002e__x0020_prot_x0020_QBZ>
    <Data_x0020_e_x0020_Modifikimit xmlns="0e656187-b300-4fb0-8bf4-3a50f872073c">2025-06-13T07:08:53Z</Data_x0020_e_x0020_Modifikimit>
    <Dekretuar xmlns="0e656187-b300-4fb0-8bf4-3a50f872073c">false</Dekretuar>
    <Data xmlns="0e656187-b300-4fb0-8bf4-3a50f872073c">2025-05-23T00:00:00Z</Data>
    <Nr_x002e__x0020_protokolli_x0020_i_x0020_aktit xmlns="0e656187-b300-4fb0-8bf4-3a50f872073c">1848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976662388BC4AF1AD8F31CC565E11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976662388BC4AF1AD8F31CC565E11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EA6A7EC-356C-457E-9DE2-A9D9E1203C89}">
  <ds:schemaRefs>
    <ds:schemaRef ds:uri="http://schemas.microsoft.com/office/2006/documentManagement/types"/>
    <ds:schemaRef ds:uri="http://www.w3.org/XML/1998/namespace"/>
    <ds:schemaRef ds:uri="http://schemas.openxmlformats.org/package/2006/metadata/core-properties"/>
    <ds:schemaRef ds:uri="http://purl.org/dc/dcmitype/"/>
    <ds:schemaRef ds:uri="http://purl.org/dc/terms/"/>
    <ds:schemaRef ds:uri="http://schemas.microsoft.com/office/2006/metadata/properties"/>
    <ds:schemaRef ds:uri="0e656187-b300-4fb0-8bf4-3a50f872073c"/>
    <ds:schemaRef ds:uri="http://purl.org/dc/elements/1.1/"/>
  </ds:schemaRefs>
</ds:datastoreItem>
</file>

<file path=customXml/itemProps2.xml><?xml version="1.0" encoding="utf-8"?>
<ds:datastoreItem xmlns:ds="http://schemas.openxmlformats.org/officeDocument/2006/customXml" ds:itemID="{B2B3D56E-A0D1-482C-8DE7-B684EB41AA6E}">
  <ds:schemaRefs>
    <ds:schemaRef ds:uri="http://schemas.microsoft.com/sharepoint/v3/contenttype/forms"/>
  </ds:schemaRefs>
</ds:datastoreItem>
</file>

<file path=customXml/itemProps3.xml><?xml version="1.0" encoding="utf-8"?>
<ds:datastoreItem xmlns:ds="http://schemas.openxmlformats.org/officeDocument/2006/customXml" ds:itemID="{2ADB3500-6E81-4109-BD47-B092777FAF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C39EC9C-EE10-45AB-8385-D03264C40BB2}">
  <ds:schemaRefs>
    <ds:schemaRef ds:uri="http://schemas.microsoft.com/sharepoint/v3/contenttype/forms"/>
  </ds:schemaRefs>
</ds:datastoreItem>
</file>

<file path=customXml/itemProps5.xml><?xml version="1.0" encoding="utf-8"?>
<ds:datastoreItem xmlns:ds="http://schemas.openxmlformats.org/officeDocument/2006/customXml" ds:itemID="{312BE52B-89E1-4757-B231-1A0BBF856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dc:creator>
  <cp:lastModifiedBy>Jorina Kryeziu</cp:lastModifiedBy>
  <cp:revision>11</cp:revision>
  <cp:lastPrinted>2025-05-22T13:25:00Z</cp:lastPrinted>
  <dcterms:created xsi:type="dcterms:W3CDTF">2025-06-04T11:00:00Z</dcterms:created>
  <dcterms:modified xsi:type="dcterms:W3CDTF">2025-06-13T10:32:00Z</dcterms:modified>
</cp:coreProperties>
</file>