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85555" w14:textId="77777777" w:rsidR="00A3228D" w:rsidRDefault="00A3228D" w:rsidP="005F55FF">
      <w:pPr>
        <w:ind w:right="-180"/>
        <w:jc w:val="center"/>
        <w:rPr>
          <w:b/>
          <w:sz w:val="24"/>
          <w:szCs w:val="24"/>
          <w:lang w:val="sq-AL" w:eastAsia="en-GB"/>
        </w:rPr>
      </w:pPr>
    </w:p>
    <w:p w14:paraId="11E9316F" w14:textId="77777777" w:rsidR="004627CC" w:rsidRPr="004627CC" w:rsidRDefault="004627CC" w:rsidP="004627CC">
      <w:pPr>
        <w:autoSpaceDE w:val="0"/>
        <w:autoSpaceDN w:val="0"/>
        <w:adjustRightInd w:val="0"/>
        <w:ind w:firstLine="284"/>
        <w:jc w:val="center"/>
        <w:rPr>
          <w:rFonts w:ascii="Garamond" w:hAnsi="Garamond"/>
          <w:b/>
          <w:bCs/>
          <w:color w:val="000000"/>
          <w:sz w:val="24"/>
          <w:szCs w:val="24"/>
          <w:lang w:val="sq-AL"/>
        </w:rPr>
      </w:pPr>
      <w:r w:rsidRPr="004627CC">
        <w:rPr>
          <w:b/>
          <w:bCs/>
          <w:color w:val="000000"/>
          <w:sz w:val="24"/>
          <w:szCs w:val="24"/>
          <w:lang w:val="sq-AL"/>
        </w:rPr>
        <w:t xml:space="preserve">  </w:t>
      </w:r>
      <w:r w:rsidRPr="004627CC">
        <w:rPr>
          <w:rFonts w:ascii="Garamond" w:hAnsi="Garamond"/>
          <w:b/>
          <w:bCs/>
          <w:color w:val="000000"/>
          <w:sz w:val="24"/>
          <w:szCs w:val="24"/>
          <w:lang w:val="sq-AL"/>
        </w:rPr>
        <w:t>VEN</w:t>
      </w:r>
      <w:r w:rsidRPr="004627CC">
        <w:rPr>
          <w:rFonts w:ascii="Garamond" w:hAnsi="Garamond"/>
          <w:b/>
          <w:bCs/>
          <w:color w:val="000000"/>
          <w:spacing w:val="15"/>
          <w:sz w:val="24"/>
          <w:szCs w:val="24"/>
          <w:lang w:val="sq-AL"/>
        </w:rPr>
        <w:t>D</w:t>
      </w:r>
      <w:r w:rsidRPr="004627CC">
        <w:rPr>
          <w:rFonts w:ascii="Garamond" w:hAnsi="Garamond"/>
          <w:b/>
          <w:bCs/>
          <w:color w:val="000000"/>
          <w:sz w:val="24"/>
          <w:szCs w:val="24"/>
          <w:lang w:val="sq-AL"/>
        </w:rPr>
        <w:t>IM</w:t>
      </w:r>
    </w:p>
    <w:p w14:paraId="3A1A3203" w14:textId="77777777" w:rsidR="004627CC" w:rsidRPr="004627CC" w:rsidRDefault="004627CC" w:rsidP="004627CC">
      <w:pPr>
        <w:autoSpaceDE w:val="0"/>
        <w:autoSpaceDN w:val="0"/>
        <w:adjustRightInd w:val="0"/>
        <w:ind w:firstLine="284"/>
        <w:jc w:val="center"/>
        <w:rPr>
          <w:rFonts w:ascii="Garamond" w:hAnsi="Garamond"/>
          <w:b/>
          <w:bCs/>
          <w:color w:val="000000"/>
          <w:sz w:val="24"/>
          <w:szCs w:val="24"/>
          <w:lang w:val="sq-AL"/>
        </w:rPr>
      </w:pPr>
      <w:r w:rsidRPr="004627CC">
        <w:rPr>
          <w:rFonts w:ascii="Garamond" w:hAnsi="Garamond"/>
          <w:b/>
          <w:bCs/>
          <w:color w:val="000000"/>
          <w:sz w:val="24"/>
          <w:szCs w:val="24"/>
          <w:lang w:val="sq-AL"/>
        </w:rPr>
        <w:t xml:space="preserve"> Nr.  146,</w:t>
      </w:r>
      <w:r w:rsidRPr="004627CC">
        <w:rPr>
          <w:rFonts w:ascii="Garamond" w:hAnsi="Garamond"/>
          <w:b/>
          <w:bCs/>
          <w:color w:val="000000"/>
          <w:spacing w:val="-15"/>
          <w:sz w:val="24"/>
          <w:szCs w:val="24"/>
          <w:lang w:val="sq-AL"/>
        </w:rPr>
        <w:t xml:space="preserve"> </w:t>
      </w:r>
      <w:r w:rsidRPr="004627CC">
        <w:rPr>
          <w:rFonts w:ascii="Garamond" w:hAnsi="Garamond"/>
          <w:b/>
          <w:bCs/>
          <w:color w:val="000000"/>
          <w:sz w:val="24"/>
          <w:szCs w:val="24"/>
          <w:lang w:val="sq-AL"/>
        </w:rPr>
        <w:t>datë 8.7.2025</w:t>
      </w:r>
    </w:p>
    <w:p w14:paraId="19FD69E5" w14:textId="77777777" w:rsidR="004627CC" w:rsidRPr="004627CC" w:rsidRDefault="004627CC" w:rsidP="004627CC">
      <w:pPr>
        <w:autoSpaceDE w:val="0"/>
        <w:autoSpaceDN w:val="0"/>
        <w:adjustRightInd w:val="0"/>
        <w:ind w:firstLine="284"/>
        <w:jc w:val="center"/>
        <w:rPr>
          <w:rFonts w:ascii="Garamond" w:hAnsi="Garamond"/>
          <w:color w:val="000000"/>
          <w:sz w:val="24"/>
          <w:szCs w:val="24"/>
          <w:lang w:val="sq-AL"/>
        </w:rPr>
      </w:pPr>
    </w:p>
    <w:p w14:paraId="29D430A3" w14:textId="77777777" w:rsidR="004627CC" w:rsidRPr="004627CC" w:rsidRDefault="004627CC" w:rsidP="004627CC">
      <w:pPr>
        <w:tabs>
          <w:tab w:val="left" w:pos="0"/>
        </w:tabs>
        <w:autoSpaceDE w:val="0"/>
        <w:autoSpaceDN w:val="0"/>
        <w:adjustRightInd w:val="0"/>
        <w:ind w:firstLine="284"/>
        <w:jc w:val="center"/>
        <w:rPr>
          <w:rFonts w:ascii="Garamond" w:hAnsi="Garamond"/>
          <w:b/>
          <w:bCs/>
          <w:color w:val="000000"/>
          <w:sz w:val="24"/>
          <w:szCs w:val="24"/>
          <w:lang w:val="sq-AL"/>
        </w:rPr>
      </w:pPr>
      <w:r w:rsidRPr="004627CC">
        <w:rPr>
          <w:rFonts w:ascii="Garamond" w:hAnsi="Garamond"/>
          <w:b/>
          <w:bCs/>
          <w:color w:val="000000"/>
          <w:sz w:val="24"/>
          <w:szCs w:val="24"/>
          <w:lang w:val="sq-AL"/>
        </w:rPr>
        <w:t>MBI  MIRATIMIN E DOKUMENTIT PËR “UDHËZIMET PËR TESTIMIN E TREGUT TË GAZSJELLËSIT TRANS ADRIATIK”, PROPOZUAR NGA TAP AG MË 16 QERSHOR 2025</w:t>
      </w:r>
    </w:p>
    <w:p w14:paraId="4C5AAAC4" w14:textId="77777777" w:rsidR="004627CC" w:rsidRPr="004627CC" w:rsidRDefault="004627CC" w:rsidP="004627CC">
      <w:pPr>
        <w:autoSpaceDE w:val="0"/>
        <w:autoSpaceDN w:val="0"/>
        <w:adjustRightInd w:val="0"/>
        <w:ind w:firstLine="284"/>
        <w:jc w:val="center"/>
        <w:rPr>
          <w:rFonts w:ascii="Garamond" w:hAnsi="Garamond"/>
          <w:b/>
          <w:bCs/>
          <w:color w:val="000000"/>
          <w:sz w:val="24"/>
          <w:szCs w:val="24"/>
          <w:lang w:val="sq-AL"/>
        </w:rPr>
      </w:pPr>
    </w:p>
    <w:p w14:paraId="4D55FAF7" w14:textId="77777777"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olor w:val="000000"/>
          <w:sz w:val="24"/>
          <w:szCs w:val="24"/>
          <w:lang w:val="sq-AL"/>
        </w:rPr>
        <w:t>Në zbatim të nenit 16 të ligjit nr. 43/2015, “</w:t>
      </w:r>
      <w:r w:rsidRPr="004627CC">
        <w:rPr>
          <w:rFonts w:ascii="Garamond" w:hAnsi="Garamond"/>
          <w:i/>
          <w:iCs/>
          <w:color w:val="000000"/>
          <w:sz w:val="24"/>
          <w:szCs w:val="24"/>
          <w:lang w:val="sq-AL"/>
        </w:rPr>
        <w:t>Për sektorin e energjisë elektrike</w:t>
      </w:r>
      <w:r w:rsidRPr="004627CC">
        <w:rPr>
          <w:rFonts w:ascii="Garamond" w:hAnsi="Garamond"/>
          <w:color w:val="000000"/>
          <w:sz w:val="24"/>
          <w:szCs w:val="24"/>
          <w:lang w:val="sq-AL"/>
        </w:rPr>
        <w:t>” i ndryshuar; neneve 13; 15, pika 1; dhe 108, të ligjit nr. 102/2015 “</w:t>
      </w:r>
      <w:r w:rsidRPr="004627CC">
        <w:rPr>
          <w:rFonts w:ascii="Garamond" w:hAnsi="Garamond"/>
          <w:i/>
          <w:iCs/>
          <w:color w:val="000000"/>
          <w:sz w:val="24"/>
          <w:szCs w:val="24"/>
          <w:lang w:val="sq-AL"/>
        </w:rPr>
        <w:t>Për sektorin e gazit natyror</w:t>
      </w:r>
      <w:r w:rsidRPr="004627CC">
        <w:rPr>
          <w:rFonts w:ascii="Garamond" w:hAnsi="Garamond"/>
          <w:color w:val="000000"/>
          <w:sz w:val="24"/>
          <w:szCs w:val="24"/>
          <w:lang w:val="sq-AL"/>
        </w:rPr>
        <w:t xml:space="preserve">” i ndryshuar; </w:t>
      </w:r>
      <w:r w:rsidRPr="004627CC">
        <w:rPr>
          <w:rFonts w:ascii="Garamond" w:hAnsi="Garamond"/>
          <w:i/>
          <w:iCs/>
          <w:color w:val="000000"/>
          <w:sz w:val="24"/>
          <w:szCs w:val="24"/>
          <w:lang w:val="sq-AL"/>
        </w:rPr>
        <w:t>Dispozitave të Opinionit Përfundimtar të Përbashkët të Rregullatorëve të Energjisë së Italisë, Greqisë dhe Shqiprisë” (Opinioni Përfundimtar i Përbashkët)</w:t>
      </w:r>
      <w:r w:rsidRPr="004627CC">
        <w:rPr>
          <w:rFonts w:ascii="Garamond" w:hAnsi="Garamond"/>
          <w:color w:val="000000"/>
          <w:sz w:val="24"/>
          <w:szCs w:val="24"/>
          <w:lang w:val="sq-AL"/>
        </w:rPr>
        <w:t xml:space="preserve">, Korrik 2013; </w:t>
      </w:r>
      <w:r w:rsidRPr="004627CC">
        <w:rPr>
          <w:rFonts w:ascii="Garamond" w:hAnsi="Garamond"/>
          <w:i/>
          <w:iCs/>
          <w:color w:val="000000"/>
          <w:sz w:val="24"/>
          <w:szCs w:val="24"/>
          <w:lang w:val="sq-AL"/>
        </w:rPr>
        <w:t>Opinionit 1/2013 të Sekretariatit të Komunitetit të Energjisë</w:t>
      </w:r>
      <w:r w:rsidRPr="004627CC">
        <w:rPr>
          <w:rFonts w:ascii="Garamond" w:hAnsi="Garamond"/>
          <w:color w:val="000000"/>
          <w:sz w:val="24"/>
          <w:szCs w:val="24"/>
          <w:lang w:val="sq-AL"/>
        </w:rPr>
        <w:t>, datë 14 Maj 2013, “</w:t>
      </w:r>
      <w:r w:rsidRPr="004627CC">
        <w:rPr>
          <w:rFonts w:ascii="Garamond" w:hAnsi="Garamond"/>
          <w:i/>
          <w:iCs/>
          <w:color w:val="000000"/>
          <w:sz w:val="24"/>
          <w:szCs w:val="24"/>
          <w:lang w:val="sq-AL"/>
        </w:rPr>
        <w:t>Mbi përjashtimin e gazsjellësit TAP AG, nga kërkesa të caktuara sipas Direktivës 2009/73/EC nga Autoriteti Rregullator i Energjisë i Shqipërisë</w:t>
      </w:r>
      <w:r w:rsidRPr="004627CC">
        <w:rPr>
          <w:rFonts w:ascii="Garamond" w:hAnsi="Garamond"/>
          <w:color w:val="000000"/>
          <w:sz w:val="24"/>
          <w:szCs w:val="24"/>
          <w:lang w:val="sq-AL"/>
        </w:rPr>
        <w:t>”, Rregullorja e Komisionit (BE) 2017/459 e datës 16 mars 2017 “</w:t>
      </w:r>
      <w:r w:rsidRPr="004627CC">
        <w:rPr>
          <w:rFonts w:ascii="Garamond" w:hAnsi="Garamond"/>
          <w:i/>
          <w:iCs/>
          <w:color w:val="000000"/>
          <w:sz w:val="24"/>
          <w:szCs w:val="24"/>
          <w:lang w:val="sq-AL"/>
        </w:rPr>
        <w:t>Për vendosjen e një kodi rrjeti për mekanizmat e alokimit të kapaciteteve në sistemet e transmetimit të gazit dhe shfuqizimin e Rregullores (BE) Nr. 984/2013</w:t>
      </w:r>
      <w:r w:rsidRPr="004627CC">
        <w:rPr>
          <w:rFonts w:ascii="Garamond" w:hAnsi="Garamond"/>
          <w:color w:val="000000"/>
          <w:sz w:val="24"/>
          <w:szCs w:val="24"/>
          <w:lang w:val="sq-AL"/>
        </w:rPr>
        <w:t xml:space="preserve">” (Mekanizmi për Alokimin e Kapacitetit për Kodin e Rrjetit); vendimin e bordit të Entit Rregullator të Energjisë (ERE), nr. 103, datë 26.06.2019, </w:t>
      </w:r>
      <w:r w:rsidRPr="004627CC">
        <w:rPr>
          <w:rFonts w:ascii="Garamond" w:hAnsi="Garamond"/>
          <w:i/>
          <w:iCs/>
          <w:color w:val="000000"/>
          <w:sz w:val="24"/>
          <w:szCs w:val="24"/>
          <w:lang w:val="sq-AL"/>
        </w:rPr>
        <w:t>“Mbi miratimin e Transpozimit të Rregullores 2017/459 të miratuar me vendimin nr.2018/06/PHGL-ENC “Mbi themelimin e kodit të rrjetit për mekanizmat e alokimit të kapaciteteve në sistemet e transmetimit të gazit”</w:t>
      </w:r>
      <w:r w:rsidRPr="004627CC">
        <w:rPr>
          <w:rFonts w:ascii="Garamond" w:hAnsi="Garamond"/>
          <w:color w:val="000000"/>
          <w:sz w:val="24"/>
          <w:szCs w:val="24"/>
          <w:lang w:val="sq-AL"/>
        </w:rPr>
        <w:t>; si dhe neneve 15 dhe 26 të “</w:t>
      </w:r>
      <w:r w:rsidRPr="004627CC">
        <w:rPr>
          <w:rFonts w:ascii="Garamond" w:hAnsi="Garamond"/>
          <w:i/>
          <w:iCs/>
          <w:color w:val="000000"/>
          <w:sz w:val="24"/>
          <w:szCs w:val="24"/>
          <w:lang w:val="sq-AL"/>
        </w:rPr>
        <w:t>Rregullores për organizimin, funksionimit dhe procedurat e ERE-s</w:t>
      </w:r>
      <w:r w:rsidRPr="004627CC">
        <w:rPr>
          <w:rFonts w:ascii="Garamond" w:hAnsi="Garamond"/>
          <w:color w:val="000000"/>
          <w:sz w:val="24"/>
          <w:szCs w:val="24"/>
          <w:lang w:val="sq-AL"/>
        </w:rPr>
        <w:t>”, miratuar me vendimin të bordit të ERE-s, nr. 96, datë 17.06.2016; Bordi i ERE-s, në mbledhjen e tij të datës 08.07. 2025, mbasi shqyrtoi relacionin me nr. 2011 prot., datë 03.07.2025, te përgatitur nga Drejtoria e Gazit Natyror, “</w:t>
      </w:r>
      <w:r w:rsidRPr="004627CC">
        <w:rPr>
          <w:rFonts w:ascii="Garamond" w:hAnsi="Garamond"/>
          <w:i/>
          <w:iCs/>
          <w:color w:val="000000"/>
          <w:sz w:val="24"/>
          <w:szCs w:val="24"/>
          <w:lang w:val="sq-AL"/>
        </w:rPr>
        <w:t>Mbi miratimin e dokumentit p</w:t>
      </w:r>
      <w:r w:rsidRPr="004627CC">
        <w:rPr>
          <w:rFonts w:ascii="Garamond" w:hAnsi="Garamond"/>
          <w:color w:val="000000"/>
          <w:sz w:val="24"/>
          <w:szCs w:val="24"/>
          <w:lang w:val="sq-AL"/>
        </w:rPr>
        <w:t>ë</w:t>
      </w:r>
      <w:r w:rsidRPr="004627CC">
        <w:rPr>
          <w:rFonts w:ascii="Garamond" w:hAnsi="Garamond"/>
          <w:i/>
          <w:iCs/>
          <w:color w:val="000000"/>
          <w:sz w:val="24"/>
          <w:szCs w:val="24"/>
          <w:lang w:val="sq-AL"/>
        </w:rPr>
        <w:t>r “Udh</w:t>
      </w:r>
      <w:r w:rsidRPr="004627CC">
        <w:rPr>
          <w:rFonts w:ascii="Garamond" w:hAnsi="Garamond"/>
          <w:color w:val="000000"/>
          <w:sz w:val="24"/>
          <w:szCs w:val="24"/>
          <w:lang w:val="sq-AL"/>
        </w:rPr>
        <w:t>ë</w:t>
      </w:r>
      <w:r w:rsidRPr="004627CC">
        <w:rPr>
          <w:rFonts w:ascii="Garamond" w:hAnsi="Garamond"/>
          <w:i/>
          <w:iCs/>
          <w:color w:val="000000"/>
          <w:sz w:val="24"/>
          <w:szCs w:val="24"/>
          <w:lang w:val="sq-AL"/>
        </w:rPr>
        <w:t>zimet p</w:t>
      </w:r>
      <w:r w:rsidRPr="004627CC">
        <w:rPr>
          <w:rFonts w:ascii="Garamond" w:hAnsi="Garamond"/>
          <w:color w:val="000000"/>
          <w:sz w:val="24"/>
          <w:szCs w:val="24"/>
          <w:lang w:val="sq-AL"/>
        </w:rPr>
        <w:t>ë</w:t>
      </w:r>
      <w:r w:rsidRPr="004627CC">
        <w:rPr>
          <w:rFonts w:ascii="Garamond" w:hAnsi="Garamond"/>
          <w:i/>
          <w:iCs/>
          <w:color w:val="000000"/>
          <w:sz w:val="24"/>
          <w:szCs w:val="24"/>
          <w:lang w:val="sq-AL"/>
        </w:rPr>
        <w:t>r testimin e tregut t</w:t>
      </w:r>
      <w:r w:rsidRPr="004627CC">
        <w:rPr>
          <w:rFonts w:ascii="Garamond" w:hAnsi="Garamond"/>
          <w:color w:val="000000"/>
          <w:sz w:val="24"/>
          <w:szCs w:val="24"/>
          <w:lang w:val="sq-AL"/>
        </w:rPr>
        <w:t>ë</w:t>
      </w:r>
      <w:r w:rsidRPr="004627CC">
        <w:rPr>
          <w:rFonts w:ascii="Garamond" w:hAnsi="Garamond"/>
          <w:i/>
          <w:iCs/>
          <w:color w:val="000000"/>
          <w:sz w:val="24"/>
          <w:szCs w:val="24"/>
          <w:lang w:val="sq-AL"/>
        </w:rPr>
        <w:t xml:space="preserve"> gaz</w:t>
      </w:r>
      <w:r w:rsidRPr="004627CC">
        <w:rPr>
          <w:rFonts w:ascii="Garamond" w:hAnsi="Garamond"/>
          <w:color w:val="000000"/>
          <w:sz w:val="24"/>
          <w:szCs w:val="24"/>
          <w:lang w:val="sq-AL"/>
        </w:rPr>
        <w:t>ë</w:t>
      </w:r>
      <w:r w:rsidRPr="004627CC">
        <w:rPr>
          <w:rFonts w:ascii="Garamond" w:hAnsi="Garamond"/>
          <w:i/>
          <w:iCs/>
          <w:color w:val="000000"/>
          <w:sz w:val="24"/>
          <w:szCs w:val="24"/>
          <w:lang w:val="sq-AL"/>
        </w:rPr>
        <w:t>sjell</w:t>
      </w:r>
      <w:r w:rsidRPr="004627CC">
        <w:rPr>
          <w:rFonts w:ascii="Garamond" w:hAnsi="Garamond"/>
          <w:color w:val="000000"/>
          <w:sz w:val="24"/>
          <w:szCs w:val="24"/>
          <w:lang w:val="sq-AL"/>
        </w:rPr>
        <w:t>ë</w:t>
      </w:r>
      <w:r w:rsidRPr="004627CC">
        <w:rPr>
          <w:rFonts w:ascii="Garamond" w:hAnsi="Garamond"/>
          <w:i/>
          <w:iCs/>
          <w:color w:val="000000"/>
          <w:sz w:val="24"/>
          <w:szCs w:val="24"/>
          <w:lang w:val="sq-AL"/>
        </w:rPr>
        <w:t>sit Trans Adriatik, “ propozuar nga TAP AG m</w:t>
      </w:r>
      <w:r w:rsidRPr="004627CC">
        <w:rPr>
          <w:rFonts w:ascii="Garamond" w:hAnsi="Garamond"/>
          <w:color w:val="000000"/>
          <w:sz w:val="24"/>
          <w:szCs w:val="24"/>
          <w:lang w:val="sq-AL"/>
        </w:rPr>
        <w:t>ë</w:t>
      </w:r>
      <w:r w:rsidRPr="004627CC">
        <w:rPr>
          <w:rFonts w:ascii="Garamond" w:hAnsi="Garamond"/>
          <w:i/>
          <w:iCs/>
          <w:color w:val="000000"/>
          <w:sz w:val="24"/>
          <w:szCs w:val="24"/>
          <w:lang w:val="sq-AL"/>
        </w:rPr>
        <w:t xml:space="preserve"> 16 qershor 2025</w:t>
      </w:r>
      <w:r w:rsidRPr="004627CC">
        <w:rPr>
          <w:rFonts w:ascii="Garamond" w:hAnsi="Garamond"/>
          <w:color w:val="000000"/>
          <w:sz w:val="24"/>
          <w:szCs w:val="24"/>
          <w:lang w:val="sq-AL"/>
        </w:rPr>
        <w:t xml:space="preserve">”, </w:t>
      </w:r>
    </w:p>
    <w:p w14:paraId="1E9C5D9F" w14:textId="77777777" w:rsidR="004627CC" w:rsidRPr="004627CC" w:rsidRDefault="004627CC" w:rsidP="004627CC">
      <w:pPr>
        <w:autoSpaceDE w:val="0"/>
        <w:autoSpaceDN w:val="0"/>
        <w:adjustRightInd w:val="0"/>
        <w:ind w:firstLine="284"/>
        <w:jc w:val="both"/>
        <w:rPr>
          <w:rFonts w:ascii="Garamond" w:hAnsi="Garamond"/>
          <w:b/>
          <w:bCs/>
          <w:color w:val="000000"/>
          <w:sz w:val="24"/>
          <w:szCs w:val="24"/>
          <w:lang w:val="sq-AL"/>
        </w:rPr>
      </w:pPr>
      <w:r w:rsidRPr="004627CC">
        <w:rPr>
          <w:rFonts w:ascii="Garamond" w:hAnsi="Garamond"/>
          <w:b/>
          <w:bCs/>
          <w:color w:val="000000"/>
          <w:sz w:val="24"/>
          <w:szCs w:val="24"/>
          <w:lang w:val="sq-AL"/>
        </w:rPr>
        <w:t xml:space="preserve">Duke patur parasysh: </w:t>
      </w:r>
    </w:p>
    <w:p w14:paraId="6FC06A9C" w14:textId="1456E440"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Direktivën 2009/73/EC të Parlamentit Evropian dhe të Këshillit, datë 13 korrik 2009, “Për rregullat e përbashkëta për tregun e brendshëm të gazit natyror”;</w:t>
      </w:r>
    </w:p>
    <w:p w14:paraId="43C6D84F" w14:textId="7E543A03"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Direktivën (BE) 2019/692 të Parlamentit Evropian dhe të Këshillit, datë 17 prill 2019, “Për ndryshimin e Direktivës 2009/73/EC për rregullat e tregut të brendshëm të gazit natyror”;</w:t>
      </w:r>
    </w:p>
    <w:p w14:paraId="3E652F6F" w14:textId="1156F323"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Rregulloren (BE) 2017/459 të Komisionit, datë 16 mars 2017, “Për vendosjen e një kodi rrjeti për mekanizmat e alokimit të kapaciteteve në sistemet e transmetimit të gazit” (CAM NC);</w:t>
      </w:r>
    </w:p>
    <w:p w14:paraId="4AD97BE8" w14:textId="36958851"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Rregulloren (BE) 2019/942 të Parlamentit Evropian dhe të Këshillit, datë 5 qershor 2019, “Për themelimin e Agjencisë për Bashkëpunimin e Rregullatorëve të Energjisë”;</w:t>
      </w:r>
    </w:p>
    <w:p w14:paraId="1473512B" w14:textId="5D8F2128"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Vendimin e Komisionit Evropian, nr. C(2013)2949 final, datë 16 maj 2013, “Për përjashtimin e Gazsjellësit Trans Adriatik nga detyrimet për aksesin e palëve të treta, rregullimin e tarifave dhe ndarjen e pronësisë, sipas neneve 9, 32, 41(6), 41(8) dhe 41(10) të Direktivës 2009/73/EC”;</w:t>
      </w:r>
    </w:p>
    <w:p w14:paraId="26FDA8F4" w14:textId="1B5FA6CC"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Paragrafin 4.1.7 të Opinionit Përfundimtar të Përbashkët të autoriteteve rregullatore të energjisë të Italisë, Greqisë dhe Shqipërisë, sipas të cilit TAP AG duhet të kryejë rregullisht (të paktën çdo dy vjet) një testim tregu, me qëllim ofrimin e kapaciteteve shtesë për palët e interesuara deri në arritjen e kapacitetit maksimal të zgjerimit të tubacionit.</w:t>
      </w:r>
    </w:p>
    <w:p w14:paraId="6C47534F" w14:textId="5D53210F"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 xml:space="preserve">Testimi i Tregut, duhet të realizohet në përputhje me Udhëzimet e miratuara bashkarisht nga Autoritetet Rregullatore të energjisë të Shqipërisë (ERE), Greqisë (RAE) dhe Italisë (ARERA) </w:t>
      </w:r>
    </w:p>
    <w:p w14:paraId="0753E029" w14:textId="71A129EA"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Më datë 29 gusht 2011, shoqëria TAP AG paraqiti në Ministrinë Italiane të Zhvillimit Ekonomik kërkesën për përjashtimin e Gazsjellësit Trans Adriatik, dhe më datë 31 gusht 2011, e njëjta kërkesë u paraqit pranë Autoritetit Rregullator të Energjisë në Greqi (RAE), në përputhje me nenin 36 të Direktivës 2009/73/EC “Për rregullat e përbashkëta për tregun e brendshëm të gazit natyror”. Më datë 1 shtator 2011, TAP AG paraqiti pranë Entit Rregullator të Energjisë (ERE) kërkesën për përjashtimin e Gazsjellësit Trans Adriatik, në përputhje me nenin 22 të Direktivës 2003/55/EC.</w:t>
      </w:r>
    </w:p>
    <w:p w14:paraId="37CB2C15" w14:textId="669D55D9"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Në qershor 2013, Ministria e Zhvillimit Ekonomik të Italisë, Autoriteti Rregullator i Energjisë i Greqisë (RAE) dhe Enti Rregullator i Energjisë (ERE) miratuan përjashtimin për Gazsjellësin Trans Adriatik, nëpërmjet Opinionit Përfundimtar të Përbashkët, një dokument i përgatitur në mënyrë të koordinuar nga ARERA, ERE dhe RAE (këtu e në vijim: “Autoritetet”). Ky opinion u rishikua për t’u përputhur me vendimin e Komisionit Evropian nr. C(2013)2949 final, datë 16 maj 2013, dhe mori gjithashtu në konsideratë Opinionin nr. 1/2013 të Sekretariatit të Komunitetit të Energjisë, datë 14 maj 2013.</w:t>
      </w:r>
    </w:p>
    <w:p w14:paraId="0866FB66" w14:textId="5C068DD6"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lastRenderedPageBreak/>
        <w:t xml:space="preserve">- </w:t>
      </w:r>
      <w:r w:rsidRPr="004627CC">
        <w:rPr>
          <w:rFonts w:ascii="Garamond" w:hAnsi="Garamond"/>
          <w:color w:val="000000"/>
          <w:sz w:val="24"/>
          <w:szCs w:val="24"/>
          <w:lang w:val="sq-AL"/>
        </w:rPr>
        <w:t>Më datë 16 mars 2017, u miratua Rregullorja (BE) nr. 2017/459 e Komisionit, “Për krijimin e Kodit të Rrjetit për mekanizmat e alokimit të kapaciteteve në sistemet e transmetimit të gazit” dhe për shfuqizimin e Rregullores (BE) nr. 984/2013. Kjo rregullore (në vijim: CAM NC) vendos kuadrin rregullator për mekanizmat e alokimit të kapacitetit në sistemet e transmetimit të gazit, duke përfshirë si kapacitetin ekzistues, ashtu edhe atë shtesë (në rritje).</w:t>
      </w:r>
    </w:p>
    <w:p w14:paraId="71C71C64" w14:textId="6F241ED8"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“Udhëzuesi për Testimin e Tregut për Gazsjellësin Trans Adriatik 2023”, i paraqitur nga TAP AG më datë 6 qershor 2023, u miratua nga Bordi i ERE-s me vendimin nr. 212, datë 27.06.2023.</w:t>
      </w:r>
    </w:p>
    <w:p w14:paraId="7E992C33" w14:textId="015D39AF"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Më datë 16 qershor 2025, në përputhje me paragrafin 4.1.7 të Opinionit Përfundimtar të Përbashkët, TAP AG i paraqiti Autoriteteve dokumentin “Udhëzuesi për Testimin e Tregut të Gazsjellësit Trans Adriatik “ (në vijim: “Udhëzimet 2025”).</w:t>
      </w:r>
    </w:p>
    <w:p w14:paraId="4FF40C5F" w14:textId="77777777"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olor w:val="000000"/>
          <w:sz w:val="24"/>
          <w:szCs w:val="24"/>
          <w:lang w:val="sq-AL"/>
        </w:rPr>
        <w:t>Dhe, duke patur parasysh se:</w:t>
      </w:r>
    </w:p>
    <w:p w14:paraId="62BCC0B3" w14:textId="2C9073EC" w:rsidR="004627CC" w:rsidRPr="004627CC" w:rsidRDefault="004627CC" w:rsidP="004627CC">
      <w:pPr>
        <w:autoSpaceDE w:val="0"/>
        <w:autoSpaceDN w:val="0"/>
        <w:adjustRightInd w:val="0"/>
        <w:ind w:firstLine="284"/>
        <w:jc w:val="both"/>
        <w:rPr>
          <w:rFonts w:ascii="Garamond" w:hAnsi="Garamond"/>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Udhëzimet e  propozuara, siç përmendet më sipër, janë në përputhje me parimet e përcaktuara në Opinionin Përfundimtar të Përbashkët, në Kodin e Rrjetit për Mekanizmat e Alokimit të Kapacitetit (CAM NC), si dhe me kuadrin ligjor kombëtar, dhe nuk përmbajnë pengesa të panevojshme për realizimin e procesit të ndërtimit të kapaciteteve shtesë.;</w:t>
      </w:r>
    </w:p>
    <w:p w14:paraId="7E397987" w14:textId="10C67A3C" w:rsidR="004627CC" w:rsidRPr="004627CC" w:rsidRDefault="004627CC" w:rsidP="004627CC">
      <w:pPr>
        <w:autoSpaceDE w:val="0"/>
        <w:autoSpaceDN w:val="0"/>
        <w:adjustRightInd w:val="0"/>
        <w:ind w:firstLine="284"/>
        <w:jc w:val="both"/>
        <w:rPr>
          <w:rFonts w:ascii="Garamond" w:hAnsi="Garamond"/>
          <w:sz w:val="24"/>
          <w:szCs w:val="24"/>
          <w:lang w:val="sq-AL"/>
        </w:rPr>
      </w:pPr>
      <w:r w:rsidRPr="004627CC">
        <w:rPr>
          <w:rFonts w:ascii="Garamond" w:hAnsi="Garamond" w:cs="Arial"/>
          <w:sz w:val="24"/>
          <w:szCs w:val="24"/>
          <w:lang w:val="sq-AL"/>
        </w:rPr>
        <w:t xml:space="preserve">- </w:t>
      </w:r>
      <w:r w:rsidRPr="004627CC">
        <w:rPr>
          <w:rFonts w:ascii="Garamond" w:hAnsi="Garamond"/>
          <w:color w:val="000000"/>
          <w:sz w:val="24"/>
          <w:szCs w:val="24"/>
          <w:lang w:val="sq-AL"/>
        </w:rPr>
        <w:t>Procesi është konceptuar në mënyrë që të lehtësojë bashkëpunimin me operatorët e sistemeve të transmetimit (OST) të vendeve fqinje, me synimin për të siguruar një zhvillim të koordinuar të rrjetit dhe për të shmangur mospërputhjet e mundshme në ndërtimin e kapaciteteve ndërkufitare; .</w:t>
      </w:r>
    </w:p>
    <w:p w14:paraId="7DF81C76" w14:textId="674B41E3"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sz w:val="24"/>
          <w:szCs w:val="24"/>
          <w:lang w:val="sq-AL"/>
        </w:rPr>
        <w:t xml:space="preserve">- </w:t>
      </w:r>
      <w:r w:rsidRPr="004627CC">
        <w:rPr>
          <w:rFonts w:ascii="Garamond" w:hAnsi="Garamond"/>
          <w:color w:val="000000"/>
          <w:sz w:val="24"/>
          <w:szCs w:val="24"/>
          <w:lang w:val="sq-AL"/>
        </w:rPr>
        <w:t>Dokumenti me datë 16 qershor 2025, i cili përmban “Udhëzimet 2025 e Testimit të Tregut” (Shtojca B) për ekzaminimin e ofertave të reja të mundshme për kapacitet në rritje, u dërgua nga TAP AG për miratim nga Autoritetet.</w:t>
      </w:r>
    </w:p>
    <w:p w14:paraId="3268D4C7" w14:textId="1D61B4BF"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Autoritetet, pas shqyrtimit të “Udhëzimit për Testimin e Tregut 2025”, i cili në thelb bazohet në të njëjtat parime të zbatuara gjatë Testimit të Tregut 2023, hartuan në mënyrë të përbashkët një dokument që përmban vendimin për miratimin e udhëzimeve dhe arsyet përkatëse (Shtojca A e këtij vendimi).</w:t>
      </w:r>
    </w:p>
    <w:p w14:paraId="7AB79E25" w14:textId="1A8F929E"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Dokumenti i përbashkët është gjithashtu objekt miratimi nga autoritetet rregullatore të Italisë dhe Greqisë, përkatësisht ARERA dhe RAE.</w:t>
      </w:r>
    </w:p>
    <w:p w14:paraId="713AF90F" w14:textId="24542E9E"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Procedura e Testimit të Tregut 2025, e propozuar nga TAP AG, është në përputhje me parimet e përcaktuara në Opinionin Përfundimtar të Përbashkët, si dhe me direktivat dhe rregulloret përkatëse të Bashkimit Evropian që rregullojnë alokimin e kapacitetit ekzistues dhe shtesë në sistemet e transmetimit të gazit.</w:t>
      </w:r>
    </w:p>
    <w:p w14:paraId="7E71ABF5" w14:textId="611722F8"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s="Arial"/>
          <w:color w:val="000000"/>
          <w:sz w:val="24"/>
          <w:szCs w:val="24"/>
          <w:lang w:val="sq-AL"/>
        </w:rPr>
        <w:t xml:space="preserve">- </w:t>
      </w:r>
      <w:r w:rsidRPr="004627CC">
        <w:rPr>
          <w:rFonts w:ascii="Garamond" w:hAnsi="Garamond"/>
          <w:color w:val="000000"/>
          <w:sz w:val="24"/>
          <w:szCs w:val="24"/>
          <w:lang w:val="sq-AL"/>
        </w:rPr>
        <w:t>Nevoja për miratimin e dokumentit të përbashkët që miraton “Udhëzimet për Testimin e Tregut 2025” (Shtojca A).</w:t>
      </w:r>
    </w:p>
    <w:p w14:paraId="232E93A0" w14:textId="7874BD79"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olor w:val="000000"/>
          <w:sz w:val="24"/>
          <w:szCs w:val="24"/>
          <w:lang w:val="sq-AL"/>
        </w:rPr>
        <w:t xml:space="preserve">Për gjithë sa më sipër, bordi i ERE-s,  </w:t>
      </w:r>
    </w:p>
    <w:p w14:paraId="0E6B0E20" w14:textId="77777777" w:rsidR="004627CC" w:rsidRDefault="004627CC" w:rsidP="004627CC">
      <w:pPr>
        <w:autoSpaceDE w:val="0"/>
        <w:autoSpaceDN w:val="0"/>
        <w:adjustRightInd w:val="0"/>
        <w:ind w:firstLine="284"/>
        <w:jc w:val="both"/>
        <w:rPr>
          <w:rFonts w:ascii="Garamond" w:hAnsi="Garamond"/>
          <w:b/>
          <w:bCs/>
          <w:color w:val="000000"/>
          <w:sz w:val="24"/>
          <w:szCs w:val="24"/>
          <w:lang w:val="sq-AL"/>
        </w:rPr>
      </w:pPr>
    </w:p>
    <w:p w14:paraId="4CE22D1A" w14:textId="598C96E1" w:rsidR="004627CC" w:rsidRPr="004627CC" w:rsidRDefault="004627CC" w:rsidP="004627CC">
      <w:pPr>
        <w:autoSpaceDE w:val="0"/>
        <w:autoSpaceDN w:val="0"/>
        <w:adjustRightInd w:val="0"/>
        <w:ind w:firstLine="284"/>
        <w:jc w:val="center"/>
        <w:rPr>
          <w:rFonts w:ascii="Garamond" w:hAnsi="Garamond"/>
          <w:bCs/>
          <w:color w:val="000000"/>
          <w:sz w:val="24"/>
          <w:szCs w:val="24"/>
          <w:lang w:val="sq-AL"/>
        </w:rPr>
      </w:pPr>
      <w:r w:rsidRPr="004627CC">
        <w:rPr>
          <w:rFonts w:ascii="Garamond" w:hAnsi="Garamond"/>
          <w:bCs/>
          <w:color w:val="000000"/>
          <w:sz w:val="24"/>
          <w:szCs w:val="24"/>
          <w:lang w:val="sq-AL"/>
        </w:rPr>
        <w:t>VENDOSI:</w:t>
      </w:r>
    </w:p>
    <w:p w14:paraId="1BE91F55" w14:textId="77777777" w:rsidR="004627CC" w:rsidRPr="004627CC" w:rsidRDefault="004627CC" w:rsidP="004627CC">
      <w:pPr>
        <w:autoSpaceDE w:val="0"/>
        <w:autoSpaceDN w:val="0"/>
        <w:adjustRightInd w:val="0"/>
        <w:ind w:firstLine="284"/>
        <w:jc w:val="both"/>
        <w:rPr>
          <w:rFonts w:ascii="Garamond" w:hAnsi="Garamond"/>
          <w:color w:val="000000"/>
          <w:sz w:val="24"/>
          <w:szCs w:val="24"/>
          <w:lang w:val="sq-AL"/>
        </w:rPr>
      </w:pPr>
    </w:p>
    <w:p w14:paraId="5963AE09" w14:textId="18840F4E"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olor w:val="000000"/>
          <w:sz w:val="24"/>
          <w:szCs w:val="24"/>
          <w:lang w:val="sq-AL"/>
        </w:rPr>
        <w:t>1. Të miratojë “</w:t>
      </w:r>
      <w:r w:rsidRPr="004627CC">
        <w:rPr>
          <w:rFonts w:ascii="Garamond" w:hAnsi="Garamond"/>
          <w:i/>
          <w:iCs/>
          <w:color w:val="000000"/>
          <w:sz w:val="24"/>
          <w:szCs w:val="24"/>
          <w:lang w:val="sq-AL"/>
        </w:rPr>
        <w:t xml:space="preserve">Udhëzimet për Testimin e Tregut 2025  për Gazsjellësin Trans Adriatik </w:t>
      </w:r>
      <w:r w:rsidRPr="004627CC">
        <w:rPr>
          <w:rFonts w:ascii="Garamond" w:hAnsi="Garamond"/>
          <w:color w:val="000000"/>
          <w:sz w:val="24"/>
          <w:szCs w:val="24"/>
          <w:lang w:val="sq-AL"/>
        </w:rPr>
        <w:t>“, të paraqitur nga TAP AG më datë 16 qershor 2025 (Shtojca B), si dhe të japë miratimin për përfshirjen në vendimin e përbashkët me autoritetet rregullatore të Italisë (ARERA) dhe Greqisë (RAE) (Shtojca A).</w:t>
      </w:r>
    </w:p>
    <w:p w14:paraId="22E43017" w14:textId="04C4157A"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olor w:val="000000"/>
          <w:sz w:val="24"/>
          <w:szCs w:val="24"/>
          <w:lang w:val="sq-AL"/>
        </w:rPr>
        <w:t>2. Të dërgohet  një kopje të këtij vendimi Autoriteteve Rregullatore ARERA dhe RAE,  shoqërisë TAP AG; si dhe Ministrisë së Infrastrukturës dhe Energjisë.</w:t>
      </w:r>
    </w:p>
    <w:p w14:paraId="02279DCC" w14:textId="38F668DF" w:rsidR="004627CC" w:rsidRPr="004627CC" w:rsidRDefault="004627CC" w:rsidP="004627CC">
      <w:pPr>
        <w:autoSpaceDE w:val="0"/>
        <w:autoSpaceDN w:val="0"/>
        <w:adjustRightInd w:val="0"/>
        <w:ind w:firstLine="284"/>
        <w:rPr>
          <w:rFonts w:ascii="Garamond" w:hAnsi="Garamond"/>
          <w:color w:val="000000"/>
          <w:sz w:val="24"/>
          <w:szCs w:val="24"/>
          <w:lang w:val="sq-AL"/>
        </w:rPr>
      </w:pPr>
      <w:r w:rsidRPr="004627CC">
        <w:rPr>
          <w:rFonts w:ascii="Garamond" w:hAnsi="Garamond"/>
          <w:color w:val="000000"/>
          <w:sz w:val="24"/>
          <w:szCs w:val="24"/>
          <w:lang w:val="sq-AL"/>
        </w:rPr>
        <w:t>3. Të publikojë këtë vendim në Fletoren  zyrtare  përfshirë shtojcat A dhe B.</w:t>
      </w:r>
    </w:p>
    <w:p w14:paraId="629E1A55" w14:textId="77777777"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olor w:val="000000"/>
          <w:sz w:val="24"/>
          <w:szCs w:val="24"/>
          <w:lang w:val="sq-AL"/>
        </w:rPr>
        <w:t xml:space="preserve">Ky vendim hyn në fuqi menjëherë. </w:t>
      </w:r>
    </w:p>
    <w:p w14:paraId="6665154E" w14:textId="77777777" w:rsidR="004627CC" w:rsidRPr="004627CC" w:rsidRDefault="004627CC" w:rsidP="004627CC">
      <w:pPr>
        <w:autoSpaceDE w:val="0"/>
        <w:autoSpaceDN w:val="0"/>
        <w:adjustRightInd w:val="0"/>
        <w:ind w:firstLine="284"/>
        <w:jc w:val="both"/>
        <w:rPr>
          <w:rFonts w:ascii="Garamond" w:hAnsi="Garamond"/>
          <w:color w:val="000000"/>
          <w:sz w:val="24"/>
          <w:szCs w:val="24"/>
          <w:lang w:val="sq-AL"/>
        </w:rPr>
      </w:pPr>
      <w:r w:rsidRPr="004627CC">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45 ditëve kalendarike nga dita e publikimit në Fletoren Zyrtare. </w:t>
      </w:r>
    </w:p>
    <w:p w14:paraId="4EEF36CA" w14:textId="77777777" w:rsidR="004627CC" w:rsidRPr="004627CC" w:rsidRDefault="004627CC" w:rsidP="004627CC">
      <w:pPr>
        <w:autoSpaceDE w:val="0"/>
        <w:autoSpaceDN w:val="0"/>
        <w:adjustRightInd w:val="0"/>
        <w:ind w:firstLine="284"/>
        <w:jc w:val="both"/>
        <w:rPr>
          <w:rFonts w:ascii="Garamond" w:hAnsi="Garamond"/>
          <w:sz w:val="24"/>
          <w:szCs w:val="24"/>
          <w:lang w:val="sq-AL"/>
        </w:rPr>
      </w:pPr>
      <w:r w:rsidRPr="004627CC">
        <w:rPr>
          <w:rFonts w:ascii="Garamond" w:hAnsi="Garamond"/>
          <w:color w:val="000000"/>
          <w:sz w:val="24"/>
          <w:szCs w:val="24"/>
          <w:lang w:val="sq-AL"/>
        </w:rPr>
        <w:t>Ky vendim botohet në Fletoren Zyrtare.</w:t>
      </w:r>
    </w:p>
    <w:p w14:paraId="46DCB4C2" w14:textId="77777777" w:rsidR="004627CC" w:rsidRDefault="004627CC" w:rsidP="004627CC">
      <w:pPr>
        <w:tabs>
          <w:tab w:val="left" w:pos="7800"/>
        </w:tabs>
        <w:autoSpaceDE w:val="0"/>
        <w:autoSpaceDN w:val="0"/>
        <w:adjustRightInd w:val="0"/>
        <w:ind w:firstLine="284"/>
        <w:jc w:val="center"/>
        <w:rPr>
          <w:rFonts w:ascii="Garamond" w:hAnsi="Garamond"/>
          <w:b/>
          <w:bCs/>
          <w:color w:val="000000"/>
          <w:sz w:val="24"/>
          <w:szCs w:val="24"/>
          <w:lang w:val="sq-AL"/>
        </w:rPr>
      </w:pPr>
    </w:p>
    <w:p w14:paraId="03780FA2" w14:textId="1C0F4C92" w:rsidR="004627CC" w:rsidRPr="004627CC" w:rsidRDefault="004627CC" w:rsidP="004627CC">
      <w:pPr>
        <w:tabs>
          <w:tab w:val="left" w:pos="7800"/>
        </w:tabs>
        <w:autoSpaceDE w:val="0"/>
        <w:autoSpaceDN w:val="0"/>
        <w:adjustRightInd w:val="0"/>
        <w:ind w:firstLine="284"/>
        <w:jc w:val="right"/>
        <w:rPr>
          <w:rFonts w:ascii="Garamond" w:hAnsi="Garamond"/>
          <w:bCs/>
          <w:color w:val="000000"/>
          <w:sz w:val="24"/>
          <w:szCs w:val="24"/>
          <w:lang w:val="sq-AL"/>
        </w:rPr>
      </w:pPr>
      <w:r w:rsidRPr="004627CC">
        <w:rPr>
          <w:rFonts w:ascii="Garamond" w:hAnsi="Garamond"/>
          <w:bCs/>
          <w:color w:val="000000"/>
          <w:sz w:val="24"/>
          <w:szCs w:val="24"/>
          <w:lang w:val="sq-AL"/>
        </w:rPr>
        <w:t>KRYETAR</w:t>
      </w:r>
    </w:p>
    <w:p w14:paraId="2FFC7C50" w14:textId="596AFCE5" w:rsidR="004627CC" w:rsidRPr="004627CC" w:rsidRDefault="004627CC" w:rsidP="004627CC">
      <w:pPr>
        <w:tabs>
          <w:tab w:val="left" w:pos="7800"/>
        </w:tabs>
        <w:autoSpaceDE w:val="0"/>
        <w:autoSpaceDN w:val="0"/>
        <w:adjustRightInd w:val="0"/>
        <w:ind w:firstLine="284"/>
        <w:jc w:val="right"/>
        <w:rPr>
          <w:rFonts w:ascii="Garamond" w:hAnsi="Garamond"/>
          <w:b/>
          <w:bCs/>
          <w:color w:val="000000"/>
          <w:sz w:val="24"/>
          <w:szCs w:val="24"/>
          <w:lang w:val="sq-AL"/>
        </w:rPr>
      </w:pPr>
      <w:r w:rsidRPr="004627CC">
        <w:rPr>
          <w:rFonts w:ascii="Garamond" w:hAnsi="Garamond"/>
          <w:b/>
          <w:bCs/>
          <w:color w:val="000000"/>
          <w:sz w:val="24"/>
          <w:szCs w:val="24"/>
          <w:lang w:val="sq-AL"/>
        </w:rPr>
        <w:t>Petrit Ahmeti</w:t>
      </w:r>
    </w:p>
    <w:p w14:paraId="6DBAFB1C" w14:textId="673DD695" w:rsidR="00294D6A" w:rsidRDefault="00294D6A">
      <w:pPr>
        <w:pBdr>
          <w:top w:val="nil"/>
          <w:left w:val="nil"/>
          <w:bottom w:val="nil"/>
          <w:right w:val="nil"/>
          <w:between w:val="nil"/>
        </w:pBdr>
        <w:spacing w:line="276" w:lineRule="auto"/>
        <w:ind w:right="-180"/>
        <w:jc w:val="both"/>
        <w:rPr>
          <w:color w:val="000000"/>
          <w:sz w:val="24"/>
          <w:szCs w:val="24"/>
          <w:lang w:val="sq-AL"/>
        </w:rPr>
      </w:pPr>
    </w:p>
    <w:p w14:paraId="4A5DEF6A" w14:textId="7FA11F2B" w:rsidR="00423C74" w:rsidRDefault="00423C74">
      <w:pPr>
        <w:pBdr>
          <w:top w:val="nil"/>
          <w:left w:val="nil"/>
          <w:bottom w:val="nil"/>
          <w:right w:val="nil"/>
          <w:between w:val="nil"/>
        </w:pBdr>
        <w:spacing w:line="276" w:lineRule="auto"/>
        <w:ind w:right="-180"/>
        <w:jc w:val="both"/>
        <w:rPr>
          <w:color w:val="000000"/>
          <w:sz w:val="24"/>
          <w:szCs w:val="24"/>
          <w:lang w:val="sq-AL"/>
        </w:rPr>
      </w:pPr>
      <w:r>
        <w:rPr>
          <w:noProof/>
          <w:color w:val="000000"/>
          <w:sz w:val="24"/>
          <w:szCs w:val="24"/>
          <w:lang w:val="sq-AL"/>
        </w:rPr>
        <w:lastRenderedPageBreak/>
        <w:drawing>
          <wp:inline distT="0" distB="0" distL="0" distR="0" wp14:anchorId="05E46F7B" wp14:editId="0AE69C32">
            <wp:extent cx="6030767" cy="433387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r 146_Dt 08072025_Annex A-Miratimi i përbashkët i Udhëzimeve për Testimin e Tregut 2025 TAP AG- Shtojca A clean_Page_1.jpg"/>
                    <pic:cNvPicPr/>
                  </pic:nvPicPr>
                  <pic:blipFill>
                    <a:blip r:embed="rId26">
                      <a:extLst>
                        <a:ext uri="{28A0092B-C50C-407E-A947-70E740481C1C}">
                          <a14:useLocalDpi xmlns:a14="http://schemas.microsoft.com/office/drawing/2010/main" val="0"/>
                        </a:ext>
                      </a:extLst>
                    </a:blip>
                    <a:stretch>
                      <a:fillRect/>
                    </a:stretch>
                  </pic:blipFill>
                  <pic:spPr>
                    <a:xfrm>
                      <a:off x="0" y="0"/>
                      <a:ext cx="6034206" cy="4336346"/>
                    </a:xfrm>
                    <a:prstGeom prst="rect">
                      <a:avLst/>
                    </a:prstGeom>
                  </pic:spPr>
                </pic:pic>
              </a:graphicData>
            </a:graphic>
          </wp:inline>
        </w:drawing>
      </w:r>
      <w:r>
        <w:rPr>
          <w:noProof/>
          <w:color w:val="000000"/>
          <w:sz w:val="24"/>
          <w:szCs w:val="24"/>
          <w:lang w:val="sq-AL"/>
        </w:rPr>
        <w:lastRenderedPageBreak/>
        <w:drawing>
          <wp:inline distT="0" distB="0" distL="0" distR="0" wp14:anchorId="05B328A0" wp14:editId="46567BB0">
            <wp:extent cx="5829300" cy="90481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r 146_Dt 08072025_Annex A-Miratimi i përbashkët i Udhëzimeve për Testimin e Tregut 2025 TAP AG- Shtojca A clean_Page_2.jpg"/>
                    <pic:cNvPicPr/>
                  </pic:nvPicPr>
                  <pic:blipFill>
                    <a:blip r:embed="rId27">
                      <a:extLst>
                        <a:ext uri="{28A0092B-C50C-407E-A947-70E740481C1C}">
                          <a14:useLocalDpi xmlns:a14="http://schemas.microsoft.com/office/drawing/2010/main" val="0"/>
                        </a:ext>
                      </a:extLst>
                    </a:blip>
                    <a:stretch>
                      <a:fillRect/>
                    </a:stretch>
                  </pic:blipFill>
                  <pic:spPr>
                    <a:xfrm>
                      <a:off x="0" y="0"/>
                      <a:ext cx="5829300" cy="9048115"/>
                    </a:xfrm>
                    <a:prstGeom prst="rect">
                      <a:avLst/>
                    </a:prstGeom>
                  </pic:spPr>
                </pic:pic>
              </a:graphicData>
            </a:graphic>
          </wp:inline>
        </w:drawing>
      </w:r>
      <w:bookmarkStart w:id="0" w:name="_GoBack"/>
      <w:r>
        <w:rPr>
          <w:noProof/>
          <w:color w:val="000000"/>
          <w:sz w:val="24"/>
          <w:szCs w:val="24"/>
          <w:lang w:val="sq-AL"/>
        </w:rPr>
        <w:lastRenderedPageBreak/>
        <w:drawing>
          <wp:inline distT="0" distB="0" distL="0" distR="0" wp14:anchorId="32546778" wp14:editId="69F7FF33">
            <wp:extent cx="6105525" cy="913257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r 146_Dt 08072025_Annex A-Miratimi i përbashkët i Udhëzimeve për Testimin e Tregut 2025 TAP AG- Shtojca A clean_Page_3.jpg"/>
                    <pic:cNvPicPr/>
                  </pic:nvPicPr>
                  <pic:blipFill>
                    <a:blip r:embed="rId28">
                      <a:extLst>
                        <a:ext uri="{28A0092B-C50C-407E-A947-70E740481C1C}">
                          <a14:useLocalDpi xmlns:a14="http://schemas.microsoft.com/office/drawing/2010/main" val="0"/>
                        </a:ext>
                      </a:extLst>
                    </a:blip>
                    <a:stretch>
                      <a:fillRect/>
                    </a:stretch>
                  </pic:blipFill>
                  <pic:spPr>
                    <a:xfrm>
                      <a:off x="0" y="0"/>
                      <a:ext cx="6105525" cy="9132570"/>
                    </a:xfrm>
                    <a:prstGeom prst="rect">
                      <a:avLst/>
                    </a:prstGeom>
                  </pic:spPr>
                </pic:pic>
              </a:graphicData>
            </a:graphic>
          </wp:inline>
        </w:drawing>
      </w:r>
      <w:bookmarkEnd w:id="0"/>
      <w:r>
        <w:rPr>
          <w:noProof/>
          <w:color w:val="000000"/>
          <w:sz w:val="24"/>
          <w:szCs w:val="24"/>
          <w:lang w:val="sq-AL"/>
        </w:rPr>
        <w:lastRenderedPageBreak/>
        <w:drawing>
          <wp:inline distT="0" distB="0" distL="0" distR="0" wp14:anchorId="5A47514B" wp14:editId="0C3F697B">
            <wp:extent cx="6200775" cy="9026525"/>
            <wp:effectExtent l="0" t="0" r="952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r 146_Dt 08072025_Annex A-Miratimi i përbashkët i Udhëzimeve për Testimin e Tregut 2025 TAP AG- Shtojca A clean_Page_4.jpg"/>
                    <pic:cNvPicPr/>
                  </pic:nvPicPr>
                  <pic:blipFill>
                    <a:blip r:embed="rId29">
                      <a:extLst>
                        <a:ext uri="{28A0092B-C50C-407E-A947-70E740481C1C}">
                          <a14:useLocalDpi xmlns:a14="http://schemas.microsoft.com/office/drawing/2010/main" val="0"/>
                        </a:ext>
                      </a:extLst>
                    </a:blip>
                    <a:stretch>
                      <a:fillRect/>
                    </a:stretch>
                  </pic:blipFill>
                  <pic:spPr>
                    <a:xfrm>
                      <a:off x="0" y="0"/>
                      <a:ext cx="6200775" cy="9026525"/>
                    </a:xfrm>
                    <a:prstGeom prst="rect">
                      <a:avLst/>
                    </a:prstGeom>
                  </pic:spPr>
                </pic:pic>
              </a:graphicData>
            </a:graphic>
          </wp:inline>
        </w:drawing>
      </w:r>
      <w:r>
        <w:rPr>
          <w:noProof/>
          <w:color w:val="000000"/>
          <w:sz w:val="24"/>
          <w:szCs w:val="24"/>
          <w:lang w:val="sq-AL"/>
        </w:rPr>
        <w:lastRenderedPageBreak/>
        <w:drawing>
          <wp:inline distT="0" distB="0" distL="0" distR="0" wp14:anchorId="6335A696" wp14:editId="172015B6">
            <wp:extent cx="5829300" cy="65455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r 146_Dt 08072025_Annex A-Miratimi i përbashkët i Udhëzimeve për Testimin e Tregut 2025 TAP AG- Shtojca A clean_Page_5.jpg"/>
                    <pic:cNvPicPr/>
                  </pic:nvPicPr>
                  <pic:blipFill>
                    <a:blip r:embed="rId30">
                      <a:extLst>
                        <a:ext uri="{28A0092B-C50C-407E-A947-70E740481C1C}">
                          <a14:useLocalDpi xmlns:a14="http://schemas.microsoft.com/office/drawing/2010/main" val="0"/>
                        </a:ext>
                      </a:extLst>
                    </a:blip>
                    <a:stretch>
                      <a:fillRect/>
                    </a:stretch>
                  </pic:blipFill>
                  <pic:spPr>
                    <a:xfrm>
                      <a:off x="0" y="0"/>
                      <a:ext cx="5829300" cy="6545580"/>
                    </a:xfrm>
                    <a:prstGeom prst="rect">
                      <a:avLst/>
                    </a:prstGeom>
                  </pic:spPr>
                </pic:pic>
              </a:graphicData>
            </a:graphic>
          </wp:inline>
        </w:drawing>
      </w:r>
    </w:p>
    <w:p w14:paraId="4777F190" w14:textId="22869063" w:rsidR="00423C74" w:rsidRDefault="00423C74">
      <w:pPr>
        <w:pBdr>
          <w:top w:val="nil"/>
          <w:left w:val="nil"/>
          <w:bottom w:val="nil"/>
          <w:right w:val="nil"/>
          <w:between w:val="nil"/>
        </w:pBdr>
        <w:spacing w:line="276" w:lineRule="auto"/>
        <w:ind w:right="-180"/>
        <w:jc w:val="both"/>
        <w:rPr>
          <w:color w:val="000000"/>
          <w:sz w:val="24"/>
          <w:szCs w:val="24"/>
          <w:lang w:val="sq-AL"/>
        </w:rPr>
      </w:pPr>
    </w:p>
    <w:p w14:paraId="1D2716A8" w14:textId="77777777" w:rsidR="00232DC8" w:rsidRDefault="00A03AF6">
      <w:pPr>
        <w:pBdr>
          <w:top w:val="nil"/>
          <w:left w:val="nil"/>
          <w:bottom w:val="nil"/>
          <w:right w:val="nil"/>
          <w:between w:val="nil"/>
        </w:pBdr>
        <w:spacing w:line="276" w:lineRule="auto"/>
        <w:ind w:right="-180"/>
        <w:jc w:val="both"/>
        <w:rPr>
          <w:color w:val="000000"/>
          <w:sz w:val="24"/>
          <w:szCs w:val="24"/>
          <w:lang w:val="sq-AL"/>
        </w:rPr>
      </w:pPr>
      <w:r>
        <w:rPr>
          <w:noProof/>
          <w:color w:val="000000"/>
          <w:sz w:val="24"/>
          <w:szCs w:val="24"/>
          <w:lang w:val="sq-AL"/>
        </w:rPr>
        <w:lastRenderedPageBreak/>
        <w:drawing>
          <wp:inline distT="0" distB="0" distL="0" distR="0" wp14:anchorId="50E8816F" wp14:editId="380E2EA4">
            <wp:extent cx="6151900" cy="468630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r 146_Dt 08072025_Annex A-Approval Market Test Guidelines 2025 clean_Page_1.jpg"/>
                    <pic:cNvPicPr/>
                  </pic:nvPicPr>
                  <pic:blipFill>
                    <a:blip r:embed="rId31">
                      <a:extLst>
                        <a:ext uri="{28A0092B-C50C-407E-A947-70E740481C1C}">
                          <a14:useLocalDpi xmlns:a14="http://schemas.microsoft.com/office/drawing/2010/main" val="0"/>
                        </a:ext>
                      </a:extLst>
                    </a:blip>
                    <a:stretch>
                      <a:fillRect/>
                    </a:stretch>
                  </pic:blipFill>
                  <pic:spPr>
                    <a:xfrm>
                      <a:off x="0" y="0"/>
                      <a:ext cx="6156417" cy="4689741"/>
                    </a:xfrm>
                    <a:prstGeom prst="rect">
                      <a:avLst/>
                    </a:prstGeom>
                  </pic:spPr>
                </pic:pic>
              </a:graphicData>
            </a:graphic>
          </wp:inline>
        </w:drawing>
      </w:r>
      <w:r>
        <w:rPr>
          <w:noProof/>
          <w:color w:val="000000"/>
          <w:sz w:val="24"/>
          <w:szCs w:val="24"/>
          <w:lang w:val="sq-AL"/>
        </w:rPr>
        <w:lastRenderedPageBreak/>
        <w:drawing>
          <wp:inline distT="0" distB="0" distL="0" distR="0" wp14:anchorId="19946F1F" wp14:editId="48B11C56">
            <wp:extent cx="5829300" cy="87376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r 146_Dt 08072025_Annex A-Approval Market Test Guidelines 2025 clean_Page_2.jpg"/>
                    <pic:cNvPicPr/>
                  </pic:nvPicPr>
                  <pic:blipFill>
                    <a:blip r:embed="rId32">
                      <a:extLst>
                        <a:ext uri="{28A0092B-C50C-407E-A947-70E740481C1C}">
                          <a14:useLocalDpi xmlns:a14="http://schemas.microsoft.com/office/drawing/2010/main" val="0"/>
                        </a:ext>
                      </a:extLst>
                    </a:blip>
                    <a:stretch>
                      <a:fillRect/>
                    </a:stretch>
                  </pic:blipFill>
                  <pic:spPr>
                    <a:xfrm>
                      <a:off x="0" y="0"/>
                      <a:ext cx="5829300" cy="8737600"/>
                    </a:xfrm>
                    <a:prstGeom prst="rect">
                      <a:avLst/>
                    </a:prstGeom>
                  </pic:spPr>
                </pic:pic>
              </a:graphicData>
            </a:graphic>
          </wp:inline>
        </w:drawing>
      </w:r>
      <w:r>
        <w:rPr>
          <w:noProof/>
          <w:color w:val="000000"/>
          <w:sz w:val="24"/>
          <w:szCs w:val="24"/>
          <w:lang w:val="sq-AL"/>
        </w:rPr>
        <w:lastRenderedPageBreak/>
        <w:drawing>
          <wp:inline distT="0" distB="0" distL="0" distR="0" wp14:anchorId="38C4240C" wp14:editId="4D98E8DB">
            <wp:extent cx="5829300" cy="8536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r 146_Dt 08072025_Annex A-Approval Market Test Guidelines 2025 clean_Page_3.jpg"/>
                    <pic:cNvPicPr/>
                  </pic:nvPicPr>
                  <pic:blipFill>
                    <a:blip r:embed="rId33">
                      <a:extLst>
                        <a:ext uri="{28A0092B-C50C-407E-A947-70E740481C1C}">
                          <a14:useLocalDpi xmlns:a14="http://schemas.microsoft.com/office/drawing/2010/main" val="0"/>
                        </a:ext>
                      </a:extLst>
                    </a:blip>
                    <a:stretch>
                      <a:fillRect/>
                    </a:stretch>
                  </pic:blipFill>
                  <pic:spPr>
                    <a:xfrm>
                      <a:off x="0" y="0"/>
                      <a:ext cx="5829300" cy="8536305"/>
                    </a:xfrm>
                    <a:prstGeom prst="rect">
                      <a:avLst/>
                    </a:prstGeom>
                  </pic:spPr>
                </pic:pic>
              </a:graphicData>
            </a:graphic>
          </wp:inline>
        </w:drawing>
      </w:r>
      <w:r>
        <w:rPr>
          <w:noProof/>
          <w:color w:val="000000"/>
          <w:sz w:val="24"/>
          <w:szCs w:val="24"/>
          <w:lang w:val="sq-AL"/>
        </w:rPr>
        <w:lastRenderedPageBreak/>
        <w:drawing>
          <wp:inline distT="0" distB="0" distL="0" distR="0" wp14:anchorId="04203C19" wp14:editId="655D7631">
            <wp:extent cx="5753100" cy="9177518"/>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r 146_Dt 08072025_Annex A-Approval Market Test Guidelines 2025 clean_Page_4.jpg"/>
                    <pic:cNvPicPr/>
                  </pic:nvPicPr>
                  <pic:blipFill rotWithShape="1">
                    <a:blip r:embed="rId34">
                      <a:extLst>
                        <a:ext uri="{28A0092B-C50C-407E-A947-70E740481C1C}">
                          <a14:useLocalDpi xmlns:a14="http://schemas.microsoft.com/office/drawing/2010/main" val="0"/>
                        </a:ext>
                      </a:extLst>
                    </a:blip>
                    <a:srcRect l="4085"/>
                    <a:stretch/>
                  </pic:blipFill>
                  <pic:spPr bwMode="auto">
                    <a:xfrm>
                      <a:off x="0" y="0"/>
                      <a:ext cx="5755898" cy="9181981"/>
                    </a:xfrm>
                    <a:prstGeom prst="rect">
                      <a:avLst/>
                    </a:prstGeom>
                    <a:ln>
                      <a:noFill/>
                    </a:ln>
                    <a:extLst>
                      <a:ext uri="{53640926-AAD7-44D8-BBD7-CCE9431645EC}">
                        <a14:shadowObscured xmlns:a14="http://schemas.microsoft.com/office/drawing/2010/main"/>
                      </a:ext>
                    </a:extLst>
                  </pic:spPr>
                </pic:pic>
              </a:graphicData>
            </a:graphic>
          </wp:inline>
        </w:drawing>
      </w:r>
    </w:p>
    <w:p w14:paraId="439A6A29" w14:textId="77777777" w:rsidR="00232DC8" w:rsidRDefault="00232DC8">
      <w:pPr>
        <w:pBdr>
          <w:top w:val="nil"/>
          <w:left w:val="nil"/>
          <w:bottom w:val="nil"/>
          <w:right w:val="nil"/>
          <w:between w:val="nil"/>
        </w:pBdr>
        <w:spacing w:line="276" w:lineRule="auto"/>
        <w:ind w:right="-180"/>
        <w:jc w:val="both"/>
        <w:rPr>
          <w:color w:val="000000"/>
          <w:sz w:val="24"/>
          <w:szCs w:val="24"/>
          <w:lang w:val="sq-AL"/>
        </w:rPr>
      </w:pPr>
    </w:p>
    <w:p w14:paraId="1F5DE5BB" w14:textId="7F9CF61B" w:rsidR="00A03AF6" w:rsidRDefault="00A03AF6">
      <w:pPr>
        <w:pBdr>
          <w:top w:val="nil"/>
          <w:left w:val="nil"/>
          <w:bottom w:val="nil"/>
          <w:right w:val="nil"/>
          <w:between w:val="nil"/>
        </w:pBdr>
        <w:spacing w:line="276" w:lineRule="auto"/>
        <w:ind w:right="-180"/>
        <w:jc w:val="both"/>
        <w:rPr>
          <w:color w:val="000000"/>
          <w:sz w:val="24"/>
          <w:szCs w:val="24"/>
          <w:lang w:val="sq-AL"/>
        </w:rPr>
      </w:pPr>
      <w:r>
        <w:rPr>
          <w:noProof/>
          <w:color w:val="000000"/>
          <w:sz w:val="24"/>
          <w:szCs w:val="24"/>
          <w:lang w:val="sq-AL"/>
        </w:rPr>
        <w:lastRenderedPageBreak/>
        <w:drawing>
          <wp:inline distT="0" distB="0" distL="0" distR="0" wp14:anchorId="23CAA80B" wp14:editId="4C7CAA28">
            <wp:extent cx="5724144" cy="50109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r 146_Dt 08072025_Annex A-Approval Market Test Guidelines 2025 clean_Page_5.jpg"/>
                    <pic:cNvPicPr/>
                  </pic:nvPicPr>
                  <pic:blipFill>
                    <a:blip r:embed="rId35">
                      <a:extLst>
                        <a:ext uri="{28A0092B-C50C-407E-A947-70E740481C1C}">
                          <a14:useLocalDpi xmlns:a14="http://schemas.microsoft.com/office/drawing/2010/main" val="0"/>
                        </a:ext>
                      </a:extLst>
                    </a:blip>
                    <a:stretch>
                      <a:fillRect/>
                    </a:stretch>
                  </pic:blipFill>
                  <pic:spPr>
                    <a:xfrm>
                      <a:off x="0" y="0"/>
                      <a:ext cx="5724144" cy="5010912"/>
                    </a:xfrm>
                    <a:prstGeom prst="rect">
                      <a:avLst/>
                    </a:prstGeom>
                  </pic:spPr>
                </pic:pic>
              </a:graphicData>
            </a:graphic>
          </wp:inline>
        </w:drawing>
      </w:r>
    </w:p>
    <w:p w14:paraId="525D78A8" w14:textId="5BE0F335" w:rsidR="00A03AF6" w:rsidRDefault="00A03AF6">
      <w:pPr>
        <w:pBdr>
          <w:top w:val="nil"/>
          <w:left w:val="nil"/>
          <w:bottom w:val="nil"/>
          <w:right w:val="nil"/>
          <w:between w:val="nil"/>
        </w:pBdr>
        <w:spacing w:line="276" w:lineRule="auto"/>
        <w:ind w:right="-180"/>
        <w:jc w:val="both"/>
        <w:rPr>
          <w:color w:val="000000"/>
          <w:sz w:val="24"/>
          <w:szCs w:val="24"/>
          <w:lang w:val="sq-AL"/>
        </w:rPr>
      </w:pPr>
    </w:p>
    <w:p w14:paraId="5FDF2533" w14:textId="15E78695" w:rsidR="00A03AF6" w:rsidRDefault="00A03AF6">
      <w:pPr>
        <w:pBdr>
          <w:top w:val="nil"/>
          <w:left w:val="nil"/>
          <w:bottom w:val="nil"/>
          <w:right w:val="nil"/>
          <w:between w:val="nil"/>
        </w:pBdr>
        <w:spacing w:line="276" w:lineRule="auto"/>
        <w:ind w:right="-180"/>
        <w:jc w:val="both"/>
        <w:rPr>
          <w:color w:val="000000"/>
          <w:sz w:val="24"/>
          <w:szCs w:val="24"/>
          <w:lang w:val="sq-AL"/>
        </w:rPr>
      </w:pPr>
    </w:p>
    <w:p w14:paraId="6E22B3E1" w14:textId="445BAFF4" w:rsidR="00232DC8" w:rsidRDefault="00232DC8">
      <w:pPr>
        <w:pBdr>
          <w:top w:val="nil"/>
          <w:left w:val="nil"/>
          <w:bottom w:val="nil"/>
          <w:right w:val="nil"/>
          <w:between w:val="nil"/>
        </w:pBdr>
        <w:spacing w:line="276" w:lineRule="auto"/>
        <w:ind w:right="-180"/>
        <w:jc w:val="both"/>
        <w:rPr>
          <w:color w:val="000000"/>
          <w:sz w:val="24"/>
          <w:szCs w:val="24"/>
          <w:lang w:val="sq-AL"/>
        </w:rPr>
      </w:pPr>
    </w:p>
    <w:p w14:paraId="0C7A0F2B" w14:textId="41A48AD6" w:rsidR="00232DC8" w:rsidRDefault="00232DC8">
      <w:pPr>
        <w:pBdr>
          <w:top w:val="nil"/>
          <w:left w:val="nil"/>
          <w:bottom w:val="nil"/>
          <w:right w:val="nil"/>
          <w:between w:val="nil"/>
        </w:pBdr>
        <w:spacing w:line="276" w:lineRule="auto"/>
        <w:ind w:right="-180"/>
        <w:jc w:val="both"/>
        <w:rPr>
          <w:color w:val="000000"/>
          <w:sz w:val="24"/>
          <w:szCs w:val="24"/>
          <w:lang w:val="sq-AL"/>
        </w:rPr>
      </w:pPr>
    </w:p>
    <w:p w14:paraId="606EFFA5" w14:textId="1D5236DC" w:rsidR="00232DC8" w:rsidRDefault="00232DC8">
      <w:pPr>
        <w:pBdr>
          <w:top w:val="nil"/>
          <w:left w:val="nil"/>
          <w:bottom w:val="nil"/>
          <w:right w:val="nil"/>
          <w:between w:val="nil"/>
        </w:pBdr>
        <w:spacing w:line="276" w:lineRule="auto"/>
        <w:ind w:right="-180"/>
        <w:jc w:val="both"/>
        <w:rPr>
          <w:color w:val="000000"/>
          <w:sz w:val="24"/>
          <w:szCs w:val="24"/>
          <w:lang w:val="sq-AL"/>
        </w:rPr>
      </w:pPr>
    </w:p>
    <w:p w14:paraId="760F4832" w14:textId="16C704DF" w:rsidR="00232DC8" w:rsidRDefault="00232DC8">
      <w:pPr>
        <w:pBdr>
          <w:top w:val="nil"/>
          <w:left w:val="nil"/>
          <w:bottom w:val="nil"/>
          <w:right w:val="nil"/>
          <w:between w:val="nil"/>
        </w:pBdr>
        <w:spacing w:line="276" w:lineRule="auto"/>
        <w:ind w:right="-180"/>
        <w:jc w:val="both"/>
        <w:rPr>
          <w:color w:val="000000"/>
          <w:sz w:val="24"/>
          <w:szCs w:val="24"/>
          <w:lang w:val="sq-AL"/>
        </w:rPr>
      </w:pPr>
      <w:r>
        <w:rPr>
          <w:noProof/>
          <w:color w:val="000000"/>
          <w:sz w:val="24"/>
          <w:szCs w:val="24"/>
          <w:lang w:val="sq-AL"/>
        </w:rPr>
        <w:lastRenderedPageBreak/>
        <w:drawing>
          <wp:inline distT="0" distB="0" distL="0" distR="0" wp14:anchorId="403029FD" wp14:editId="296F351B">
            <wp:extent cx="5945684" cy="2238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r 146_Dt 08072025_Annex B-Udhëzimeve për Testimin e Tregut 2025 TAP AG-shtojca B clean_Page_0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8925" cy="2239595"/>
                    </a:xfrm>
                    <a:prstGeom prst="rect">
                      <a:avLst/>
                    </a:prstGeom>
                  </pic:spPr>
                </pic:pic>
              </a:graphicData>
            </a:graphic>
          </wp:inline>
        </w:drawing>
      </w:r>
      <w:r>
        <w:rPr>
          <w:noProof/>
          <w:color w:val="000000"/>
          <w:sz w:val="24"/>
          <w:szCs w:val="24"/>
          <w:lang w:val="sq-AL"/>
        </w:rPr>
        <w:drawing>
          <wp:inline distT="0" distB="0" distL="0" distR="0" wp14:anchorId="17A71BEC" wp14:editId="41BBA8A8">
            <wp:extent cx="6218629" cy="2971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r 146_Dt 08072025_Annex B-Udhëzimeve për Testimin e Tregut 2025 TAP AG-shtojca B clean_Page_02.jpg"/>
                    <pic:cNvPicPr/>
                  </pic:nvPicPr>
                  <pic:blipFill>
                    <a:blip r:embed="rId37">
                      <a:extLst>
                        <a:ext uri="{28A0092B-C50C-407E-A947-70E740481C1C}">
                          <a14:useLocalDpi xmlns:a14="http://schemas.microsoft.com/office/drawing/2010/main" val="0"/>
                        </a:ext>
                      </a:extLst>
                    </a:blip>
                    <a:stretch>
                      <a:fillRect/>
                    </a:stretch>
                  </pic:blipFill>
                  <pic:spPr>
                    <a:xfrm>
                      <a:off x="0" y="0"/>
                      <a:ext cx="6222901" cy="2973842"/>
                    </a:xfrm>
                    <a:prstGeom prst="rect">
                      <a:avLst/>
                    </a:prstGeom>
                  </pic:spPr>
                </pic:pic>
              </a:graphicData>
            </a:graphic>
          </wp:inline>
        </w:drawing>
      </w:r>
      <w:r>
        <w:rPr>
          <w:noProof/>
          <w:color w:val="000000"/>
          <w:sz w:val="24"/>
          <w:szCs w:val="24"/>
          <w:lang w:val="sq-AL"/>
        </w:rPr>
        <w:lastRenderedPageBreak/>
        <w:drawing>
          <wp:inline distT="0" distB="0" distL="0" distR="0" wp14:anchorId="623CB1B8" wp14:editId="3D50512D">
            <wp:extent cx="6198616" cy="68103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r 146_Dt 08072025_Annex B-Udhëzimeve për Testimin e Tregut 2025 TAP AG-shtojca B clean_Page_03.jpg"/>
                    <pic:cNvPicPr/>
                  </pic:nvPicPr>
                  <pic:blipFill>
                    <a:blip r:embed="rId38">
                      <a:extLst>
                        <a:ext uri="{28A0092B-C50C-407E-A947-70E740481C1C}">
                          <a14:useLocalDpi xmlns:a14="http://schemas.microsoft.com/office/drawing/2010/main" val="0"/>
                        </a:ext>
                      </a:extLst>
                    </a:blip>
                    <a:stretch>
                      <a:fillRect/>
                    </a:stretch>
                  </pic:blipFill>
                  <pic:spPr>
                    <a:xfrm>
                      <a:off x="0" y="0"/>
                      <a:ext cx="6202022" cy="6814118"/>
                    </a:xfrm>
                    <a:prstGeom prst="rect">
                      <a:avLst/>
                    </a:prstGeom>
                  </pic:spPr>
                </pic:pic>
              </a:graphicData>
            </a:graphic>
          </wp:inline>
        </w:drawing>
      </w:r>
      <w:r>
        <w:rPr>
          <w:noProof/>
          <w:color w:val="000000"/>
          <w:sz w:val="24"/>
          <w:szCs w:val="24"/>
          <w:lang w:val="sq-AL"/>
        </w:rPr>
        <w:lastRenderedPageBreak/>
        <w:drawing>
          <wp:inline distT="0" distB="0" distL="0" distR="0" wp14:anchorId="073454B2" wp14:editId="3C7570FF">
            <wp:extent cx="5829300" cy="9029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r 146_Dt 08072025_Annex B-Udhëzimeve për Testimin e Tregut 2025 TAP AG-shtojca B clean_Page_04.jpg"/>
                    <pic:cNvPicPr/>
                  </pic:nvPicPr>
                  <pic:blipFill>
                    <a:blip r:embed="rId39">
                      <a:extLst>
                        <a:ext uri="{28A0092B-C50C-407E-A947-70E740481C1C}">
                          <a14:useLocalDpi xmlns:a14="http://schemas.microsoft.com/office/drawing/2010/main" val="0"/>
                        </a:ext>
                      </a:extLst>
                    </a:blip>
                    <a:stretch>
                      <a:fillRect/>
                    </a:stretch>
                  </pic:blipFill>
                  <pic:spPr>
                    <a:xfrm>
                      <a:off x="0" y="0"/>
                      <a:ext cx="5829300" cy="9029700"/>
                    </a:xfrm>
                    <a:prstGeom prst="rect">
                      <a:avLst/>
                    </a:prstGeom>
                  </pic:spPr>
                </pic:pic>
              </a:graphicData>
            </a:graphic>
          </wp:inline>
        </w:drawing>
      </w:r>
      <w:r>
        <w:rPr>
          <w:noProof/>
          <w:color w:val="000000"/>
          <w:sz w:val="24"/>
          <w:szCs w:val="24"/>
          <w:lang w:val="sq-AL"/>
        </w:rPr>
        <w:lastRenderedPageBreak/>
        <w:drawing>
          <wp:inline distT="0" distB="0" distL="0" distR="0" wp14:anchorId="7807F229" wp14:editId="310CC6D5">
            <wp:extent cx="5829300" cy="8763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r 146_Dt 08072025_Annex B-Udhëzimeve për Testimin e Tregut 2025 TAP AG-shtojca B clean_Page_05.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29300" cy="8763000"/>
                    </a:xfrm>
                    <a:prstGeom prst="rect">
                      <a:avLst/>
                    </a:prstGeom>
                  </pic:spPr>
                </pic:pic>
              </a:graphicData>
            </a:graphic>
          </wp:inline>
        </w:drawing>
      </w:r>
      <w:r>
        <w:rPr>
          <w:noProof/>
          <w:color w:val="000000"/>
          <w:sz w:val="24"/>
          <w:szCs w:val="24"/>
          <w:lang w:val="sq-AL"/>
        </w:rPr>
        <w:lastRenderedPageBreak/>
        <w:drawing>
          <wp:inline distT="0" distB="0" distL="0" distR="0" wp14:anchorId="07AAE33B" wp14:editId="50090110">
            <wp:extent cx="5829300" cy="80879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r 146_Dt 08072025_Annex B-Udhëzimeve për Testimin e Tregut 2025 TAP AG-shtojca B clean_Page_06.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29300" cy="8087995"/>
                    </a:xfrm>
                    <a:prstGeom prst="rect">
                      <a:avLst/>
                    </a:prstGeom>
                  </pic:spPr>
                </pic:pic>
              </a:graphicData>
            </a:graphic>
          </wp:inline>
        </w:drawing>
      </w:r>
      <w:r>
        <w:rPr>
          <w:noProof/>
          <w:color w:val="000000"/>
          <w:sz w:val="24"/>
          <w:szCs w:val="24"/>
          <w:lang w:val="sq-AL"/>
        </w:rPr>
        <w:lastRenderedPageBreak/>
        <w:drawing>
          <wp:inline distT="0" distB="0" distL="0" distR="0" wp14:anchorId="52EE7382" wp14:editId="6EE403D2">
            <wp:extent cx="5829300" cy="807466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r 146_Dt 08072025_Annex B-Udhëzimeve për Testimin e Tregut 2025 TAP AG-shtojca B clean_Page_07.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29300" cy="8074660"/>
                    </a:xfrm>
                    <a:prstGeom prst="rect">
                      <a:avLst/>
                    </a:prstGeom>
                  </pic:spPr>
                </pic:pic>
              </a:graphicData>
            </a:graphic>
          </wp:inline>
        </w:drawing>
      </w:r>
      <w:r>
        <w:rPr>
          <w:noProof/>
          <w:color w:val="000000"/>
          <w:sz w:val="24"/>
          <w:szCs w:val="24"/>
          <w:lang w:val="sq-AL"/>
        </w:rPr>
        <w:lastRenderedPageBreak/>
        <w:drawing>
          <wp:inline distT="0" distB="0" distL="0" distR="0" wp14:anchorId="0E4C26A1" wp14:editId="35CB03C0">
            <wp:extent cx="5829300" cy="788479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r 146_Dt 08072025_Annex B-Udhëzimeve për Testimin e Tregut 2025 TAP AG-shtojca B clean_Page_08.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29300" cy="7884795"/>
                    </a:xfrm>
                    <a:prstGeom prst="rect">
                      <a:avLst/>
                    </a:prstGeom>
                  </pic:spPr>
                </pic:pic>
              </a:graphicData>
            </a:graphic>
          </wp:inline>
        </w:drawing>
      </w:r>
      <w:r>
        <w:rPr>
          <w:noProof/>
          <w:color w:val="000000"/>
          <w:sz w:val="24"/>
          <w:szCs w:val="24"/>
          <w:lang w:val="sq-AL"/>
        </w:rPr>
        <w:lastRenderedPageBreak/>
        <w:drawing>
          <wp:inline distT="0" distB="0" distL="0" distR="0" wp14:anchorId="460CAEB7" wp14:editId="7E4B1520">
            <wp:extent cx="5829300" cy="789749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r 146_Dt 08072025_Annex B-Udhëzimeve për Testimin e Tregut 2025 TAP AG-shtojca B clean_Page_09.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829300" cy="7897495"/>
                    </a:xfrm>
                    <a:prstGeom prst="rect">
                      <a:avLst/>
                    </a:prstGeom>
                  </pic:spPr>
                </pic:pic>
              </a:graphicData>
            </a:graphic>
          </wp:inline>
        </w:drawing>
      </w:r>
      <w:r>
        <w:rPr>
          <w:noProof/>
          <w:color w:val="000000"/>
          <w:sz w:val="24"/>
          <w:szCs w:val="24"/>
          <w:lang w:val="sq-AL"/>
        </w:rPr>
        <w:lastRenderedPageBreak/>
        <w:drawing>
          <wp:inline distT="0" distB="0" distL="0" distR="0" wp14:anchorId="42DEA1D3" wp14:editId="1A9AAC20">
            <wp:extent cx="5829300" cy="86772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r 146_Dt 08072025_Annex B-Udhëzimeve për Testimin e Tregut 2025 TAP AG-shtojca B clean_Page_10.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829300" cy="8677275"/>
                    </a:xfrm>
                    <a:prstGeom prst="rect">
                      <a:avLst/>
                    </a:prstGeom>
                  </pic:spPr>
                </pic:pic>
              </a:graphicData>
            </a:graphic>
          </wp:inline>
        </w:drawing>
      </w:r>
      <w:r>
        <w:rPr>
          <w:noProof/>
          <w:color w:val="000000"/>
          <w:sz w:val="24"/>
          <w:szCs w:val="24"/>
          <w:lang w:val="sq-AL"/>
        </w:rPr>
        <w:lastRenderedPageBreak/>
        <w:drawing>
          <wp:inline distT="0" distB="0" distL="0" distR="0" wp14:anchorId="0ED0C616" wp14:editId="6A81C002">
            <wp:extent cx="5829300" cy="86963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r 146_Dt 08072025_Annex B-Udhëzimeve për Testimin e Tregut 2025 TAP AG-shtojca B clean_Page_1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829300" cy="8696325"/>
                    </a:xfrm>
                    <a:prstGeom prst="rect">
                      <a:avLst/>
                    </a:prstGeom>
                  </pic:spPr>
                </pic:pic>
              </a:graphicData>
            </a:graphic>
          </wp:inline>
        </w:drawing>
      </w:r>
      <w:r>
        <w:rPr>
          <w:noProof/>
          <w:color w:val="000000"/>
          <w:sz w:val="24"/>
          <w:szCs w:val="24"/>
          <w:lang w:val="sq-AL"/>
        </w:rPr>
        <w:lastRenderedPageBreak/>
        <w:drawing>
          <wp:inline distT="0" distB="0" distL="0" distR="0" wp14:anchorId="081D32F7" wp14:editId="2DC117CD">
            <wp:extent cx="5829300" cy="8915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r 146_Dt 08072025_Annex B-Udhëzimeve për Testimin e Tregut 2025 TAP AG-shtojca B clean_Page_12.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29300" cy="8915400"/>
                    </a:xfrm>
                    <a:prstGeom prst="rect">
                      <a:avLst/>
                    </a:prstGeom>
                  </pic:spPr>
                </pic:pic>
              </a:graphicData>
            </a:graphic>
          </wp:inline>
        </w:drawing>
      </w:r>
    </w:p>
    <w:p w14:paraId="6C12A1C5" w14:textId="21D4FCB4" w:rsidR="00D86E6A" w:rsidRDefault="00D86E6A">
      <w:pPr>
        <w:pBdr>
          <w:top w:val="nil"/>
          <w:left w:val="nil"/>
          <w:bottom w:val="nil"/>
          <w:right w:val="nil"/>
          <w:between w:val="nil"/>
        </w:pBdr>
        <w:spacing w:line="276" w:lineRule="auto"/>
        <w:ind w:right="-180"/>
        <w:jc w:val="both"/>
        <w:rPr>
          <w:color w:val="000000"/>
          <w:sz w:val="24"/>
          <w:szCs w:val="24"/>
          <w:lang w:val="sq-AL"/>
        </w:rPr>
      </w:pPr>
    </w:p>
    <w:p w14:paraId="02EF3BDE" w14:textId="2ED86926" w:rsidR="00D86E6A" w:rsidRDefault="00D86E6A">
      <w:pPr>
        <w:pBdr>
          <w:top w:val="nil"/>
          <w:left w:val="nil"/>
          <w:bottom w:val="nil"/>
          <w:right w:val="nil"/>
          <w:between w:val="nil"/>
        </w:pBdr>
        <w:spacing w:line="276" w:lineRule="auto"/>
        <w:ind w:right="-180"/>
        <w:jc w:val="both"/>
        <w:rPr>
          <w:color w:val="000000"/>
          <w:sz w:val="24"/>
          <w:szCs w:val="24"/>
          <w:lang w:val="sq-AL"/>
        </w:rPr>
      </w:pPr>
    </w:p>
    <w:p w14:paraId="545E669F" w14:textId="77777777" w:rsidR="00425ABD" w:rsidRDefault="00425ABD">
      <w:pPr>
        <w:pBdr>
          <w:top w:val="nil"/>
          <w:left w:val="nil"/>
          <w:bottom w:val="nil"/>
          <w:right w:val="nil"/>
          <w:between w:val="nil"/>
        </w:pBdr>
        <w:spacing w:line="276" w:lineRule="auto"/>
        <w:ind w:right="-180"/>
        <w:jc w:val="both"/>
        <w:rPr>
          <w:color w:val="000000"/>
          <w:sz w:val="24"/>
          <w:szCs w:val="24"/>
          <w:lang w:val="sq-AL"/>
        </w:rPr>
      </w:pPr>
      <w:r>
        <w:rPr>
          <w:noProof/>
          <w:color w:val="000000"/>
          <w:sz w:val="24"/>
          <w:szCs w:val="24"/>
          <w:lang w:val="sq-AL"/>
        </w:rPr>
        <w:lastRenderedPageBreak/>
        <w:drawing>
          <wp:inline distT="0" distB="0" distL="0" distR="0" wp14:anchorId="3D52B911" wp14:editId="623393DD">
            <wp:extent cx="5829300" cy="220472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r 146_Dt 08072025_Annex B-Market Test Guidelines 2025-Annex B clean_Page_0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829300" cy="2204720"/>
                    </a:xfrm>
                    <a:prstGeom prst="rect">
                      <a:avLst/>
                    </a:prstGeom>
                  </pic:spPr>
                </pic:pic>
              </a:graphicData>
            </a:graphic>
          </wp:inline>
        </w:drawing>
      </w:r>
    </w:p>
    <w:p w14:paraId="7303CF71" w14:textId="77777777" w:rsidR="00425ABD" w:rsidRDefault="00425ABD">
      <w:pPr>
        <w:pBdr>
          <w:top w:val="nil"/>
          <w:left w:val="nil"/>
          <w:bottom w:val="nil"/>
          <w:right w:val="nil"/>
          <w:between w:val="nil"/>
        </w:pBdr>
        <w:spacing w:line="276" w:lineRule="auto"/>
        <w:ind w:right="-180"/>
        <w:jc w:val="both"/>
        <w:rPr>
          <w:color w:val="000000"/>
          <w:sz w:val="24"/>
          <w:szCs w:val="24"/>
          <w:lang w:val="sq-AL"/>
        </w:rPr>
      </w:pPr>
    </w:p>
    <w:p w14:paraId="737ABDCA" w14:textId="77777777" w:rsidR="00425ABD" w:rsidRDefault="00425ABD">
      <w:pPr>
        <w:pBdr>
          <w:top w:val="nil"/>
          <w:left w:val="nil"/>
          <w:bottom w:val="nil"/>
          <w:right w:val="nil"/>
          <w:between w:val="nil"/>
        </w:pBdr>
        <w:spacing w:line="276" w:lineRule="auto"/>
        <w:ind w:right="-180"/>
        <w:jc w:val="both"/>
        <w:rPr>
          <w:color w:val="000000"/>
          <w:sz w:val="24"/>
          <w:szCs w:val="24"/>
          <w:lang w:val="sq-AL"/>
        </w:rPr>
      </w:pPr>
    </w:p>
    <w:p w14:paraId="32D578AC" w14:textId="42831A6D" w:rsidR="00425ABD" w:rsidRDefault="00425ABD">
      <w:pPr>
        <w:pBdr>
          <w:top w:val="nil"/>
          <w:left w:val="nil"/>
          <w:bottom w:val="nil"/>
          <w:right w:val="nil"/>
          <w:between w:val="nil"/>
        </w:pBdr>
        <w:spacing w:line="276" w:lineRule="auto"/>
        <w:ind w:right="-180"/>
        <w:jc w:val="both"/>
        <w:rPr>
          <w:color w:val="000000"/>
          <w:sz w:val="24"/>
          <w:szCs w:val="24"/>
          <w:lang w:val="sq-AL"/>
        </w:rPr>
      </w:pPr>
    </w:p>
    <w:p w14:paraId="3A99AD6D" w14:textId="349F02AB" w:rsidR="00425ABD" w:rsidRDefault="00425ABD">
      <w:pPr>
        <w:pBdr>
          <w:top w:val="nil"/>
          <w:left w:val="nil"/>
          <w:bottom w:val="nil"/>
          <w:right w:val="nil"/>
          <w:between w:val="nil"/>
        </w:pBdr>
        <w:spacing w:line="276" w:lineRule="auto"/>
        <w:ind w:right="-180"/>
        <w:jc w:val="both"/>
        <w:rPr>
          <w:color w:val="000000"/>
          <w:sz w:val="24"/>
          <w:szCs w:val="24"/>
          <w:lang w:val="sq-AL"/>
        </w:rPr>
      </w:pPr>
    </w:p>
    <w:p w14:paraId="53362C51" w14:textId="52DF6B83" w:rsidR="00425ABD" w:rsidRDefault="00425ABD">
      <w:pPr>
        <w:pBdr>
          <w:top w:val="nil"/>
          <w:left w:val="nil"/>
          <w:bottom w:val="nil"/>
          <w:right w:val="nil"/>
          <w:between w:val="nil"/>
        </w:pBdr>
        <w:spacing w:line="276" w:lineRule="auto"/>
        <w:ind w:right="-180"/>
        <w:jc w:val="both"/>
        <w:rPr>
          <w:color w:val="000000"/>
          <w:sz w:val="24"/>
          <w:szCs w:val="24"/>
          <w:lang w:val="sq-AL"/>
        </w:rPr>
      </w:pPr>
      <w:r>
        <w:rPr>
          <w:noProof/>
          <w:color w:val="000000"/>
          <w:sz w:val="24"/>
          <w:szCs w:val="24"/>
          <w:lang w:val="sq-AL"/>
        </w:rPr>
        <w:drawing>
          <wp:inline distT="0" distB="0" distL="0" distR="0" wp14:anchorId="602C746D" wp14:editId="4DB0518B">
            <wp:extent cx="5829300" cy="23190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r 146_Dt 08072025_Annex B-Market Test Guidelines 2025-Annex B clean_Page_02.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829300" cy="2319020"/>
                    </a:xfrm>
                    <a:prstGeom prst="rect">
                      <a:avLst/>
                    </a:prstGeom>
                  </pic:spPr>
                </pic:pic>
              </a:graphicData>
            </a:graphic>
          </wp:inline>
        </w:drawing>
      </w:r>
    </w:p>
    <w:p w14:paraId="3F46A4CF" w14:textId="4426E4E5" w:rsidR="00D86E6A" w:rsidRDefault="00425ABD">
      <w:pPr>
        <w:pBdr>
          <w:top w:val="nil"/>
          <w:left w:val="nil"/>
          <w:bottom w:val="nil"/>
          <w:right w:val="nil"/>
          <w:between w:val="nil"/>
        </w:pBdr>
        <w:spacing w:line="276" w:lineRule="auto"/>
        <w:ind w:right="-180"/>
        <w:jc w:val="both"/>
        <w:rPr>
          <w:color w:val="000000"/>
          <w:sz w:val="24"/>
          <w:szCs w:val="24"/>
          <w:lang w:val="sq-AL"/>
        </w:rPr>
      </w:pPr>
      <w:r>
        <w:rPr>
          <w:noProof/>
          <w:color w:val="000000"/>
          <w:sz w:val="24"/>
          <w:szCs w:val="24"/>
          <w:lang w:val="sq-AL"/>
        </w:rPr>
        <w:lastRenderedPageBreak/>
        <w:drawing>
          <wp:inline distT="0" distB="0" distL="0" distR="0" wp14:anchorId="75E50DC8" wp14:editId="194BEF20">
            <wp:extent cx="6444498" cy="8953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r 146_Dt 08072025_Annex B-Market Test Guidelines 2025-Annex B clean_Page_03.jpg"/>
                    <pic:cNvPicPr/>
                  </pic:nvPicPr>
                  <pic:blipFill>
                    <a:blip r:embed="rId50">
                      <a:extLst>
                        <a:ext uri="{28A0092B-C50C-407E-A947-70E740481C1C}">
                          <a14:useLocalDpi xmlns:a14="http://schemas.microsoft.com/office/drawing/2010/main" val="0"/>
                        </a:ext>
                      </a:extLst>
                    </a:blip>
                    <a:stretch>
                      <a:fillRect/>
                    </a:stretch>
                  </pic:blipFill>
                  <pic:spPr>
                    <a:xfrm>
                      <a:off x="0" y="0"/>
                      <a:ext cx="6446520" cy="8956309"/>
                    </a:xfrm>
                    <a:prstGeom prst="rect">
                      <a:avLst/>
                    </a:prstGeom>
                  </pic:spPr>
                </pic:pic>
              </a:graphicData>
            </a:graphic>
          </wp:inline>
        </w:drawing>
      </w:r>
      <w:r>
        <w:rPr>
          <w:noProof/>
          <w:color w:val="000000"/>
          <w:sz w:val="24"/>
          <w:szCs w:val="24"/>
          <w:lang w:val="sq-AL"/>
        </w:rPr>
        <w:lastRenderedPageBreak/>
        <w:drawing>
          <wp:inline distT="0" distB="0" distL="0" distR="0" wp14:anchorId="6B3A8FA0" wp14:editId="74D4406A">
            <wp:extent cx="6313805" cy="88011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r 146_Dt 08072025_Annex B-Market Test Guidelines 2025-Annex B clean_Page_04.jpg"/>
                    <pic:cNvPicPr/>
                  </pic:nvPicPr>
                  <pic:blipFill>
                    <a:blip r:embed="rId51">
                      <a:extLst>
                        <a:ext uri="{28A0092B-C50C-407E-A947-70E740481C1C}">
                          <a14:useLocalDpi xmlns:a14="http://schemas.microsoft.com/office/drawing/2010/main" val="0"/>
                        </a:ext>
                      </a:extLst>
                    </a:blip>
                    <a:stretch>
                      <a:fillRect/>
                    </a:stretch>
                  </pic:blipFill>
                  <pic:spPr>
                    <a:xfrm>
                      <a:off x="0" y="0"/>
                      <a:ext cx="6316762" cy="8805222"/>
                    </a:xfrm>
                    <a:prstGeom prst="rect">
                      <a:avLst/>
                    </a:prstGeom>
                  </pic:spPr>
                </pic:pic>
              </a:graphicData>
            </a:graphic>
          </wp:inline>
        </w:drawing>
      </w:r>
      <w:r>
        <w:rPr>
          <w:noProof/>
          <w:color w:val="000000"/>
          <w:sz w:val="24"/>
          <w:szCs w:val="24"/>
          <w:lang w:val="sq-AL"/>
        </w:rPr>
        <w:lastRenderedPageBreak/>
        <w:drawing>
          <wp:inline distT="0" distB="0" distL="0" distR="0" wp14:anchorId="6DA24718" wp14:editId="40BDACF2">
            <wp:extent cx="5829300" cy="92297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r 146_Dt 08072025_Annex B-Market Test Guidelines 2025-Annex B clean_Page_05.jpg"/>
                    <pic:cNvPicPr/>
                  </pic:nvPicPr>
                  <pic:blipFill>
                    <a:blip r:embed="rId52">
                      <a:extLst>
                        <a:ext uri="{28A0092B-C50C-407E-A947-70E740481C1C}">
                          <a14:useLocalDpi xmlns:a14="http://schemas.microsoft.com/office/drawing/2010/main" val="0"/>
                        </a:ext>
                      </a:extLst>
                    </a:blip>
                    <a:stretch>
                      <a:fillRect/>
                    </a:stretch>
                  </pic:blipFill>
                  <pic:spPr>
                    <a:xfrm>
                      <a:off x="0" y="0"/>
                      <a:ext cx="5829300" cy="9229725"/>
                    </a:xfrm>
                    <a:prstGeom prst="rect">
                      <a:avLst/>
                    </a:prstGeom>
                  </pic:spPr>
                </pic:pic>
              </a:graphicData>
            </a:graphic>
          </wp:inline>
        </w:drawing>
      </w:r>
      <w:r>
        <w:rPr>
          <w:noProof/>
          <w:color w:val="000000"/>
          <w:sz w:val="24"/>
          <w:szCs w:val="24"/>
          <w:lang w:val="sq-AL"/>
        </w:rPr>
        <w:lastRenderedPageBreak/>
        <w:drawing>
          <wp:inline distT="0" distB="0" distL="0" distR="0" wp14:anchorId="67BD85C2" wp14:editId="15397FFC">
            <wp:extent cx="5829300" cy="87534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r 146_Dt 08072025_Annex B-Market Test Guidelines 2025-Annex B clean_Page_06.jpg"/>
                    <pic:cNvPicPr/>
                  </pic:nvPicPr>
                  <pic:blipFill>
                    <a:blip r:embed="rId53">
                      <a:extLst>
                        <a:ext uri="{28A0092B-C50C-407E-A947-70E740481C1C}">
                          <a14:useLocalDpi xmlns:a14="http://schemas.microsoft.com/office/drawing/2010/main" val="0"/>
                        </a:ext>
                      </a:extLst>
                    </a:blip>
                    <a:stretch>
                      <a:fillRect/>
                    </a:stretch>
                  </pic:blipFill>
                  <pic:spPr>
                    <a:xfrm>
                      <a:off x="0" y="0"/>
                      <a:ext cx="5829300" cy="8753475"/>
                    </a:xfrm>
                    <a:prstGeom prst="rect">
                      <a:avLst/>
                    </a:prstGeom>
                  </pic:spPr>
                </pic:pic>
              </a:graphicData>
            </a:graphic>
          </wp:inline>
        </w:drawing>
      </w:r>
      <w:r>
        <w:rPr>
          <w:noProof/>
          <w:color w:val="000000"/>
          <w:sz w:val="24"/>
          <w:szCs w:val="24"/>
          <w:lang w:val="sq-AL"/>
        </w:rPr>
        <w:lastRenderedPageBreak/>
        <w:drawing>
          <wp:inline distT="0" distB="0" distL="0" distR="0" wp14:anchorId="6C947533" wp14:editId="2A509663">
            <wp:extent cx="5829300" cy="87534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Nr 146_Dt 08072025_Annex B-Market Test Guidelines 2025-Annex B clean_Page_07.jpg"/>
                    <pic:cNvPicPr/>
                  </pic:nvPicPr>
                  <pic:blipFill>
                    <a:blip r:embed="rId54">
                      <a:extLst>
                        <a:ext uri="{28A0092B-C50C-407E-A947-70E740481C1C}">
                          <a14:useLocalDpi xmlns:a14="http://schemas.microsoft.com/office/drawing/2010/main" val="0"/>
                        </a:ext>
                      </a:extLst>
                    </a:blip>
                    <a:stretch>
                      <a:fillRect/>
                    </a:stretch>
                  </pic:blipFill>
                  <pic:spPr>
                    <a:xfrm>
                      <a:off x="0" y="0"/>
                      <a:ext cx="5829300" cy="8753475"/>
                    </a:xfrm>
                    <a:prstGeom prst="rect">
                      <a:avLst/>
                    </a:prstGeom>
                  </pic:spPr>
                </pic:pic>
              </a:graphicData>
            </a:graphic>
          </wp:inline>
        </w:drawing>
      </w:r>
      <w:r>
        <w:rPr>
          <w:noProof/>
          <w:color w:val="000000"/>
          <w:sz w:val="24"/>
          <w:szCs w:val="24"/>
          <w:lang w:val="sq-AL"/>
        </w:rPr>
        <w:lastRenderedPageBreak/>
        <w:drawing>
          <wp:inline distT="0" distB="0" distL="0" distR="0" wp14:anchorId="0E83B6DB" wp14:editId="01FC8799">
            <wp:extent cx="5829300" cy="89630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r 146_Dt 08072025_Annex B-Market Test Guidelines 2025-Annex B clean_Page_08.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829300" cy="8963025"/>
                    </a:xfrm>
                    <a:prstGeom prst="rect">
                      <a:avLst/>
                    </a:prstGeom>
                  </pic:spPr>
                </pic:pic>
              </a:graphicData>
            </a:graphic>
          </wp:inline>
        </w:drawing>
      </w:r>
      <w:r>
        <w:rPr>
          <w:noProof/>
          <w:color w:val="000000"/>
          <w:sz w:val="24"/>
          <w:szCs w:val="24"/>
          <w:lang w:val="sq-AL"/>
        </w:rPr>
        <w:lastRenderedPageBreak/>
        <w:drawing>
          <wp:inline distT="0" distB="0" distL="0" distR="0" wp14:anchorId="06E89809" wp14:editId="0D2DF3F9">
            <wp:extent cx="5829300" cy="8401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Nr 146_Dt 08072025_Annex B-Market Test Guidelines 2025-Annex B clean_Page_09.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29300" cy="8401050"/>
                    </a:xfrm>
                    <a:prstGeom prst="rect">
                      <a:avLst/>
                    </a:prstGeom>
                  </pic:spPr>
                </pic:pic>
              </a:graphicData>
            </a:graphic>
          </wp:inline>
        </w:drawing>
      </w:r>
      <w:r>
        <w:rPr>
          <w:noProof/>
          <w:color w:val="000000"/>
          <w:sz w:val="24"/>
          <w:szCs w:val="24"/>
          <w:lang w:val="sq-AL"/>
        </w:rPr>
        <w:lastRenderedPageBreak/>
        <w:drawing>
          <wp:inline distT="0" distB="0" distL="0" distR="0" wp14:anchorId="387E2943" wp14:editId="15C5FBB6">
            <wp:extent cx="5829300" cy="8572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Nr 146_Dt 08072025_Annex B-Market Test Guidelines 2025-Annex B clean_Page_10.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829300" cy="8572500"/>
                    </a:xfrm>
                    <a:prstGeom prst="rect">
                      <a:avLst/>
                    </a:prstGeom>
                  </pic:spPr>
                </pic:pic>
              </a:graphicData>
            </a:graphic>
          </wp:inline>
        </w:drawing>
      </w:r>
      <w:r>
        <w:rPr>
          <w:noProof/>
          <w:color w:val="000000"/>
          <w:sz w:val="24"/>
          <w:szCs w:val="24"/>
          <w:lang w:val="sq-AL"/>
        </w:rPr>
        <w:lastRenderedPageBreak/>
        <w:drawing>
          <wp:inline distT="0" distB="0" distL="0" distR="0" wp14:anchorId="5691780B" wp14:editId="27C1A816">
            <wp:extent cx="6153150" cy="90773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Nr 146_Dt 08072025_Annex B-Market Test Guidelines 2025-Annex B clean_Page_11.jpg"/>
                    <pic:cNvPicPr/>
                  </pic:nvPicPr>
                  <pic:blipFill>
                    <a:blip r:embed="rId58">
                      <a:extLst>
                        <a:ext uri="{28A0092B-C50C-407E-A947-70E740481C1C}">
                          <a14:useLocalDpi xmlns:a14="http://schemas.microsoft.com/office/drawing/2010/main" val="0"/>
                        </a:ext>
                      </a:extLst>
                    </a:blip>
                    <a:stretch>
                      <a:fillRect/>
                    </a:stretch>
                  </pic:blipFill>
                  <pic:spPr>
                    <a:xfrm>
                      <a:off x="0" y="0"/>
                      <a:ext cx="6153150" cy="9077325"/>
                    </a:xfrm>
                    <a:prstGeom prst="rect">
                      <a:avLst/>
                    </a:prstGeom>
                  </pic:spPr>
                </pic:pic>
              </a:graphicData>
            </a:graphic>
          </wp:inline>
        </w:drawing>
      </w:r>
    </w:p>
    <w:sectPr w:rsidR="00D86E6A" w:rsidSect="00294D6A">
      <w:pgSz w:w="11909" w:h="16834" w:code="9"/>
      <w:pgMar w:top="720" w:right="1559" w:bottom="990" w:left="1170" w:header="0" w:footer="16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1931F" w14:textId="77777777" w:rsidR="007722C9" w:rsidRDefault="007722C9">
      <w:r>
        <w:separator/>
      </w:r>
    </w:p>
  </w:endnote>
  <w:endnote w:type="continuationSeparator" w:id="0">
    <w:p w14:paraId="07D557B0" w14:textId="77777777" w:rsidR="007722C9" w:rsidRDefault="00772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BEF01" w14:textId="77777777" w:rsidR="007722C9" w:rsidRDefault="007722C9">
      <w:r>
        <w:separator/>
      </w:r>
    </w:p>
  </w:footnote>
  <w:footnote w:type="continuationSeparator" w:id="0">
    <w:p w14:paraId="04D99EC8" w14:textId="77777777" w:rsidR="007722C9" w:rsidRDefault="007722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01E88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384A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multilevel"/>
    <w:tmpl w:val="269A609A"/>
    <w:lvl w:ilvl="0">
      <w:start w:val="1"/>
      <w:numFmt w:val="bullet"/>
      <w:lvlText w:val=""/>
      <w:lvlJc w:val="left"/>
      <w:pPr>
        <w:tabs>
          <w:tab w:val="left" w:pos="360"/>
        </w:tabs>
        <w:ind w:left="360" w:hanging="360"/>
      </w:pPr>
      <w:rPr>
        <w:rFonts w:ascii="Symbol" w:hAnsi="Symbol" w:hint="default"/>
        <w:sz w:val="20"/>
      </w:rPr>
    </w:lvl>
    <w:lvl w:ilvl="1" w:tentative="1">
      <w:start w:val="1"/>
      <w:numFmt w:val="bullet"/>
      <w:lvlText w:val="o"/>
      <w:lvlJc w:val="left"/>
      <w:pPr>
        <w:tabs>
          <w:tab w:val="left" w:pos="1080"/>
        </w:tabs>
        <w:ind w:left="1080" w:hanging="360"/>
      </w:pPr>
      <w:rPr>
        <w:rFonts w:ascii="Courier New" w:hAnsi="Courier New" w:hint="default"/>
        <w:sz w:val="20"/>
      </w:rPr>
    </w:lvl>
    <w:lvl w:ilvl="2" w:tentative="1">
      <w:start w:val="1"/>
      <w:numFmt w:val="bullet"/>
      <w:lvlText w:val=""/>
      <w:lvlJc w:val="left"/>
      <w:pPr>
        <w:tabs>
          <w:tab w:val="left" w:pos="1800"/>
        </w:tabs>
        <w:ind w:left="1800" w:hanging="360"/>
      </w:pPr>
      <w:rPr>
        <w:rFonts w:ascii="Wingdings" w:hAnsi="Wingdings" w:hint="default"/>
        <w:sz w:val="20"/>
      </w:rPr>
    </w:lvl>
    <w:lvl w:ilvl="3" w:tentative="1">
      <w:start w:val="1"/>
      <w:numFmt w:val="bullet"/>
      <w:lvlText w:val=""/>
      <w:lvlJc w:val="left"/>
      <w:pPr>
        <w:tabs>
          <w:tab w:val="left" w:pos="2520"/>
        </w:tabs>
        <w:ind w:left="2520" w:hanging="360"/>
      </w:pPr>
      <w:rPr>
        <w:rFonts w:ascii="Wingdings" w:hAnsi="Wingdings" w:hint="default"/>
        <w:sz w:val="20"/>
      </w:rPr>
    </w:lvl>
    <w:lvl w:ilvl="4" w:tentative="1">
      <w:start w:val="1"/>
      <w:numFmt w:val="bullet"/>
      <w:lvlText w:val=""/>
      <w:lvlJc w:val="left"/>
      <w:pPr>
        <w:tabs>
          <w:tab w:val="left" w:pos="3240"/>
        </w:tabs>
        <w:ind w:left="3240" w:hanging="360"/>
      </w:pPr>
      <w:rPr>
        <w:rFonts w:ascii="Wingdings" w:hAnsi="Wingdings" w:hint="default"/>
        <w:sz w:val="20"/>
      </w:rPr>
    </w:lvl>
    <w:lvl w:ilvl="5" w:tentative="1">
      <w:start w:val="1"/>
      <w:numFmt w:val="bullet"/>
      <w:lvlText w:val=""/>
      <w:lvlJc w:val="left"/>
      <w:pPr>
        <w:tabs>
          <w:tab w:val="left" w:pos="3960"/>
        </w:tabs>
        <w:ind w:left="3960" w:hanging="360"/>
      </w:pPr>
      <w:rPr>
        <w:rFonts w:ascii="Wingdings" w:hAnsi="Wingdings" w:hint="default"/>
        <w:sz w:val="20"/>
      </w:rPr>
    </w:lvl>
    <w:lvl w:ilvl="6" w:tentative="1">
      <w:start w:val="1"/>
      <w:numFmt w:val="bullet"/>
      <w:lvlText w:val=""/>
      <w:lvlJc w:val="left"/>
      <w:pPr>
        <w:tabs>
          <w:tab w:val="left" w:pos="4680"/>
        </w:tabs>
        <w:ind w:left="4680" w:hanging="360"/>
      </w:pPr>
      <w:rPr>
        <w:rFonts w:ascii="Wingdings" w:hAnsi="Wingdings" w:hint="default"/>
        <w:sz w:val="20"/>
      </w:rPr>
    </w:lvl>
    <w:lvl w:ilvl="7" w:tentative="1">
      <w:start w:val="1"/>
      <w:numFmt w:val="bullet"/>
      <w:lvlText w:val=""/>
      <w:lvlJc w:val="left"/>
      <w:pPr>
        <w:tabs>
          <w:tab w:val="left" w:pos="5400"/>
        </w:tabs>
        <w:ind w:left="5400" w:hanging="360"/>
      </w:pPr>
      <w:rPr>
        <w:rFonts w:ascii="Wingdings" w:hAnsi="Wingdings" w:hint="default"/>
        <w:sz w:val="20"/>
      </w:rPr>
    </w:lvl>
    <w:lvl w:ilvl="8" w:tentative="1">
      <w:start w:val="1"/>
      <w:numFmt w:val="bullet"/>
      <w:lvlText w:val=""/>
      <w:lvlJc w:val="left"/>
      <w:pPr>
        <w:tabs>
          <w:tab w:val="left" w:pos="6120"/>
        </w:tabs>
        <w:ind w:left="6120" w:hanging="360"/>
      </w:pPr>
      <w:rPr>
        <w:rFonts w:ascii="Wingdings" w:hAnsi="Wingdings" w:hint="default"/>
        <w:sz w:val="20"/>
      </w:rPr>
    </w:lvl>
  </w:abstractNum>
  <w:abstractNum w:abstractNumId="3" w15:restartNumberingAfterBreak="0">
    <w:nsid w:val="00000004"/>
    <w:multiLevelType w:val="hybridMultilevel"/>
    <w:tmpl w:val="D65C0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multilevel"/>
    <w:tmpl w:val="F420001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0000006"/>
    <w:multiLevelType w:val="hybridMultilevel"/>
    <w:tmpl w:val="C5D63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74B845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96B2B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C988F49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0000000A"/>
    <w:multiLevelType w:val="multilevel"/>
    <w:tmpl w:val="59E659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000000B"/>
    <w:multiLevelType w:val="hybridMultilevel"/>
    <w:tmpl w:val="F3A83D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000000C"/>
    <w:multiLevelType w:val="hybridMultilevel"/>
    <w:tmpl w:val="BC443468"/>
    <w:lvl w:ilvl="0" w:tplc="04090005">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000000D"/>
    <w:multiLevelType w:val="hybridMultilevel"/>
    <w:tmpl w:val="3EEEA650"/>
    <w:lvl w:ilvl="0" w:tplc="B1D4B7E6">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9CB2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1F92A0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0000010"/>
    <w:multiLevelType w:val="hybridMultilevel"/>
    <w:tmpl w:val="91501546"/>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08424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22EC442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0000013"/>
    <w:multiLevelType w:val="multilevel"/>
    <w:tmpl w:val="0E7E35B0"/>
    <w:lvl w:ilvl="0">
      <w:start w:val="1"/>
      <w:numFmt w:val="bullet"/>
      <w:lvlText w:val="-"/>
      <w:lvlJc w:val="left"/>
      <w:pPr>
        <w:tabs>
          <w:tab w:val="left" w:pos="360"/>
        </w:tabs>
        <w:ind w:left="360" w:hanging="360"/>
      </w:pPr>
      <w:rPr>
        <w:rFonts w:ascii="Times New Roman" w:eastAsia="Calibri" w:hAnsi="Times New Roman" w:cs="Times New Roman" w:hint="default"/>
        <w:sz w:val="20"/>
      </w:rPr>
    </w:lvl>
    <w:lvl w:ilvl="1" w:tentative="1">
      <w:start w:val="1"/>
      <w:numFmt w:val="bullet"/>
      <w:lvlText w:val="o"/>
      <w:lvlJc w:val="left"/>
      <w:pPr>
        <w:tabs>
          <w:tab w:val="left" w:pos="1080"/>
        </w:tabs>
        <w:ind w:left="1080" w:hanging="360"/>
      </w:pPr>
      <w:rPr>
        <w:rFonts w:ascii="Courier New" w:hAnsi="Courier New" w:hint="default"/>
        <w:sz w:val="20"/>
      </w:rPr>
    </w:lvl>
    <w:lvl w:ilvl="2" w:tentative="1">
      <w:start w:val="1"/>
      <w:numFmt w:val="bullet"/>
      <w:lvlText w:val=""/>
      <w:lvlJc w:val="left"/>
      <w:pPr>
        <w:tabs>
          <w:tab w:val="left" w:pos="1800"/>
        </w:tabs>
        <w:ind w:left="1800" w:hanging="360"/>
      </w:pPr>
      <w:rPr>
        <w:rFonts w:ascii="Wingdings" w:hAnsi="Wingdings" w:hint="default"/>
        <w:sz w:val="20"/>
      </w:rPr>
    </w:lvl>
    <w:lvl w:ilvl="3" w:tentative="1">
      <w:start w:val="1"/>
      <w:numFmt w:val="bullet"/>
      <w:lvlText w:val=""/>
      <w:lvlJc w:val="left"/>
      <w:pPr>
        <w:tabs>
          <w:tab w:val="left" w:pos="2520"/>
        </w:tabs>
        <w:ind w:left="2520" w:hanging="360"/>
      </w:pPr>
      <w:rPr>
        <w:rFonts w:ascii="Wingdings" w:hAnsi="Wingdings" w:hint="default"/>
        <w:sz w:val="20"/>
      </w:rPr>
    </w:lvl>
    <w:lvl w:ilvl="4" w:tentative="1">
      <w:start w:val="1"/>
      <w:numFmt w:val="bullet"/>
      <w:lvlText w:val=""/>
      <w:lvlJc w:val="left"/>
      <w:pPr>
        <w:tabs>
          <w:tab w:val="left" w:pos="3240"/>
        </w:tabs>
        <w:ind w:left="3240" w:hanging="360"/>
      </w:pPr>
      <w:rPr>
        <w:rFonts w:ascii="Wingdings" w:hAnsi="Wingdings" w:hint="default"/>
        <w:sz w:val="20"/>
      </w:rPr>
    </w:lvl>
    <w:lvl w:ilvl="5" w:tentative="1">
      <w:start w:val="1"/>
      <w:numFmt w:val="bullet"/>
      <w:lvlText w:val=""/>
      <w:lvlJc w:val="left"/>
      <w:pPr>
        <w:tabs>
          <w:tab w:val="left" w:pos="3960"/>
        </w:tabs>
        <w:ind w:left="3960" w:hanging="360"/>
      </w:pPr>
      <w:rPr>
        <w:rFonts w:ascii="Wingdings" w:hAnsi="Wingdings" w:hint="default"/>
        <w:sz w:val="20"/>
      </w:rPr>
    </w:lvl>
    <w:lvl w:ilvl="6" w:tentative="1">
      <w:start w:val="1"/>
      <w:numFmt w:val="bullet"/>
      <w:lvlText w:val=""/>
      <w:lvlJc w:val="left"/>
      <w:pPr>
        <w:tabs>
          <w:tab w:val="left" w:pos="4680"/>
        </w:tabs>
        <w:ind w:left="4680" w:hanging="360"/>
      </w:pPr>
      <w:rPr>
        <w:rFonts w:ascii="Wingdings" w:hAnsi="Wingdings" w:hint="default"/>
        <w:sz w:val="20"/>
      </w:rPr>
    </w:lvl>
    <w:lvl w:ilvl="7" w:tentative="1">
      <w:start w:val="1"/>
      <w:numFmt w:val="bullet"/>
      <w:lvlText w:val=""/>
      <w:lvlJc w:val="left"/>
      <w:pPr>
        <w:tabs>
          <w:tab w:val="left" w:pos="5400"/>
        </w:tabs>
        <w:ind w:left="5400" w:hanging="360"/>
      </w:pPr>
      <w:rPr>
        <w:rFonts w:ascii="Wingdings" w:hAnsi="Wingdings" w:hint="default"/>
        <w:sz w:val="20"/>
      </w:rPr>
    </w:lvl>
    <w:lvl w:ilvl="8" w:tentative="1">
      <w:start w:val="1"/>
      <w:numFmt w:val="bullet"/>
      <w:lvlText w:val=""/>
      <w:lvlJc w:val="left"/>
      <w:pPr>
        <w:tabs>
          <w:tab w:val="left" w:pos="6120"/>
        </w:tabs>
        <w:ind w:left="6120" w:hanging="360"/>
      </w:pPr>
      <w:rPr>
        <w:rFonts w:ascii="Wingdings" w:hAnsi="Wingdings" w:hint="default"/>
        <w:sz w:val="20"/>
      </w:rPr>
    </w:lvl>
  </w:abstractNum>
  <w:abstractNum w:abstractNumId="19" w15:restartNumberingAfterBreak="0">
    <w:nsid w:val="00000014"/>
    <w:multiLevelType w:val="multilevel"/>
    <w:tmpl w:val="F2460CA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0" w15:restartNumberingAfterBreak="0">
    <w:nsid w:val="00000015"/>
    <w:multiLevelType w:val="multilevel"/>
    <w:tmpl w:val="66ECF1CA"/>
    <w:lvl w:ilvl="0">
      <w:start w:val="1"/>
      <w:numFmt w:val="decimal"/>
      <w:pStyle w:val="Heading1"/>
      <w:lvlText w:val="%1."/>
      <w:lvlJc w:val="left"/>
      <w:pPr>
        <w:tabs>
          <w:tab w:val="left" w:pos="720"/>
        </w:tabs>
        <w:ind w:left="720" w:hanging="720"/>
      </w:pPr>
    </w:lvl>
    <w:lvl w:ilvl="1">
      <w:start w:val="1"/>
      <w:numFmt w:val="decimal"/>
      <w:pStyle w:val="Heading2"/>
      <w:lvlText w:val="%2."/>
      <w:lvlJc w:val="left"/>
      <w:pPr>
        <w:tabs>
          <w:tab w:val="left" w:pos="1440"/>
        </w:tabs>
        <w:ind w:left="1440" w:hanging="720"/>
      </w:pPr>
    </w:lvl>
    <w:lvl w:ilvl="2">
      <w:start w:val="1"/>
      <w:numFmt w:val="decimal"/>
      <w:pStyle w:val="Heading3"/>
      <w:lvlText w:val="%3."/>
      <w:lvlJc w:val="left"/>
      <w:pPr>
        <w:tabs>
          <w:tab w:val="left" w:pos="2160"/>
        </w:tabs>
        <w:ind w:left="2160" w:hanging="720"/>
      </w:pPr>
    </w:lvl>
    <w:lvl w:ilvl="3">
      <w:start w:val="1"/>
      <w:numFmt w:val="decimal"/>
      <w:pStyle w:val="Heading4"/>
      <w:lvlText w:val="%4."/>
      <w:lvlJc w:val="left"/>
      <w:pPr>
        <w:tabs>
          <w:tab w:val="left" w:pos="2880"/>
        </w:tabs>
        <w:ind w:left="2880" w:hanging="720"/>
      </w:pPr>
    </w:lvl>
    <w:lvl w:ilvl="4">
      <w:start w:val="1"/>
      <w:numFmt w:val="decimal"/>
      <w:pStyle w:val="Heading5"/>
      <w:lvlText w:val="%5."/>
      <w:lvlJc w:val="left"/>
      <w:pPr>
        <w:tabs>
          <w:tab w:val="left" w:pos="3600"/>
        </w:tabs>
        <w:ind w:left="3600" w:hanging="720"/>
      </w:pPr>
    </w:lvl>
    <w:lvl w:ilvl="5">
      <w:start w:val="1"/>
      <w:numFmt w:val="decimal"/>
      <w:pStyle w:val="Heading6"/>
      <w:lvlText w:val="%6."/>
      <w:lvlJc w:val="left"/>
      <w:pPr>
        <w:tabs>
          <w:tab w:val="left" w:pos="4320"/>
        </w:tabs>
        <w:ind w:left="4320" w:hanging="720"/>
      </w:pPr>
    </w:lvl>
    <w:lvl w:ilvl="6">
      <w:start w:val="1"/>
      <w:numFmt w:val="decimal"/>
      <w:pStyle w:val="Heading7"/>
      <w:lvlText w:val="%7."/>
      <w:lvlJc w:val="left"/>
      <w:pPr>
        <w:tabs>
          <w:tab w:val="left" w:pos="5040"/>
        </w:tabs>
        <w:ind w:left="5040" w:hanging="720"/>
      </w:pPr>
    </w:lvl>
    <w:lvl w:ilvl="7">
      <w:start w:val="1"/>
      <w:numFmt w:val="decimal"/>
      <w:pStyle w:val="Heading8"/>
      <w:lvlText w:val="%8."/>
      <w:lvlJc w:val="left"/>
      <w:pPr>
        <w:tabs>
          <w:tab w:val="left" w:pos="5760"/>
        </w:tabs>
        <w:ind w:left="5760" w:hanging="720"/>
      </w:pPr>
    </w:lvl>
    <w:lvl w:ilvl="8">
      <w:start w:val="1"/>
      <w:numFmt w:val="decimal"/>
      <w:pStyle w:val="Heading9"/>
      <w:lvlText w:val="%9."/>
      <w:lvlJc w:val="left"/>
      <w:pPr>
        <w:tabs>
          <w:tab w:val="left" w:pos="6480"/>
        </w:tabs>
        <w:ind w:left="6480" w:hanging="720"/>
      </w:pPr>
    </w:lvl>
  </w:abstractNum>
  <w:abstractNum w:abstractNumId="21" w15:restartNumberingAfterBreak="0">
    <w:nsid w:val="00000016"/>
    <w:multiLevelType w:val="hybridMultilevel"/>
    <w:tmpl w:val="AA40EF3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FDBC9788"/>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23" w15:restartNumberingAfterBreak="0">
    <w:nsid w:val="00000018"/>
    <w:multiLevelType w:val="hybridMultilevel"/>
    <w:tmpl w:val="EF10004A"/>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00000019"/>
    <w:multiLevelType w:val="hybridMultilevel"/>
    <w:tmpl w:val="B8948FAC"/>
    <w:lvl w:ilvl="0" w:tplc="04090001">
      <w:start w:val="1"/>
      <w:numFmt w:val="bullet"/>
      <w:lvlText w:val=""/>
      <w:lvlJc w:val="left"/>
      <w:pPr>
        <w:ind w:left="868" w:hanging="360"/>
      </w:pPr>
      <w:rPr>
        <w:rFonts w:ascii="Symbol" w:hAnsi="Symbol"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25" w15:restartNumberingAfterBreak="0">
    <w:nsid w:val="0000001A"/>
    <w:multiLevelType w:val="hybridMultilevel"/>
    <w:tmpl w:val="405C59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0000001B"/>
    <w:multiLevelType w:val="hybridMultilevel"/>
    <w:tmpl w:val="6AB2936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0000001C"/>
    <w:multiLevelType w:val="hybridMultilevel"/>
    <w:tmpl w:val="8D265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E6A287D6"/>
    <w:lvl w:ilvl="0" w:tplc="B1D4B7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34308E2E"/>
    <w:lvl w:ilvl="0" w:tplc="7A2C80B6">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9E3CDEDE"/>
    <w:lvl w:ilvl="0" w:tplc="11229CE8">
      <w:start w:val="1"/>
      <w:numFmt w:val="bullet"/>
      <w:lvlText w:val="-"/>
      <w:lvlJc w:val="left"/>
      <w:pPr>
        <w:ind w:left="360" w:hanging="360"/>
      </w:pPr>
      <w:rPr>
        <w:rFonts w:ascii="Arial" w:eastAsia="Arial" w:hAnsi="Arial" w:cs="Arial" w:hint="default"/>
        <w:b w:val="0"/>
        <w:i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05375CD"/>
    <w:multiLevelType w:val="multilevel"/>
    <w:tmpl w:val="FAC2A128"/>
    <w:lvl w:ilvl="0">
      <w:start w:val="1"/>
      <w:numFmt w:val="lowerLetter"/>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num w:numId="1">
    <w:abstractNumId w:val="20"/>
  </w:num>
  <w:num w:numId="2">
    <w:abstractNumId w:val="30"/>
  </w:num>
  <w:num w:numId="3">
    <w:abstractNumId w:val="19"/>
  </w:num>
  <w:num w:numId="4">
    <w:abstractNumId w:val="27"/>
  </w:num>
  <w:num w:numId="5">
    <w:abstractNumId w:val="3"/>
  </w:num>
  <w:num w:numId="6">
    <w:abstractNumId w:val="24"/>
  </w:num>
  <w:num w:numId="7">
    <w:abstractNumId w:val="1"/>
  </w:num>
  <w:num w:numId="8">
    <w:abstractNumId w:val="11"/>
  </w:num>
  <w:num w:numId="9">
    <w:abstractNumId w:val="0"/>
  </w:num>
  <w:num w:numId="10">
    <w:abstractNumId w:val="16"/>
  </w:num>
  <w:num w:numId="11">
    <w:abstractNumId w:val="26"/>
  </w:num>
  <w:num w:numId="12">
    <w:abstractNumId w:val="13"/>
  </w:num>
  <w:num w:numId="13">
    <w:abstractNumId w:val="9"/>
  </w:num>
  <w:num w:numId="14">
    <w:abstractNumId w:val="10"/>
  </w:num>
  <w:num w:numId="15">
    <w:abstractNumId w:val="29"/>
  </w:num>
  <w:num w:numId="16">
    <w:abstractNumId w:val="8"/>
  </w:num>
  <w:num w:numId="17">
    <w:abstractNumId w:val="31"/>
  </w:num>
  <w:num w:numId="18">
    <w:abstractNumId w:val="4"/>
  </w:num>
  <w:num w:numId="19">
    <w:abstractNumId w:val="12"/>
  </w:num>
  <w:num w:numId="20">
    <w:abstractNumId w:val="28"/>
  </w:num>
  <w:num w:numId="21">
    <w:abstractNumId w:val="2"/>
  </w:num>
  <w:num w:numId="22">
    <w:abstractNumId w:val="17"/>
  </w:num>
  <w:num w:numId="23">
    <w:abstractNumId w:val="18"/>
  </w:num>
  <w:num w:numId="24">
    <w:abstractNumId w:val="25"/>
  </w:num>
  <w:num w:numId="25">
    <w:abstractNumId w:val="15"/>
  </w:num>
  <w:num w:numId="26">
    <w:abstractNumId w:val="23"/>
  </w:num>
  <w:num w:numId="27">
    <w:abstractNumId w:val="5"/>
  </w:num>
  <w:num w:numId="28">
    <w:abstractNumId w:val="6"/>
  </w:num>
  <w:num w:numId="29">
    <w:abstractNumId w:val="22"/>
  </w:num>
  <w:num w:numId="30">
    <w:abstractNumId w:val="21"/>
  </w:num>
  <w:num w:numId="31">
    <w:abstractNumId w:val="14"/>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28D"/>
    <w:rsid w:val="001025B7"/>
    <w:rsid w:val="001D0353"/>
    <w:rsid w:val="00232DC8"/>
    <w:rsid w:val="00294D6A"/>
    <w:rsid w:val="002A6855"/>
    <w:rsid w:val="002E075B"/>
    <w:rsid w:val="003009AE"/>
    <w:rsid w:val="00332B01"/>
    <w:rsid w:val="003E689E"/>
    <w:rsid w:val="00423C74"/>
    <w:rsid w:val="00425ABD"/>
    <w:rsid w:val="004627CC"/>
    <w:rsid w:val="004C51E4"/>
    <w:rsid w:val="004F10D6"/>
    <w:rsid w:val="00513337"/>
    <w:rsid w:val="00596018"/>
    <w:rsid w:val="005D5155"/>
    <w:rsid w:val="005F55FF"/>
    <w:rsid w:val="00644E3F"/>
    <w:rsid w:val="007722C9"/>
    <w:rsid w:val="00801DA6"/>
    <w:rsid w:val="00802CCD"/>
    <w:rsid w:val="0086245D"/>
    <w:rsid w:val="009E2FAC"/>
    <w:rsid w:val="00A03AF6"/>
    <w:rsid w:val="00A3228D"/>
    <w:rsid w:val="00A36A4B"/>
    <w:rsid w:val="00A416A7"/>
    <w:rsid w:val="00B0550D"/>
    <w:rsid w:val="00B4668E"/>
    <w:rsid w:val="00B73BEC"/>
    <w:rsid w:val="00C8362C"/>
    <w:rsid w:val="00D27788"/>
    <w:rsid w:val="00D86E6A"/>
    <w:rsid w:val="00EC54FE"/>
    <w:rsid w:val="00EF6E5C"/>
    <w:rsid w:val="00F04974"/>
    <w:rsid w:val="00FD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CA76E"/>
  <w15:docId w15:val="{9F017F69-3133-46D2-ACC2-94911EE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after="60"/>
      <w:outlineLvl w:val="0"/>
    </w:pPr>
    <w:rPr>
      <w:rFonts w:ascii="Cambria" w:eastAsia="SimSun" w:hAnsi="Cambria" w:cs="SimSun"/>
      <w:b/>
      <w:bCs/>
      <w:kern w:val="32"/>
      <w:sz w:val="32"/>
      <w:szCs w:val="32"/>
    </w:rPr>
  </w:style>
  <w:style w:type="paragraph" w:styleId="Heading2">
    <w:name w:val="heading 2"/>
    <w:basedOn w:val="Normal"/>
    <w:next w:val="Normal"/>
    <w:link w:val="Heading2Char"/>
    <w:uiPriority w:val="9"/>
    <w:semiHidden/>
    <w:unhideWhenUsed/>
    <w:qFormat/>
    <w:pPr>
      <w:keepNext/>
      <w:numPr>
        <w:ilvl w:val="1"/>
        <w:numId w:val="1"/>
      </w:numPr>
      <w:spacing w:before="240" w:after="60"/>
      <w:outlineLvl w:val="1"/>
    </w:pPr>
    <w:rPr>
      <w:rFonts w:ascii="Cambria" w:eastAsia="SimSun" w:hAnsi="Cambria" w:cs="SimSun"/>
      <w:b/>
      <w:bCs/>
      <w:i/>
      <w:iCs/>
      <w:sz w:val="28"/>
      <w:szCs w:val="28"/>
    </w:rPr>
  </w:style>
  <w:style w:type="paragraph" w:styleId="Heading3">
    <w:name w:val="heading 3"/>
    <w:basedOn w:val="Normal"/>
    <w:next w:val="Normal"/>
    <w:link w:val="Heading3Char"/>
    <w:uiPriority w:val="9"/>
    <w:semiHidden/>
    <w:unhideWhenUsed/>
    <w:qFormat/>
    <w:pPr>
      <w:keepNext/>
      <w:numPr>
        <w:ilvl w:val="2"/>
        <w:numId w:val="1"/>
      </w:numPr>
      <w:spacing w:before="240" w:after="60"/>
      <w:outlineLvl w:val="2"/>
    </w:pPr>
    <w:rPr>
      <w:rFonts w:ascii="Cambria" w:eastAsia="SimSun" w:hAnsi="Cambria" w:cs="SimSun"/>
      <w:b/>
      <w:bCs/>
      <w:sz w:val="26"/>
      <w:szCs w:val="26"/>
    </w:rPr>
  </w:style>
  <w:style w:type="paragraph" w:styleId="Heading4">
    <w:name w:val="heading 4"/>
    <w:basedOn w:val="Normal"/>
    <w:next w:val="Normal"/>
    <w:link w:val="Heading4Char"/>
    <w:uiPriority w:val="9"/>
    <w:semiHidden/>
    <w:unhideWhenUsed/>
    <w:qFormat/>
    <w:pPr>
      <w:keepNext/>
      <w:numPr>
        <w:ilvl w:val="3"/>
        <w:numId w:val="1"/>
      </w:numPr>
      <w:spacing w:before="240" w:after="60"/>
      <w:outlineLvl w:val="3"/>
    </w:pPr>
    <w:rPr>
      <w:rFonts w:ascii="Calibri" w:eastAsia="SimSun" w:hAnsi="Calibri" w:cs="SimSun"/>
      <w:b/>
      <w:bCs/>
      <w:sz w:val="28"/>
      <w:szCs w:val="28"/>
    </w:rPr>
  </w:style>
  <w:style w:type="paragraph" w:styleId="Heading5">
    <w:name w:val="heading 5"/>
    <w:basedOn w:val="Normal"/>
    <w:next w:val="Normal"/>
    <w:link w:val="Heading5Char"/>
    <w:uiPriority w:val="9"/>
    <w:semiHidden/>
    <w:unhideWhenUsed/>
    <w:qFormat/>
    <w:pPr>
      <w:numPr>
        <w:ilvl w:val="4"/>
        <w:numId w:val="1"/>
      </w:numPr>
      <w:spacing w:before="240" w:after="60"/>
      <w:outlineLvl w:val="4"/>
    </w:pPr>
    <w:rPr>
      <w:rFonts w:ascii="Calibri" w:eastAsia="SimSun" w:hAnsi="Calibri" w:cs="SimSun"/>
      <w:b/>
      <w:bCs/>
      <w:i/>
      <w:iCs/>
      <w:sz w:val="26"/>
      <w:szCs w:val="26"/>
    </w:rPr>
  </w:style>
  <w:style w:type="paragraph" w:styleId="Heading6">
    <w:name w:val="heading 6"/>
    <w:basedOn w:val="Normal"/>
    <w:next w:val="Normal"/>
    <w:link w:val="Heading6Char"/>
    <w:uiPriority w:val="9"/>
    <w:semiHidden/>
    <w:unhideWhenUsed/>
    <w:qFormat/>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Calibri" w:eastAsia="SimSun" w:hAnsi="Calibri" w:cs="SimSun"/>
      <w:sz w:val="24"/>
      <w:szCs w:val="24"/>
    </w:rPr>
  </w:style>
  <w:style w:type="paragraph" w:styleId="Heading8">
    <w:name w:val="heading 8"/>
    <w:basedOn w:val="Normal"/>
    <w:next w:val="Normal"/>
    <w:link w:val="Heading8Char"/>
    <w:uiPriority w:val="9"/>
    <w:qFormat/>
    <w:pPr>
      <w:numPr>
        <w:ilvl w:val="7"/>
        <w:numId w:val="1"/>
      </w:numPr>
      <w:spacing w:before="240" w:after="60"/>
      <w:outlineLvl w:val="7"/>
    </w:pPr>
    <w:rPr>
      <w:rFonts w:ascii="Calibri" w:eastAsia="SimSun" w:hAnsi="Calibri" w:cs="SimSun"/>
      <w:i/>
      <w:iCs/>
      <w:sz w:val="24"/>
      <w:szCs w:val="24"/>
    </w:rPr>
  </w:style>
  <w:style w:type="paragraph" w:styleId="Heading9">
    <w:name w:val="heading 9"/>
    <w:basedOn w:val="Normal"/>
    <w:next w:val="Normal"/>
    <w:link w:val="Heading9Char"/>
    <w:uiPriority w:val="9"/>
    <w:qFormat/>
    <w:pPr>
      <w:numPr>
        <w:ilvl w:val="8"/>
        <w:numId w:val="1"/>
      </w:numPr>
      <w:spacing w:before="240" w:after="60"/>
      <w:outlineLvl w:val="8"/>
    </w:pPr>
    <w:rPr>
      <w:rFonts w:ascii="Cambria" w:eastAsia="SimSun" w:hAnsi="Cambria" w:cs="SimSu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kern w:val="32"/>
      <w:sz w:val="32"/>
      <w:szCs w:val="32"/>
    </w:rPr>
  </w:style>
  <w:style w:type="character" w:customStyle="1" w:styleId="Heading2Char">
    <w:name w:val="Heading 2 Char"/>
    <w:basedOn w:val="DefaultParagraphFont"/>
    <w:link w:val="Heading2"/>
    <w:uiPriority w:val="9"/>
    <w:rPr>
      <w:rFonts w:ascii="Cambria" w:eastAsia="SimSun" w:hAnsi="Cambria" w:cs="SimSun"/>
      <w:b/>
      <w:bCs/>
      <w:i/>
      <w:iCs/>
      <w:sz w:val="28"/>
      <w:szCs w:val="28"/>
    </w:rPr>
  </w:style>
  <w:style w:type="character" w:customStyle="1" w:styleId="Heading3Char">
    <w:name w:val="Heading 3 Char"/>
    <w:basedOn w:val="DefaultParagraphFont"/>
    <w:link w:val="Heading3"/>
    <w:uiPriority w:val="9"/>
    <w:rPr>
      <w:rFonts w:ascii="Cambria" w:eastAsia="SimSun" w:hAnsi="Cambria" w:cs="SimSun"/>
      <w:b/>
      <w:bCs/>
      <w:sz w:val="26"/>
      <w:szCs w:val="26"/>
    </w:rPr>
  </w:style>
  <w:style w:type="character" w:customStyle="1" w:styleId="Heading4Char">
    <w:name w:val="Heading 4 Char"/>
    <w:basedOn w:val="DefaultParagraphFont"/>
    <w:link w:val="Heading4"/>
    <w:uiPriority w:val="9"/>
    <w:rPr>
      <w:rFonts w:ascii="Calibri" w:eastAsia="SimSun" w:hAnsi="Calibri" w:cs="SimSun"/>
      <w:b/>
      <w:bCs/>
      <w:sz w:val="28"/>
      <w:szCs w:val="28"/>
    </w:rPr>
  </w:style>
  <w:style w:type="character" w:customStyle="1" w:styleId="Heading5Char">
    <w:name w:val="Heading 5 Char"/>
    <w:basedOn w:val="DefaultParagraphFont"/>
    <w:link w:val="Heading5"/>
    <w:uiPriority w:val="9"/>
    <w:rPr>
      <w:rFonts w:ascii="Calibri" w:eastAsia="SimSun" w:hAnsi="Calibri" w:cs="SimSun"/>
      <w:b/>
      <w:bCs/>
      <w:i/>
      <w:iCs/>
      <w:sz w:val="26"/>
      <w:szCs w:val="26"/>
    </w:rPr>
  </w:style>
  <w:style w:type="character" w:customStyle="1" w:styleId="Heading6Char">
    <w:name w:val="Heading 6 Char"/>
    <w:basedOn w:val="DefaultParagraphFont"/>
    <w:link w:val="Heading6"/>
    <w:rPr>
      <w:b/>
      <w:bCs/>
      <w:sz w:val="22"/>
      <w:szCs w:val="22"/>
    </w:rPr>
  </w:style>
  <w:style w:type="character" w:customStyle="1" w:styleId="Heading7Char">
    <w:name w:val="Heading 7 Char"/>
    <w:basedOn w:val="DefaultParagraphFont"/>
    <w:link w:val="Heading7"/>
    <w:uiPriority w:val="9"/>
    <w:rPr>
      <w:rFonts w:ascii="Calibri" w:eastAsia="SimSun" w:hAnsi="Calibri" w:cs="SimSun"/>
      <w:sz w:val="24"/>
      <w:szCs w:val="24"/>
    </w:rPr>
  </w:style>
  <w:style w:type="character" w:customStyle="1" w:styleId="Heading8Char">
    <w:name w:val="Heading 8 Char"/>
    <w:basedOn w:val="DefaultParagraphFont"/>
    <w:link w:val="Heading8"/>
    <w:uiPriority w:val="9"/>
    <w:rPr>
      <w:rFonts w:ascii="Calibri" w:eastAsia="SimSun" w:hAnsi="Calibri" w:cs="SimSun"/>
      <w:i/>
      <w:iCs/>
      <w:sz w:val="24"/>
      <w:szCs w:val="24"/>
    </w:rPr>
  </w:style>
  <w:style w:type="character" w:customStyle="1" w:styleId="Heading9Char">
    <w:name w:val="Heading 9 Char"/>
    <w:basedOn w:val="DefaultParagraphFont"/>
    <w:link w:val="Heading9"/>
    <w:uiPriority w:val="9"/>
    <w:rPr>
      <w:rFonts w:ascii="Cambria" w:eastAsia="SimSun" w:hAnsi="Cambria" w:cs="SimSun"/>
      <w:sz w:val="22"/>
      <w:szCs w:val="22"/>
    </w:rPr>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rPr>
  </w:style>
  <w:style w:type="paragraph" w:styleId="NormalWeb">
    <w:name w:val="Normal (Web)"/>
    <w:basedOn w:val="Normal"/>
    <w:uiPriority w:val="99"/>
    <w:pPr>
      <w:spacing w:before="100" w:beforeAutospacing="1" w:after="100" w:afterAutospacing="1"/>
    </w:pPr>
    <w:rPr>
      <w:sz w:val="24"/>
      <w:szCs w:val="24"/>
    </w:rPr>
  </w:style>
  <w:style w:type="character" w:styleId="Strong">
    <w:name w:val="Strong"/>
    <w:basedOn w:val="DefaultParagraphFont"/>
    <w:uiPriority w:val="22"/>
    <w:qFormat/>
    <w:rPr>
      <w:b/>
      <w:bCs/>
    </w:rPr>
  </w:style>
  <w:style w:type="paragraph" w:styleId="FootnoteText">
    <w:name w:val="footnote text"/>
    <w:basedOn w:val="Normal"/>
    <w:link w:val="FootnoteTextChar"/>
    <w:uiPriority w:val="99"/>
  </w:style>
  <w:style w:type="character" w:customStyle="1" w:styleId="FootnoteTextChar">
    <w:name w:val="Footnote Text Char"/>
    <w:basedOn w:val="DefaultParagraphFont"/>
    <w:link w:val="FootnoteText"/>
    <w:uiPriority w:val="99"/>
  </w:style>
  <w:style w:type="character" w:customStyle="1" w:styleId="ListParagraphChar">
    <w:name w:val="List Paragraph Char"/>
    <w:link w:val="ListParagraph"/>
    <w:uiPriority w:val="34"/>
    <w:qFormat/>
  </w:style>
  <w:style w:type="character" w:customStyle="1" w:styleId="UnresolvedMention1">
    <w:name w:val="Unresolved Mention1"/>
    <w:basedOn w:val="DefaultParagraphFont"/>
    <w:uiPriority w:val="99"/>
    <w:semiHidden/>
    <w:unhideWhenUsed/>
    <w:rsid w:val="004F1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image" Target="media/image1.jpg"/><Relationship Id="rId39" Type="http://schemas.openxmlformats.org/officeDocument/2006/relationships/image" Target="media/image14.jpg"/><Relationship Id="rId21" Type="http://schemas.openxmlformats.org/officeDocument/2006/relationships/styles" Target="styles.xml"/><Relationship Id="rId34" Type="http://schemas.openxmlformats.org/officeDocument/2006/relationships/image" Target="media/image9.jpg"/><Relationship Id="rId42" Type="http://schemas.openxmlformats.org/officeDocument/2006/relationships/image" Target="media/image17.jpg"/><Relationship Id="rId47" Type="http://schemas.openxmlformats.org/officeDocument/2006/relationships/image" Target="media/image22.jpg"/><Relationship Id="rId50" Type="http://schemas.openxmlformats.org/officeDocument/2006/relationships/image" Target="media/image25.jpg"/><Relationship Id="rId55" Type="http://schemas.openxmlformats.org/officeDocument/2006/relationships/image" Target="media/image30.jp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image" Target="media/image4.jpg"/><Relationship Id="rId11" Type="http://schemas.openxmlformats.org/officeDocument/2006/relationships/customXml" Target="../customXml/item11.xml"/><Relationship Id="rId24" Type="http://schemas.openxmlformats.org/officeDocument/2006/relationships/footnotes" Target="footnotes.xml"/><Relationship Id="rId32" Type="http://schemas.openxmlformats.org/officeDocument/2006/relationships/image" Target="media/image7.jpg"/><Relationship Id="rId37" Type="http://schemas.openxmlformats.org/officeDocument/2006/relationships/image" Target="media/image12.jpg"/><Relationship Id="rId40" Type="http://schemas.openxmlformats.org/officeDocument/2006/relationships/image" Target="media/image15.jpg"/><Relationship Id="rId45" Type="http://schemas.openxmlformats.org/officeDocument/2006/relationships/image" Target="media/image20.jpg"/><Relationship Id="rId53" Type="http://schemas.openxmlformats.org/officeDocument/2006/relationships/image" Target="media/image28.jpg"/><Relationship Id="rId58" Type="http://schemas.openxmlformats.org/officeDocument/2006/relationships/image" Target="media/image33.jpg"/><Relationship Id="rId5" Type="http://schemas.openxmlformats.org/officeDocument/2006/relationships/customXml" Target="../customXml/item5.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ettings" Target="settings.xml"/><Relationship Id="rId27" Type="http://schemas.openxmlformats.org/officeDocument/2006/relationships/image" Target="media/image2.jpg"/><Relationship Id="rId30" Type="http://schemas.openxmlformats.org/officeDocument/2006/relationships/image" Target="media/image5.jpg"/><Relationship Id="rId35" Type="http://schemas.openxmlformats.org/officeDocument/2006/relationships/image" Target="media/image10.jpg"/><Relationship Id="rId43" Type="http://schemas.openxmlformats.org/officeDocument/2006/relationships/image" Target="media/image18.jpg"/><Relationship Id="rId48" Type="http://schemas.openxmlformats.org/officeDocument/2006/relationships/image" Target="media/image23.jpg"/><Relationship Id="rId56" Type="http://schemas.openxmlformats.org/officeDocument/2006/relationships/image" Target="media/image31.jpg"/><Relationship Id="rId8" Type="http://schemas.openxmlformats.org/officeDocument/2006/relationships/customXml" Target="../customXml/item8.xml"/><Relationship Id="rId51" Type="http://schemas.openxmlformats.org/officeDocument/2006/relationships/image" Target="media/image26.jpg"/><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endnotes" Target="endnotes.xml"/><Relationship Id="rId33" Type="http://schemas.openxmlformats.org/officeDocument/2006/relationships/image" Target="media/image8.jpg"/><Relationship Id="rId38" Type="http://schemas.openxmlformats.org/officeDocument/2006/relationships/image" Target="media/image13.jpg"/><Relationship Id="rId46" Type="http://schemas.openxmlformats.org/officeDocument/2006/relationships/image" Target="media/image21.jpg"/><Relationship Id="rId59" Type="http://schemas.openxmlformats.org/officeDocument/2006/relationships/fontTable" Target="fontTable.xml"/><Relationship Id="rId20" Type="http://schemas.openxmlformats.org/officeDocument/2006/relationships/numbering" Target="numbering.xml"/><Relationship Id="rId41" Type="http://schemas.openxmlformats.org/officeDocument/2006/relationships/image" Target="media/image16.jpg"/><Relationship Id="rId54" Type="http://schemas.openxmlformats.org/officeDocument/2006/relationships/image" Target="media/image29.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webSettings" Target="webSettings.xml"/><Relationship Id="rId28" Type="http://schemas.openxmlformats.org/officeDocument/2006/relationships/image" Target="media/image3.jpg"/><Relationship Id="rId36" Type="http://schemas.openxmlformats.org/officeDocument/2006/relationships/image" Target="media/image11.jpg"/><Relationship Id="rId49" Type="http://schemas.openxmlformats.org/officeDocument/2006/relationships/image" Target="media/image24.jpg"/><Relationship Id="rId57" Type="http://schemas.openxmlformats.org/officeDocument/2006/relationships/image" Target="media/image32.jpg"/><Relationship Id="rId10" Type="http://schemas.openxmlformats.org/officeDocument/2006/relationships/customXml" Target="../customXml/item10.xml"/><Relationship Id="rId31" Type="http://schemas.openxmlformats.org/officeDocument/2006/relationships/image" Target="media/image6.jpg"/><Relationship Id="rId44" Type="http://schemas.openxmlformats.org/officeDocument/2006/relationships/image" Target="media/image19.jpg"/><Relationship Id="rId52" Type="http://schemas.openxmlformats.org/officeDocument/2006/relationships/image" Target="media/image27.jp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D0FDE-22F9-4963-B54C-AE946D77D983}">
  <ds:schemaRefs>
    <ds:schemaRef ds:uri="http://www.wps.cn/android/officeDocument/2013/mofficeCustomData"/>
  </ds:schemaRefs>
</ds:datastoreItem>
</file>

<file path=customXml/itemProps2.xml><?xml version="1.0" encoding="utf-8"?>
<ds:datastoreItem xmlns:ds="http://schemas.openxmlformats.org/officeDocument/2006/customXml" ds:itemID="{F821D6B5-75C8-4CA9-A29E-DC32C83E709E}">
  <ds:schemaRefs>
    <ds:schemaRef ds:uri="http://www.wps.cn/android/officeDocument/2013/mofficeCustomData"/>
  </ds:schemaRefs>
</ds:datastoreItem>
</file>

<file path=customXml/itemProps3.xml><?xml version="1.0" encoding="utf-8"?>
<ds:datastoreItem xmlns:ds="http://schemas.openxmlformats.org/officeDocument/2006/customXml" ds:itemID="{C1C3E54B-EED0-465F-BDAD-AD8FE755E901}">
  <ds:schemaRefs>
    <ds:schemaRef ds:uri="http://www.wps.cn/android/officeDocument/2013/mofficeCustomData"/>
  </ds:schemaRefs>
</ds:datastoreItem>
</file>

<file path=customXml/itemProps4.xml><?xml version="1.0" encoding="utf-8"?>
<ds:datastoreItem xmlns:ds="http://schemas.openxmlformats.org/officeDocument/2006/customXml" ds:itemID="{DD849B7E-3BFA-459D-92C1-7B2D23A0DDD5}">
  <ds:schemaRefs>
    <ds:schemaRef ds:uri="http://www.wps.cn/android/officeDocument/2013/mofficeCustomData"/>
  </ds:schemaRefs>
</ds:datastoreItem>
</file>

<file path=customXml/itemProps5.xml><?xml version="1.0" encoding="utf-8"?>
<ds:datastoreItem xmlns:ds="http://schemas.openxmlformats.org/officeDocument/2006/customXml" ds:itemID="{DE8EC736-8E81-4F08-A650-837E02047D6D}">
  <ds:schemaRefs>
    <ds:schemaRef ds:uri="http://www.wps.cn/android/officeDocument/2013/mofficeCustomData"/>
  </ds:schemaRefs>
</ds:datastoreItem>
</file>

<file path=customXml/itemProps6.xml><?xml version="1.0" encoding="utf-8"?>
<ds:datastoreItem xmlns:ds="http://schemas.openxmlformats.org/officeDocument/2006/customXml" ds:itemID="{E733DCBF-6A65-4480-AED1-8226DE90C018}">
  <ds:schemaRefs>
    <ds:schemaRef ds:uri="http://www.wps.cn/android/officeDocument/2013/mofficeCustomData"/>
  </ds:schemaRefs>
</ds:datastoreItem>
</file>

<file path=customXml/itemProps7.xml><?xml version="1.0" encoding="utf-8"?>
<ds:datastoreItem xmlns:ds="http://schemas.openxmlformats.org/officeDocument/2006/customXml" ds:itemID="{373DB616-CB1F-4432-A1F7-420E12657C75}">
  <ds:schemaRefs>
    <ds:schemaRef ds:uri="http://www.wps.cn/android/officeDocument/2013/mofficeCustomData"/>
  </ds:schemaRefs>
</ds:datastoreItem>
</file>

<file path=customXml/itemProps8.xml><?xml version="1.0" encoding="utf-8"?>
<ds:datastoreItem xmlns:ds="http://schemas.openxmlformats.org/officeDocument/2006/customXml" ds:itemID="{B0BF9147-E6B7-4912-ABA0-828235DC6121}">
  <ds:schemaRefs>
    <ds:schemaRef ds:uri="http://www.wps.cn/android/officeDocument/2013/mofficeCustomData"/>
  </ds:schemaRefs>
</ds:datastoreItem>
</file>

<file path=customXml/itemProps9.xml><?xml version="1.0" encoding="utf-8"?>
<ds:datastoreItem xmlns:ds="http://schemas.openxmlformats.org/officeDocument/2006/customXml" ds:itemID="{AC62B2A4-1195-49C0-A5DE-80D05C75BAA4}">
  <ds:schemaRefs>
    <ds:schemaRef ds:uri="http://www.wps.cn/android/officeDocument/2013/mofficeCustomData"/>
  </ds:schemaRefs>
</ds:datastoreItem>
</file>

<file path=customXml/itemProps10.xml><?xml version="1.0" encoding="utf-8"?>
<ds:datastoreItem xmlns:ds="http://schemas.openxmlformats.org/officeDocument/2006/customXml" ds:itemID="{316A14E3-48F8-47EC-86C7-FEB578690B12}">
  <ds:schemaRefs>
    <ds:schemaRef ds:uri="http://www.wps.cn/android/officeDocument/2013/mofficeCustomData"/>
  </ds:schemaRefs>
</ds:datastoreItem>
</file>

<file path=customXml/itemProps11.xml><?xml version="1.0" encoding="utf-8"?>
<ds:datastoreItem xmlns:ds="http://schemas.openxmlformats.org/officeDocument/2006/customXml" ds:itemID="{D690C5A0-913C-401D-852F-C6898267BD50}">
  <ds:schemaRefs>
    <ds:schemaRef ds:uri="http://www.wps.cn/android/officeDocument/2013/mofficeCustomData"/>
  </ds:schemaRefs>
</ds:datastoreItem>
</file>

<file path=customXml/itemProps12.xml><?xml version="1.0" encoding="utf-8"?>
<ds:datastoreItem xmlns:ds="http://schemas.openxmlformats.org/officeDocument/2006/customXml" ds:itemID="{CED80499-4BE9-400B-A9C4-F3EFB2C95177}">
  <ds:schemaRefs>
    <ds:schemaRef ds:uri="http://www.wps.cn/android/officeDocument/2013/mofficeCustomData"/>
  </ds:schemaRefs>
</ds:datastoreItem>
</file>

<file path=customXml/itemProps13.xml><?xml version="1.0" encoding="utf-8"?>
<ds:datastoreItem xmlns:ds="http://schemas.openxmlformats.org/officeDocument/2006/customXml" ds:itemID="{6309B6C3-6E1F-491F-8B49-008760DFDA20}">
  <ds:schemaRefs>
    <ds:schemaRef ds:uri="http://www.wps.cn/android/officeDocument/2013/mofficeCustomData"/>
  </ds:schemaRefs>
</ds:datastoreItem>
</file>

<file path=customXml/itemProps14.xml><?xml version="1.0" encoding="utf-8"?>
<ds:datastoreItem xmlns:ds="http://schemas.openxmlformats.org/officeDocument/2006/customXml" ds:itemID="{5F68AF87-9D6E-466C-9E52-07015FD471E4}">
  <ds:schemaRefs>
    <ds:schemaRef ds:uri="http://www.wps.cn/android/officeDocument/2013/mofficeCustomData"/>
  </ds:schemaRefs>
</ds:datastoreItem>
</file>

<file path=customXml/itemProps15.xml><?xml version="1.0" encoding="utf-8"?>
<ds:datastoreItem xmlns:ds="http://schemas.openxmlformats.org/officeDocument/2006/customXml" ds:itemID="{8166133A-9EC6-44B1-868D-4C7C7DCC35B1}">
  <ds:schemaRefs>
    <ds:schemaRef ds:uri="http://www.wps.cn/android/officeDocument/2013/mofficeCustomData"/>
  </ds:schemaRefs>
</ds:datastoreItem>
</file>

<file path=customXml/itemProps16.xml><?xml version="1.0" encoding="utf-8"?>
<ds:datastoreItem xmlns:ds="http://schemas.openxmlformats.org/officeDocument/2006/customXml" ds:itemID="{DC229A96-620D-46E6-82C0-B02E47160237}">
  <ds:schemaRefs>
    <ds:schemaRef ds:uri="http://www.wps.cn/android/officeDocument/2013/mofficeCustomData"/>
  </ds:schemaRefs>
</ds:datastoreItem>
</file>

<file path=customXml/itemProps17.xml><?xml version="1.0" encoding="utf-8"?>
<ds:datastoreItem xmlns:ds="http://schemas.openxmlformats.org/officeDocument/2006/customXml" ds:itemID="{DA2AE470-8E49-41C2-890A-30F2F0798403}">
  <ds:schemaRefs>
    <ds:schemaRef ds:uri="http://www.wps.cn/android/officeDocument/2013/mofficeCustomData"/>
  </ds:schemaRefs>
</ds:datastoreItem>
</file>

<file path=customXml/itemProps18.xml><?xml version="1.0" encoding="utf-8"?>
<ds:datastoreItem xmlns:ds="http://schemas.openxmlformats.org/officeDocument/2006/customXml" ds:itemID="{62E8C02F-369B-413A-BDB6-E49196C52374}">
  <ds:schemaRefs>
    <ds:schemaRef ds:uri="http://www.wps.cn/android/officeDocument/2013/mofficeCustomData"/>
  </ds:schemaRefs>
</ds:datastoreItem>
</file>

<file path=customXml/itemProps19.xml><?xml version="1.0" encoding="utf-8"?>
<ds:datastoreItem xmlns:ds="http://schemas.openxmlformats.org/officeDocument/2006/customXml" ds:itemID="{5D8C5CFB-6CB5-41B4-9AD1-90B32700A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33</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Ermira Bukaci</cp:lastModifiedBy>
  <cp:revision>13</cp:revision>
  <cp:lastPrinted>2025-07-03T13:11:00Z</cp:lastPrinted>
  <dcterms:created xsi:type="dcterms:W3CDTF">2025-08-08T10:07:00Z</dcterms:created>
  <dcterms:modified xsi:type="dcterms:W3CDTF">2025-08-08T10:49:00Z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f459d3441a21494a8e0e4c2a10549e88</vt:lpwstr>
  </property>
</Properties>
</file>