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C7EA8" w14:textId="77777777" w:rsidR="00D83049" w:rsidRPr="00D83049" w:rsidRDefault="00D83049" w:rsidP="00D83049">
      <w:pPr>
        <w:spacing w:after="0" w:line="240" w:lineRule="auto"/>
        <w:ind w:firstLine="284"/>
        <w:jc w:val="center"/>
        <w:rPr>
          <w:rFonts w:ascii="Garamond" w:hAnsi="Garamond" w:cs="Times New Roman"/>
          <w:b/>
          <w:bCs/>
          <w:sz w:val="24"/>
          <w:szCs w:val="24"/>
        </w:rPr>
      </w:pPr>
      <w:r w:rsidRPr="00D83049">
        <w:rPr>
          <w:rFonts w:ascii="Garamond" w:hAnsi="Garamond" w:cs="Times New Roman"/>
          <w:b/>
          <w:bCs/>
          <w:sz w:val="24"/>
          <w:szCs w:val="24"/>
        </w:rPr>
        <w:t>VENDIM</w:t>
      </w:r>
    </w:p>
    <w:p w14:paraId="4A73F0C3" w14:textId="12FB440D" w:rsidR="00D83049" w:rsidRPr="00D83049" w:rsidRDefault="00D83049" w:rsidP="00D83049">
      <w:pPr>
        <w:spacing w:after="0" w:line="240" w:lineRule="auto"/>
        <w:ind w:firstLine="284"/>
        <w:jc w:val="center"/>
        <w:rPr>
          <w:rFonts w:ascii="Garamond" w:hAnsi="Garamond" w:cs="Times New Roman"/>
          <w:b/>
          <w:bCs/>
          <w:sz w:val="24"/>
          <w:szCs w:val="24"/>
        </w:rPr>
      </w:pPr>
      <w:r w:rsidRPr="00D83049">
        <w:rPr>
          <w:rFonts w:ascii="Garamond" w:hAnsi="Garamond" w:cs="Times New Roman"/>
          <w:b/>
          <w:bCs/>
          <w:sz w:val="24"/>
          <w:szCs w:val="24"/>
        </w:rPr>
        <w:t>Nr. 169, datë 31.7.2025</w:t>
      </w:r>
    </w:p>
    <w:p w14:paraId="5CE83AE3" w14:textId="77777777" w:rsidR="00D83049" w:rsidRPr="00D83049" w:rsidRDefault="00D83049" w:rsidP="00D83049">
      <w:pPr>
        <w:spacing w:after="0" w:line="240" w:lineRule="auto"/>
        <w:ind w:firstLine="284"/>
        <w:jc w:val="center"/>
        <w:rPr>
          <w:rFonts w:ascii="Garamond" w:hAnsi="Garamond" w:cs="Times New Roman"/>
          <w:b/>
          <w:bCs/>
          <w:sz w:val="24"/>
          <w:szCs w:val="24"/>
        </w:rPr>
      </w:pPr>
    </w:p>
    <w:p w14:paraId="1AA258DD" w14:textId="4AFC4298" w:rsidR="00D83049" w:rsidRPr="00D83049" w:rsidRDefault="00D83049" w:rsidP="00D83049">
      <w:pPr>
        <w:spacing w:after="0" w:line="240" w:lineRule="auto"/>
        <w:ind w:firstLine="284"/>
        <w:jc w:val="center"/>
        <w:rPr>
          <w:rFonts w:ascii="Garamond" w:hAnsi="Garamond" w:cs="Times New Roman"/>
          <w:b/>
          <w:bCs/>
          <w:sz w:val="24"/>
          <w:szCs w:val="24"/>
        </w:rPr>
      </w:pPr>
      <w:r w:rsidRPr="00D83049">
        <w:rPr>
          <w:rFonts w:ascii="Garamond" w:hAnsi="Garamond" w:cs="Times New Roman"/>
          <w:b/>
          <w:bCs/>
          <w:sz w:val="24"/>
          <w:szCs w:val="24"/>
        </w:rPr>
        <w:t>MBI NJË NDRYSHIM NË VENDIMIN E BORDIT TË ERE</w:t>
      </w:r>
      <w:r w:rsidR="00295085">
        <w:rPr>
          <w:rFonts w:ascii="Garamond" w:hAnsi="Garamond" w:cs="Times New Roman"/>
          <w:b/>
          <w:bCs/>
          <w:sz w:val="24"/>
          <w:szCs w:val="24"/>
        </w:rPr>
        <w:t>-s</w:t>
      </w:r>
      <w:r w:rsidRPr="00D83049">
        <w:rPr>
          <w:rFonts w:ascii="Garamond" w:hAnsi="Garamond" w:cs="Times New Roman"/>
          <w:b/>
          <w:bCs/>
          <w:sz w:val="24"/>
          <w:szCs w:val="24"/>
        </w:rPr>
        <w:t xml:space="preserve"> NR.</w:t>
      </w:r>
      <w:r w:rsidR="00295085">
        <w:rPr>
          <w:rFonts w:ascii="Garamond" w:hAnsi="Garamond" w:cs="Times New Roman"/>
          <w:b/>
          <w:bCs/>
          <w:sz w:val="24"/>
          <w:szCs w:val="24"/>
        </w:rPr>
        <w:t xml:space="preserve"> </w:t>
      </w:r>
      <w:r w:rsidRPr="00D83049">
        <w:rPr>
          <w:rFonts w:ascii="Garamond" w:hAnsi="Garamond" w:cs="Times New Roman"/>
          <w:b/>
          <w:bCs/>
          <w:sz w:val="24"/>
          <w:szCs w:val="24"/>
        </w:rPr>
        <w:t>147, DATË 24.4.2023</w:t>
      </w:r>
      <w:r w:rsidR="00295085">
        <w:rPr>
          <w:rFonts w:ascii="Garamond" w:hAnsi="Garamond" w:cs="Times New Roman"/>
          <w:b/>
          <w:bCs/>
          <w:sz w:val="24"/>
          <w:szCs w:val="24"/>
        </w:rPr>
        <w:t>,</w:t>
      </w:r>
      <w:r w:rsidRPr="00D83049">
        <w:rPr>
          <w:rFonts w:ascii="Garamond" w:hAnsi="Garamond" w:cs="Times New Roman"/>
          <w:b/>
          <w:bCs/>
          <w:sz w:val="24"/>
          <w:szCs w:val="24"/>
        </w:rPr>
        <w:t xml:space="preserve"> “MBI DHËNIEN E AUTORIZIMIT NGA ERE PËR VENDOSJEN E KUOTAVE TË SHOQËRISË </w:t>
      </w:r>
      <w:r w:rsidR="00295085">
        <w:rPr>
          <w:rFonts w:ascii="Garamond" w:hAnsi="Garamond" w:cs="Times New Roman"/>
          <w:b/>
          <w:bCs/>
          <w:sz w:val="24"/>
          <w:szCs w:val="24"/>
        </w:rPr>
        <w:t>‘</w:t>
      </w:r>
      <w:r w:rsidRPr="00D83049">
        <w:rPr>
          <w:rFonts w:ascii="Garamond" w:hAnsi="Garamond" w:cs="Times New Roman"/>
          <w:b/>
          <w:bCs/>
          <w:sz w:val="24"/>
          <w:szCs w:val="24"/>
        </w:rPr>
        <w:t>SPV BLUE 1</w:t>
      </w:r>
      <w:r w:rsidR="00295085">
        <w:rPr>
          <w:rFonts w:ascii="Garamond" w:hAnsi="Garamond" w:cs="Times New Roman"/>
          <w:b/>
          <w:bCs/>
          <w:sz w:val="24"/>
          <w:szCs w:val="24"/>
        </w:rPr>
        <w:t>’</w:t>
      </w:r>
      <w:r w:rsidRPr="00D83049">
        <w:rPr>
          <w:rFonts w:ascii="Garamond" w:hAnsi="Garamond" w:cs="Times New Roman"/>
          <w:b/>
          <w:bCs/>
          <w:sz w:val="24"/>
          <w:szCs w:val="24"/>
        </w:rPr>
        <w:t xml:space="preserve"> SHPK</w:t>
      </w:r>
      <w:r w:rsidR="00295085">
        <w:rPr>
          <w:rFonts w:ascii="Garamond" w:hAnsi="Garamond" w:cs="Times New Roman"/>
          <w:b/>
          <w:bCs/>
          <w:sz w:val="24"/>
          <w:szCs w:val="24"/>
        </w:rPr>
        <w:t>,</w:t>
      </w:r>
      <w:r w:rsidRPr="00D83049">
        <w:rPr>
          <w:rFonts w:ascii="Garamond" w:hAnsi="Garamond" w:cs="Times New Roman"/>
          <w:b/>
          <w:bCs/>
          <w:sz w:val="24"/>
          <w:szCs w:val="24"/>
        </w:rPr>
        <w:t xml:space="preserve"> SI MJET (BARRË SIGURUESE) PËR GARANTIMIN E DETYRIMIT NDAJ </w:t>
      </w:r>
      <w:r w:rsidR="00295085">
        <w:rPr>
          <w:rFonts w:ascii="Garamond" w:hAnsi="Garamond" w:cs="Times New Roman"/>
          <w:b/>
          <w:bCs/>
          <w:sz w:val="24"/>
          <w:szCs w:val="24"/>
        </w:rPr>
        <w:t>‘</w:t>
      </w:r>
      <w:r w:rsidRPr="00D83049">
        <w:rPr>
          <w:rFonts w:ascii="Garamond" w:hAnsi="Garamond" w:cs="Times New Roman"/>
          <w:b/>
          <w:bCs/>
          <w:sz w:val="24"/>
          <w:szCs w:val="24"/>
        </w:rPr>
        <w:t>GREEN FOR GROWTH FUND SOUTHEAST EUROPE S.A., SICAV-SIF</w:t>
      </w:r>
      <w:r w:rsidR="00295085">
        <w:rPr>
          <w:rFonts w:ascii="Garamond" w:hAnsi="Garamond" w:cs="Times New Roman"/>
          <w:b/>
          <w:bCs/>
          <w:sz w:val="24"/>
          <w:szCs w:val="24"/>
        </w:rPr>
        <w:t>’</w:t>
      </w:r>
      <w:r w:rsidRPr="00D83049">
        <w:rPr>
          <w:rFonts w:ascii="Garamond" w:hAnsi="Garamond" w:cs="Times New Roman"/>
          <w:b/>
          <w:bCs/>
          <w:sz w:val="24"/>
          <w:szCs w:val="24"/>
        </w:rPr>
        <w:t>”</w:t>
      </w:r>
    </w:p>
    <w:p w14:paraId="6137E3E9" w14:textId="77777777" w:rsidR="00D83049" w:rsidRPr="00D83049" w:rsidRDefault="00D83049" w:rsidP="00D83049">
      <w:pPr>
        <w:spacing w:after="0" w:line="240" w:lineRule="auto"/>
        <w:ind w:firstLine="284"/>
        <w:jc w:val="center"/>
        <w:rPr>
          <w:rFonts w:ascii="Garamond" w:hAnsi="Garamond" w:cs="Times New Roman"/>
          <w:b/>
          <w:bCs/>
          <w:sz w:val="24"/>
          <w:szCs w:val="24"/>
        </w:rPr>
      </w:pPr>
    </w:p>
    <w:p w14:paraId="382F4261" w14:textId="3359E464" w:rsidR="00D83049" w:rsidRPr="006A0BF1" w:rsidRDefault="00D83049" w:rsidP="00D83049">
      <w:pPr>
        <w:tabs>
          <w:tab w:val="center" w:pos="4800"/>
          <w:tab w:val="left" w:pos="5820"/>
        </w:tabs>
        <w:spacing w:after="0" w:line="240" w:lineRule="auto"/>
        <w:ind w:firstLine="284"/>
        <w:jc w:val="both"/>
        <w:rPr>
          <w:rFonts w:ascii="Garamond" w:hAnsi="Garamond" w:cs="Times New Roman"/>
          <w:sz w:val="24"/>
          <w:szCs w:val="24"/>
        </w:rPr>
      </w:pPr>
      <w:r w:rsidRPr="006A0BF1">
        <w:rPr>
          <w:rFonts w:ascii="Garamond" w:hAnsi="Garamond" w:cs="Times New Roman"/>
          <w:sz w:val="24"/>
          <w:szCs w:val="24"/>
        </w:rPr>
        <w:t>Në mbështetje të nenit 16</w:t>
      </w:r>
      <w:r w:rsidR="00295085">
        <w:rPr>
          <w:rFonts w:ascii="Garamond" w:hAnsi="Garamond" w:cs="Times New Roman"/>
          <w:sz w:val="24"/>
          <w:szCs w:val="24"/>
        </w:rPr>
        <w:t>,</w:t>
      </w:r>
      <w:r w:rsidRPr="006A0BF1">
        <w:rPr>
          <w:rFonts w:ascii="Garamond" w:hAnsi="Garamond" w:cs="Times New Roman"/>
          <w:sz w:val="24"/>
          <w:szCs w:val="24"/>
        </w:rPr>
        <w:t xml:space="preserve"> të ligjit nr. 43/2015, “Për sektorin e energjisë elektrike”, </w:t>
      </w:r>
      <w:r w:rsidR="00295085">
        <w:rPr>
          <w:rFonts w:ascii="Garamond" w:hAnsi="Garamond" w:cs="Times New Roman"/>
          <w:sz w:val="24"/>
          <w:szCs w:val="24"/>
        </w:rPr>
        <w:t>të</w:t>
      </w:r>
      <w:r w:rsidRPr="006A0BF1">
        <w:rPr>
          <w:rFonts w:ascii="Garamond" w:hAnsi="Garamond" w:cs="Times New Roman"/>
          <w:sz w:val="24"/>
          <w:szCs w:val="24"/>
        </w:rPr>
        <w:t xml:space="preserve"> ndryshuar</w:t>
      </w:r>
      <w:r w:rsidR="00295085">
        <w:rPr>
          <w:rFonts w:ascii="Garamond" w:hAnsi="Garamond" w:cs="Times New Roman"/>
          <w:sz w:val="24"/>
          <w:szCs w:val="24"/>
        </w:rPr>
        <w:t>;</w:t>
      </w:r>
      <w:r w:rsidRPr="006A0BF1">
        <w:rPr>
          <w:rFonts w:ascii="Garamond" w:hAnsi="Garamond" w:cs="Times New Roman"/>
          <w:b/>
          <w:bCs/>
          <w:sz w:val="24"/>
          <w:szCs w:val="24"/>
        </w:rPr>
        <w:t xml:space="preserve"> </w:t>
      </w:r>
      <w:r w:rsidRPr="006A0BF1">
        <w:rPr>
          <w:rFonts w:ascii="Garamond" w:hAnsi="Garamond" w:cs="Times New Roman"/>
          <w:sz w:val="24"/>
          <w:szCs w:val="24"/>
        </w:rPr>
        <w:t>nenit 113</w:t>
      </w:r>
      <w:r w:rsidR="00295085">
        <w:rPr>
          <w:rFonts w:ascii="Garamond" w:hAnsi="Garamond" w:cs="Times New Roman"/>
          <w:sz w:val="24"/>
          <w:szCs w:val="24"/>
        </w:rPr>
        <w:t>,</w:t>
      </w:r>
      <w:r w:rsidRPr="006A0BF1">
        <w:rPr>
          <w:rFonts w:ascii="Garamond" w:hAnsi="Garamond" w:cs="Times New Roman"/>
          <w:sz w:val="24"/>
          <w:szCs w:val="24"/>
        </w:rPr>
        <w:t xml:space="preserve"> të ligjit nr. 44/2015</w:t>
      </w:r>
      <w:r w:rsidR="00295085">
        <w:rPr>
          <w:rFonts w:ascii="Garamond" w:hAnsi="Garamond" w:cs="Times New Roman"/>
          <w:sz w:val="24"/>
          <w:szCs w:val="24"/>
        </w:rPr>
        <w:t>,</w:t>
      </w:r>
      <w:r w:rsidRPr="006A0BF1">
        <w:rPr>
          <w:rFonts w:ascii="Garamond" w:hAnsi="Garamond" w:cs="Times New Roman"/>
          <w:sz w:val="24"/>
          <w:szCs w:val="24"/>
        </w:rPr>
        <w:t xml:space="preserve"> “Kodi i Procedurave Administrative </w:t>
      </w:r>
      <w:r w:rsidR="00295085">
        <w:rPr>
          <w:rFonts w:ascii="Garamond" w:hAnsi="Garamond" w:cs="Times New Roman"/>
          <w:sz w:val="24"/>
          <w:szCs w:val="24"/>
        </w:rPr>
        <w:t>i</w:t>
      </w:r>
      <w:r w:rsidRPr="006A0BF1">
        <w:rPr>
          <w:rFonts w:ascii="Garamond" w:hAnsi="Garamond" w:cs="Times New Roman"/>
          <w:sz w:val="24"/>
          <w:szCs w:val="24"/>
        </w:rPr>
        <w:t xml:space="preserve"> Republikës së Shqipërisë”; si dhe nenit 15 të </w:t>
      </w:r>
      <w:r w:rsidR="00295085" w:rsidRPr="006A0BF1">
        <w:rPr>
          <w:rFonts w:ascii="Garamond" w:hAnsi="Garamond" w:cs="Times New Roman"/>
          <w:sz w:val="24"/>
          <w:szCs w:val="24"/>
        </w:rPr>
        <w:t xml:space="preserve">rregullores </w:t>
      </w:r>
      <w:r w:rsidR="00295085">
        <w:rPr>
          <w:rFonts w:ascii="Garamond" w:hAnsi="Garamond" w:cs="Times New Roman"/>
          <w:sz w:val="24"/>
          <w:szCs w:val="24"/>
        </w:rPr>
        <w:t>“</w:t>
      </w:r>
      <w:r w:rsidR="00295085" w:rsidRPr="006A0BF1">
        <w:rPr>
          <w:rFonts w:ascii="Garamond" w:hAnsi="Garamond" w:cs="Times New Roman"/>
          <w:sz w:val="24"/>
          <w:szCs w:val="24"/>
        </w:rPr>
        <w:t xml:space="preserve">Për </w:t>
      </w:r>
      <w:r w:rsidRPr="006A0BF1">
        <w:rPr>
          <w:rFonts w:ascii="Garamond" w:hAnsi="Garamond" w:cs="Times New Roman"/>
          <w:sz w:val="24"/>
          <w:szCs w:val="24"/>
        </w:rPr>
        <w:t>organizimin, funksionimin dhe procedurat e ERE-s</w:t>
      </w:r>
      <w:r w:rsidR="00295085">
        <w:rPr>
          <w:rFonts w:ascii="Garamond" w:hAnsi="Garamond" w:cs="Times New Roman"/>
          <w:sz w:val="24"/>
          <w:szCs w:val="24"/>
        </w:rPr>
        <w:t>”</w:t>
      </w:r>
      <w:r w:rsidRPr="006A0BF1">
        <w:rPr>
          <w:rFonts w:ascii="Garamond" w:hAnsi="Garamond" w:cs="Times New Roman"/>
          <w:sz w:val="24"/>
          <w:szCs w:val="24"/>
        </w:rPr>
        <w:t xml:space="preserve">, miratuar me vendimin e </w:t>
      </w:r>
      <w:r w:rsidR="00295085" w:rsidRPr="006A0BF1">
        <w:rPr>
          <w:rFonts w:ascii="Garamond" w:hAnsi="Garamond" w:cs="Times New Roman"/>
          <w:sz w:val="24"/>
          <w:szCs w:val="24"/>
        </w:rPr>
        <w:t xml:space="preserve">Bordit </w:t>
      </w:r>
      <w:r w:rsidRPr="006A0BF1">
        <w:rPr>
          <w:rFonts w:ascii="Garamond" w:hAnsi="Garamond" w:cs="Times New Roman"/>
          <w:sz w:val="24"/>
          <w:szCs w:val="24"/>
        </w:rPr>
        <w:t>të Entit Rregullator të Energjisë (ERE) nr. 96, datë 17.6.2016; Bordi i ERE-s, në mbledhjen e tij të datës 31.7.2025, mbasi shqyrtoi relacionin e përgatitur nga Drejtoria Juridike dhe Zgjidhjes së Mosmarrëveshjeve me nr. 2116/1 prot., datë 25.7.2025</w:t>
      </w:r>
      <w:r w:rsidR="00295085">
        <w:rPr>
          <w:rFonts w:ascii="Garamond" w:hAnsi="Garamond" w:cs="Times New Roman"/>
          <w:sz w:val="24"/>
          <w:szCs w:val="24"/>
        </w:rPr>
        <w:t>,</w:t>
      </w:r>
      <w:r w:rsidRPr="006A0BF1">
        <w:rPr>
          <w:rFonts w:ascii="Garamond" w:hAnsi="Garamond" w:cs="Times New Roman"/>
          <w:sz w:val="24"/>
          <w:szCs w:val="24"/>
        </w:rPr>
        <w:t xml:space="preserve"> “Mbi një ndryshim në vendimin e </w:t>
      </w:r>
      <w:r w:rsidR="00295085" w:rsidRPr="006A0BF1">
        <w:rPr>
          <w:rFonts w:ascii="Garamond" w:hAnsi="Garamond" w:cs="Times New Roman"/>
          <w:sz w:val="24"/>
          <w:szCs w:val="24"/>
        </w:rPr>
        <w:t xml:space="preserve">Bordit </w:t>
      </w:r>
      <w:r w:rsidRPr="006A0BF1">
        <w:rPr>
          <w:rFonts w:ascii="Garamond" w:hAnsi="Garamond" w:cs="Times New Roman"/>
          <w:sz w:val="24"/>
          <w:szCs w:val="24"/>
        </w:rPr>
        <w:t>të ERE-s nr. 147, datë 24.4.2023</w:t>
      </w:r>
      <w:r w:rsidR="00295085">
        <w:rPr>
          <w:rFonts w:ascii="Garamond" w:hAnsi="Garamond" w:cs="Times New Roman"/>
          <w:sz w:val="24"/>
          <w:szCs w:val="24"/>
        </w:rPr>
        <w:t>,</w:t>
      </w:r>
      <w:r w:rsidRPr="006A0BF1">
        <w:rPr>
          <w:rFonts w:ascii="Garamond" w:hAnsi="Garamond" w:cs="Times New Roman"/>
          <w:sz w:val="24"/>
          <w:szCs w:val="24"/>
        </w:rPr>
        <w:t xml:space="preserve"> “Mbi dhënien e autorizimit nga ERE për vendosjen e kuotave të shoqërisë </w:t>
      </w:r>
      <w:r w:rsidR="00295085">
        <w:rPr>
          <w:rFonts w:ascii="Garamond" w:hAnsi="Garamond" w:cs="Times New Roman"/>
          <w:sz w:val="24"/>
          <w:szCs w:val="24"/>
        </w:rPr>
        <w:t>‘</w:t>
      </w:r>
      <w:r w:rsidRPr="006A0BF1">
        <w:rPr>
          <w:rFonts w:ascii="Garamond" w:hAnsi="Garamond" w:cs="Times New Roman"/>
          <w:sz w:val="24"/>
          <w:szCs w:val="24"/>
        </w:rPr>
        <w:t xml:space="preserve">SPV </w:t>
      </w:r>
      <w:r w:rsidR="00295085" w:rsidRPr="006A0BF1">
        <w:rPr>
          <w:rFonts w:ascii="Garamond" w:hAnsi="Garamond" w:cs="Times New Roman"/>
          <w:sz w:val="24"/>
          <w:szCs w:val="24"/>
        </w:rPr>
        <w:t xml:space="preserve">Blue </w:t>
      </w:r>
      <w:r w:rsidRPr="006A0BF1">
        <w:rPr>
          <w:rFonts w:ascii="Garamond" w:hAnsi="Garamond" w:cs="Times New Roman"/>
          <w:sz w:val="24"/>
          <w:szCs w:val="24"/>
        </w:rPr>
        <w:t>1</w:t>
      </w:r>
      <w:r w:rsidR="00295085">
        <w:rPr>
          <w:rFonts w:ascii="Garamond" w:hAnsi="Garamond" w:cs="Times New Roman"/>
          <w:sz w:val="24"/>
          <w:szCs w:val="24"/>
        </w:rPr>
        <w:t>’,</w:t>
      </w:r>
      <w:r w:rsidRPr="006A0BF1">
        <w:rPr>
          <w:rFonts w:ascii="Garamond" w:hAnsi="Garamond" w:cs="Times New Roman"/>
          <w:sz w:val="24"/>
          <w:szCs w:val="24"/>
        </w:rPr>
        <w:t xml:space="preserve"> si mjet (</w:t>
      </w:r>
      <w:r w:rsidR="00295085" w:rsidRPr="006A0BF1">
        <w:rPr>
          <w:rFonts w:ascii="Garamond" w:hAnsi="Garamond" w:cs="Times New Roman"/>
          <w:sz w:val="24"/>
          <w:szCs w:val="24"/>
        </w:rPr>
        <w:t xml:space="preserve">barrë </w:t>
      </w:r>
      <w:r w:rsidRPr="006A0BF1">
        <w:rPr>
          <w:rFonts w:ascii="Garamond" w:hAnsi="Garamond" w:cs="Times New Roman"/>
          <w:sz w:val="24"/>
          <w:szCs w:val="24"/>
        </w:rPr>
        <w:t xml:space="preserve">siguruese) për garantimin e detyrimit </w:t>
      </w:r>
      <w:r w:rsidR="00295085" w:rsidRPr="006A0BF1">
        <w:rPr>
          <w:rFonts w:ascii="Garamond" w:hAnsi="Garamond" w:cs="Times New Roman"/>
          <w:sz w:val="24"/>
          <w:szCs w:val="24"/>
        </w:rPr>
        <w:t xml:space="preserve">ndaj </w:t>
      </w:r>
      <w:r w:rsidR="00295085">
        <w:rPr>
          <w:rFonts w:ascii="Garamond" w:hAnsi="Garamond" w:cs="Times New Roman"/>
          <w:sz w:val="24"/>
          <w:szCs w:val="24"/>
        </w:rPr>
        <w:t>‘</w:t>
      </w:r>
      <w:r w:rsidR="00295085" w:rsidRPr="006A0BF1">
        <w:rPr>
          <w:rFonts w:ascii="Garamond" w:hAnsi="Garamond" w:cs="Times New Roman"/>
          <w:sz w:val="24"/>
          <w:szCs w:val="24"/>
        </w:rPr>
        <w:t>Green for Growth Fund Southest Europe</w:t>
      </w:r>
      <w:r w:rsidR="002C6AAD" w:rsidRPr="006A0BF1">
        <w:rPr>
          <w:rFonts w:ascii="Garamond" w:hAnsi="Garamond" w:cs="Times New Roman"/>
          <w:sz w:val="24"/>
          <w:szCs w:val="24"/>
        </w:rPr>
        <w:t xml:space="preserve"> S.A, SICAV-SIF</w:t>
      </w:r>
      <w:r w:rsidR="00295085">
        <w:rPr>
          <w:rFonts w:ascii="Garamond" w:hAnsi="Garamond" w:cs="Times New Roman"/>
          <w:sz w:val="24"/>
          <w:szCs w:val="24"/>
        </w:rPr>
        <w:t>’</w:t>
      </w:r>
      <w:r w:rsidR="002C6AAD" w:rsidRPr="006A0BF1">
        <w:rPr>
          <w:rFonts w:ascii="Garamond" w:hAnsi="Garamond" w:cs="Times New Roman"/>
          <w:sz w:val="24"/>
          <w:szCs w:val="24"/>
        </w:rPr>
        <w:t>”,</w:t>
      </w:r>
    </w:p>
    <w:p w14:paraId="081249D3" w14:textId="493CC7AC" w:rsidR="00D83049" w:rsidRPr="002C6AAD" w:rsidRDefault="006A0BF1" w:rsidP="00D83049">
      <w:pPr>
        <w:spacing w:after="0" w:line="240" w:lineRule="auto"/>
        <w:ind w:firstLine="284"/>
        <w:jc w:val="both"/>
        <w:rPr>
          <w:rFonts w:ascii="Garamond" w:hAnsi="Garamond" w:cs="Times New Roman"/>
          <w:sz w:val="24"/>
          <w:szCs w:val="24"/>
        </w:rPr>
      </w:pPr>
      <w:r w:rsidRPr="002C6AAD">
        <w:rPr>
          <w:rFonts w:ascii="Garamond" w:hAnsi="Garamond" w:cs="Times New Roman"/>
          <w:sz w:val="24"/>
          <w:szCs w:val="24"/>
        </w:rPr>
        <w:t xml:space="preserve">konstatoi </w:t>
      </w:r>
      <w:r w:rsidR="00D83049" w:rsidRPr="002C6AAD">
        <w:rPr>
          <w:rFonts w:ascii="Garamond" w:hAnsi="Garamond" w:cs="Times New Roman"/>
          <w:sz w:val="24"/>
          <w:szCs w:val="24"/>
        </w:rPr>
        <w:t>se:</w:t>
      </w:r>
    </w:p>
    <w:p w14:paraId="40A6DB2D" w14:textId="378AE51E" w:rsidR="00D83049" w:rsidRPr="00D83049" w:rsidRDefault="00D83049" w:rsidP="00D83049">
      <w:pPr>
        <w:pStyle w:val="ListParagraph"/>
        <w:spacing w:after="0" w:line="240" w:lineRule="auto"/>
        <w:ind w:left="0" w:firstLine="284"/>
        <w:jc w:val="both"/>
        <w:rPr>
          <w:rFonts w:ascii="Garamond" w:hAnsi="Garamond" w:cs="Times New Roman"/>
          <w:b/>
          <w:bCs/>
          <w:sz w:val="24"/>
          <w:szCs w:val="24"/>
        </w:rPr>
      </w:pPr>
      <w:r w:rsidRPr="00D83049">
        <w:rPr>
          <w:rFonts w:ascii="Garamond" w:hAnsi="Garamond" w:cs="Times New Roman"/>
          <w:b/>
          <w:bCs/>
          <w:sz w:val="24"/>
          <w:szCs w:val="24"/>
        </w:rPr>
        <w:t xml:space="preserve">1. Të dhëna mbi shoqërinë “SPV </w:t>
      </w:r>
      <w:r w:rsidR="00295085" w:rsidRPr="00D83049">
        <w:rPr>
          <w:rFonts w:ascii="Garamond" w:hAnsi="Garamond" w:cs="Times New Roman"/>
          <w:b/>
          <w:bCs/>
          <w:sz w:val="24"/>
          <w:szCs w:val="24"/>
        </w:rPr>
        <w:t xml:space="preserve">Blue </w:t>
      </w:r>
      <w:r w:rsidRPr="00D83049">
        <w:rPr>
          <w:rFonts w:ascii="Garamond" w:hAnsi="Garamond" w:cs="Times New Roman"/>
          <w:b/>
          <w:bCs/>
          <w:sz w:val="24"/>
          <w:szCs w:val="24"/>
        </w:rPr>
        <w:t>1” sh.p.k.</w:t>
      </w:r>
    </w:p>
    <w:p w14:paraId="5C3317AD" w14:textId="7AA057FC" w:rsidR="00D83049" w:rsidRPr="00D83049" w:rsidRDefault="00D83049" w:rsidP="00D83049">
      <w:pPr>
        <w:pStyle w:val="ListParagraph"/>
        <w:spacing w:after="0" w:line="240" w:lineRule="auto"/>
        <w:ind w:left="0" w:firstLine="284"/>
        <w:jc w:val="both"/>
        <w:rPr>
          <w:rFonts w:ascii="Garamond" w:hAnsi="Garamond" w:cs="Times New Roman"/>
          <w:i/>
          <w:iCs/>
          <w:sz w:val="24"/>
          <w:szCs w:val="24"/>
        </w:rPr>
      </w:pPr>
      <w:r w:rsidRPr="00D83049">
        <w:rPr>
          <w:rFonts w:ascii="Garamond" w:hAnsi="Garamond" w:cs="Times New Roman"/>
          <w:sz w:val="24"/>
          <w:szCs w:val="24"/>
        </w:rPr>
        <w:t>- Shoqëria “SPV BLUE 1</w:t>
      </w:r>
      <w:r w:rsidRPr="00D83049">
        <w:rPr>
          <w:rFonts w:ascii="Garamond" w:hAnsi="Garamond" w:cs="Times New Roman"/>
          <w:spacing w:val="15"/>
          <w:sz w:val="24"/>
          <w:szCs w:val="24"/>
        </w:rPr>
        <w:t>” sh.p.k.</w:t>
      </w:r>
      <w:r w:rsidRPr="00D83049">
        <w:rPr>
          <w:rFonts w:ascii="Garamond" w:hAnsi="Garamond" w:cs="Times New Roman"/>
          <w:sz w:val="24"/>
          <w:szCs w:val="24"/>
        </w:rPr>
        <w:t xml:space="preserve"> është licencuar në veprimtarinë e prodhimit të energjisë elektrike me vendimin e </w:t>
      </w:r>
      <w:r w:rsidR="00295085" w:rsidRPr="00D83049">
        <w:rPr>
          <w:rFonts w:ascii="Garamond" w:hAnsi="Garamond" w:cs="Times New Roman"/>
          <w:sz w:val="24"/>
          <w:szCs w:val="24"/>
        </w:rPr>
        <w:t xml:space="preserve">Bordit </w:t>
      </w:r>
      <w:r w:rsidRPr="00D83049">
        <w:rPr>
          <w:rFonts w:ascii="Garamond" w:hAnsi="Garamond" w:cs="Times New Roman"/>
          <w:sz w:val="24"/>
          <w:szCs w:val="24"/>
        </w:rPr>
        <w:t>të ERE-s nr. 116</w:t>
      </w:r>
      <w:r w:rsidR="00295085">
        <w:rPr>
          <w:rFonts w:ascii="Garamond" w:hAnsi="Garamond" w:cs="Times New Roman"/>
          <w:sz w:val="24"/>
          <w:szCs w:val="24"/>
        </w:rPr>
        <w:t>,</w:t>
      </w:r>
      <w:r w:rsidRPr="00D83049">
        <w:rPr>
          <w:rFonts w:ascii="Garamond" w:hAnsi="Garamond" w:cs="Times New Roman"/>
          <w:sz w:val="24"/>
          <w:szCs w:val="24"/>
        </w:rPr>
        <w:t xml:space="preserve"> </w:t>
      </w:r>
      <w:r w:rsidR="00295085">
        <w:rPr>
          <w:rFonts w:ascii="Garamond" w:hAnsi="Garamond" w:cs="Times New Roman"/>
          <w:sz w:val="24"/>
          <w:szCs w:val="24"/>
        </w:rPr>
        <w:t>m</w:t>
      </w:r>
      <w:r w:rsidRPr="00D83049">
        <w:rPr>
          <w:rFonts w:ascii="Garamond" w:hAnsi="Garamond" w:cs="Times New Roman"/>
          <w:sz w:val="24"/>
          <w:szCs w:val="24"/>
        </w:rPr>
        <w:t xml:space="preserve">ë datë 24.5.2022 për centralin fotovoltaik me kapacitet 50 </w:t>
      </w:r>
      <w:r w:rsidR="00295085" w:rsidRPr="00D83049">
        <w:rPr>
          <w:rFonts w:ascii="Garamond" w:hAnsi="Garamond" w:cs="Times New Roman"/>
          <w:sz w:val="24"/>
          <w:szCs w:val="24"/>
        </w:rPr>
        <w:t>mw</w:t>
      </w:r>
      <w:r w:rsidRPr="00D83049">
        <w:rPr>
          <w:rFonts w:ascii="Garamond" w:hAnsi="Garamond" w:cs="Times New Roman"/>
          <w:sz w:val="24"/>
          <w:szCs w:val="24"/>
        </w:rPr>
        <w:t xml:space="preserve">, në Sheq Marinas. Ndërsa me vendimin nr. 147, datë 24.4.2023, është miratuar dhënia e autorizimit të ERE-s për vendosjen e kuotave të shoqërisë “SPV </w:t>
      </w:r>
      <w:r w:rsidR="00295085" w:rsidRPr="00D83049">
        <w:rPr>
          <w:rFonts w:ascii="Garamond" w:hAnsi="Garamond" w:cs="Times New Roman"/>
          <w:sz w:val="24"/>
          <w:szCs w:val="24"/>
        </w:rPr>
        <w:t xml:space="preserve">Blue </w:t>
      </w:r>
      <w:r w:rsidRPr="00D83049">
        <w:rPr>
          <w:rFonts w:ascii="Garamond" w:hAnsi="Garamond" w:cs="Times New Roman"/>
          <w:sz w:val="24"/>
          <w:szCs w:val="24"/>
        </w:rPr>
        <w:t>1” sh.p.k.</w:t>
      </w:r>
      <w:r w:rsidR="00295085">
        <w:rPr>
          <w:rFonts w:ascii="Garamond" w:hAnsi="Garamond" w:cs="Times New Roman"/>
          <w:sz w:val="24"/>
          <w:szCs w:val="24"/>
        </w:rPr>
        <w:t>,</w:t>
      </w:r>
      <w:r w:rsidRPr="00D83049">
        <w:rPr>
          <w:rFonts w:ascii="Garamond" w:hAnsi="Garamond" w:cs="Times New Roman"/>
          <w:sz w:val="24"/>
          <w:szCs w:val="24"/>
        </w:rPr>
        <w:t xml:space="preserve"> si mjet për të garantuar përmbushjen e detyrimit ndaj “</w:t>
      </w:r>
      <w:r w:rsidR="00295085" w:rsidRPr="00D83049">
        <w:rPr>
          <w:rFonts w:ascii="Garamond" w:hAnsi="Garamond" w:cs="Times New Roman"/>
          <w:sz w:val="24"/>
          <w:szCs w:val="24"/>
        </w:rPr>
        <w:t xml:space="preserve">Green for Growth Fund Southeast Europe </w:t>
      </w:r>
      <w:r w:rsidRPr="00D83049">
        <w:rPr>
          <w:rFonts w:ascii="Garamond" w:hAnsi="Garamond" w:cs="Times New Roman"/>
          <w:sz w:val="24"/>
          <w:szCs w:val="24"/>
        </w:rPr>
        <w:t>S.A., SICAV-SIV”.</w:t>
      </w:r>
    </w:p>
    <w:p w14:paraId="7FCD2231" w14:textId="2941E90E" w:rsidR="00D83049" w:rsidRPr="00D83049" w:rsidRDefault="00D83049" w:rsidP="00D83049">
      <w:pPr>
        <w:pStyle w:val="ListParagraph"/>
        <w:spacing w:after="0" w:line="240" w:lineRule="auto"/>
        <w:ind w:left="0" w:firstLine="284"/>
        <w:jc w:val="both"/>
        <w:rPr>
          <w:rFonts w:ascii="Garamond" w:hAnsi="Garamond" w:cs="Times New Roman"/>
          <w:sz w:val="24"/>
          <w:szCs w:val="24"/>
        </w:rPr>
      </w:pPr>
      <w:r w:rsidRPr="00D83049">
        <w:rPr>
          <w:rFonts w:ascii="Garamond" w:hAnsi="Garamond" w:cs="Times New Roman"/>
          <w:b/>
          <w:bCs/>
          <w:sz w:val="24"/>
          <w:szCs w:val="24"/>
        </w:rPr>
        <w:t xml:space="preserve">2. Korrespondenca dhe </w:t>
      </w:r>
      <w:r w:rsidR="00295085" w:rsidRPr="00D83049">
        <w:rPr>
          <w:rFonts w:ascii="Garamond" w:hAnsi="Garamond" w:cs="Times New Roman"/>
          <w:b/>
          <w:bCs/>
          <w:sz w:val="24"/>
          <w:szCs w:val="24"/>
        </w:rPr>
        <w:t>dokumentacioni i depozituar nga shoqëria</w:t>
      </w:r>
    </w:p>
    <w:p w14:paraId="7BA5A590" w14:textId="34F1CBCD" w:rsidR="00D83049" w:rsidRPr="00295085" w:rsidRDefault="00D83049" w:rsidP="00D83049">
      <w:pPr>
        <w:pStyle w:val="ListParagraph"/>
        <w:spacing w:after="0" w:line="240" w:lineRule="auto"/>
        <w:ind w:left="0" w:firstLine="284"/>
        <w:jc w:val="both"/>
        <w:rPr>
          <w:rFonts w:ascii="Garamond" w:hAnsi="Garamond" w:cs="Times New Roman"/>
          <w:sz w:val="24"/>
          <w:szCs w:val="24"/>
        </w:rPr>
      </w:pPr>
      <w:r w:rsidRPr="00D83049">
        <w:rPr>
          <w:rFonts w:ascii="Garamond" w:hAnsi="Garamond"/>
          <w:sz w:val="24"/>
          <w:szCs w:val="24"/>
        </w:rPr>
        <w:t xml:space="preserve">- </w:t>
      </w:r>
      <w:r w:rsidRPr="00D83049">
        <w:rPr>
          <w:rFonts w:ascii="Garamond" w:hAnsi="Garamond" w:cs="Times New Roman"/>
          <w:sz w:val="24"/>
          <w:szCs w:val="24"/>
        </w:rPr>
        <w:t xml:space="preserve">Shoqëria “SPV BLUE 1” sh.p.k., me shkresën e protokolluar në ERE me nr. 2116 prot., datë 17.7.2025, ka paraqitur pranë ERE-s kërkesën për ndryshimin e pikës 1 të vendimit të </w:t>
      </w:r>
      <w:r w:rsidR="00295085" w:rsidRPr="00D83049">
        <w:rPr>
          <w:rFonts w:ascii="Garamond" w:hAnsi="Garamond" w:cs="Times New Roman"/>
          <w:sz w:val="24"/>
          <w:szCs w:val="24"/>
        </w:rPr>
        <w:t xml:space="preserve">Bordit </w:t>
      </w:r>
      <w:r w:rsidRPr="00D83049">
        <w:rPr>
          <w:rFonts w:ascii="Garamond" w:hAnsi="Garamond" w:cs="Times New Roman"/>
          <w:sz w:val="24"/>
          <w:szCs w:val="24"/>
        </w:rPr>
        <w:t xml:space="preserve">të ERE-s nr. 147, datë 24.4.2023, me qëllim </w:t>
      </w:r>
      <w:r w:rsidRPr="00295085">
        <w:rPr>
          <w:rFonts w:ascii="Garamond" w:hAnsi="Garamond" w:cs="Times New Roman"/>
          <w:sz w:val="24"/>
          <w:szCs w:val="24"/>
        </w:rPr>
        <w:t>zëvendësimin e përfituesit ekzistues të barrës siguruese, “Green for Growth Fund Southeast Europe S.A., SICAV-SIF”, me kredidhënësit e rinj: “Banka e Parë e Investimeve – Albania” sh.a. dhe “First Investment Bank AD” (Bullgari).</w:t>
      </w:r>
    </w:p>
    <w:p w14:paraId="1CCD7795" w14:textId="4D4B1DC9" w:rsidR="00D83049" w:rsidRPr="006A0BF1" w:rsidRDefault="00D83049" w:rsidP="00D83049">
      <w:pPr>
        <w:pStyle w:val="ListParagraph"/>
        <w:spacing w:after="0" w:line="240" w:lineRule="auto"/>
        <w:ind w:left="0" w:firstLine="284"/>
        <w:jc w:val="both"/>
        <w:rPr>
          <w:rFonts w:ascii="Garamond" w:hAnsi="Garamond" w:cs="Times New Roman"/>
          <w:sz w:val="24"/>
          <w:szCs w:val="24"/>
        </w:rPr>
      </w:pPr>
      <w:r w:rsidRPr="006A0BF1">
        <w:rPr>
          <w:rFonts w:ascii="Garamond" w:hAnsi="Garamond"/>
          <w:sz w:val="24"/>
          <w:szCs w:val="24"/>
        </w:rPr>
        <w:t xml:space="preserve">- </w:t>
      </w:r>
      <w:r w:rsidRPr="006A0BF1">
        <w:rPr>
          <w:rFonts w:ascii="Garamond" w:hAnsi="Garamond" w:cs="Times New Roman"/>
          <w:sz w:val="24"/>
          <w:szCs w:val="24"/>
        </w:rPr>
        <w:t xml:space="preserve">Kërkesa ka si objekt miratimin e vendosjes së një barre të re siguruese mbi kuotat e shoqërisë, në favor të kredidhënësve të rinj, në kuadër të rifinancimit të huas ekzistuese, nëpërmjet një marrëveshjeje të re kredie të nënshkruar më datë 25.6.2025. Sipas dokumentacionit të depozituar, barra siguruese do të vendoset mbi 100% të kuotave të kapitalit të shoqërisë “SPV </w:t>
      </w:r>
      <w:r w:rsidR="00295085" w:rsidRPr="006A0BF1">
        <w:rPr>
          <w:rFonts w:ascii="Garamond" w:hAnsi="Garamond" w:cs="Times New Roman"/>
          <w:sz w:val="24"/>
          <w:szCs w:val="24"/>
        </w:rPr>
        <w:t xml:space="preserve">Blue </w:t>
      </w:r>
      <w:r w:rsidRPr="006A0BF1">
        <w:rPr>
          <w:rFonts w:ascii="Garamond" w:hAnsi="Garamond" w:cs="Times New Roman"/>
          <w:sz w:val="24"/>
          <w:szCs w:val="24"/>
        </w:rPr>
        <w:t>1” sh.p.k.</w:t>
      </w:r>
    </w:p>
    <w:p w14:paraId="117142C2" w14:textId="5EF0F22F" w:rsidR="00D83049" w:rsidRPr="00DA7222" w:rsidRDefault="00D83049" w:rsidP="00DA7222">
      <w:pPr>
        <w:pStyle w:val="ListParagraph"/>
        <w:spacing w:after="0" w:line="240" w:lineRule="auto"/>
        <w:ind w:left="0" w:firstLine="284"/>
        <w:jc w:val="both"/>
        <w:rPr>
          <w:rFonts w:ascii="Garamond" w:hAnsi="Garamond" w:cs="Times New Roman"/>
          <w:sz w:val="24"/>
          <w:szCs w:val="24"/>
          <w:lang w:val="en-US"/>
        </w:rPr>
      </w:pPr>
      <w:r w:rsidRPr="006A0BF1">
        <w:rPr>
          <w:rFonts w:ascii="Garamond" w:hAnsi="Garamond"/>
          <w:sz w:val="24"/>
          <w:szCs w:val="24"/>
        </w:rPr>
        <w:t xml:space="preserve">- </w:t>
      </w:r>
      <w:r w:rsidRPr="006A0BF1">
        <w:rPr>
          <w:rFonts w:ascii="Garamond" w:hAnsi="Garamond" w:cs="Times New Roman"/>
          <w:sz w:val="24"/>
          <w:szCs w:val="24"/>
        </w:rPr>
        <w:t>Në kuadër të shqyrtimit të kësaj kërkese, shoqëria ka depozituar dokumentacionin përkatës, përfshirë: kontratën e re të kredisë dhe marrëveshjen për vendosjen e barrës siguruese mbi kuotat e shoqërisë; vendimin e Asamblesë së Ortakëve për miratimin e vendosjes së barrës siguruese mbi kuotat; deklaratën e administratorit mbi mungesën e barr</w:t>
      </w:r>
      <w:r w:rsidR="00295085">
        <w:rPr>
          <w:rFonts w:ascii="Garamond" w:hAnsi="Garamond" w:cs="Times New Roman"/>
          <w:sz w:val="24"/>
          <w:szCs w:val="24"/>
        </w:rPr>
        <w:t>ë</w:t>
      </w:r>
      <w:r w:rsidRPr="006A0BF1">
        <w:rPr>
          <w:rFonts w:ascii="Garamond" w:hAnsi="Garamond" w:cs="Times New Roman"/>
          <w:sz w:val="24"/>
          <w:szCs w:val="24"/>
        </w:rPr>
        <w:t xml:space="preserve">ve të tjera të regjistruara mbi kuotat; miratimin paraprak me shkrim nga kreditori ekzistues “Green for Growth Fund Southeast Europe S.A., SICAV-SIF” për transferimin e barrës; si dhe vërtetimin nga Regjistri i </w:t>
      </w:r>
      <w:r w:rsidR="00295085" w:rsidRPr="006A0BF1">
        <w:rPr>
          <w:rFonts w:ascii="Garamond" w:hAnsi="Garamond" w:cs="Times New Roman"/>
          <w:sz w:val="24"/>
          <w:szCs w:val="24"/>
        </w:rPr>
        <w:t>Barrëve</w:t>
      </w:r>
      <w:r w:rsidRPr="006A0BF1">
        <w:rPr>
          <w:rFonts w:ascii="Garamond" w:hAnsi="Garamond" w:cs="Times New Roman"/>
          <w:sz w:val="24"/>
          <w:szCs w:val="24"/>
        </w:rPr>
        <w:t xml:space="preserve"> Siguruese mbi gjendjen e regjistrimeve ekzistuese.</w:t>
      </w:r>
    </w:p>
    <w:p w14:paraId="411AC5B9" w14:textId="0B94A0B9" w:rsidR="00D83049" w:rsidRPr="00D83049" w:rsidRDefault="00D83049" w:rsidP="00D83049">
      <w:pPr>
        <w:pStyle w:val="ListParagraph"/>
        <w:spacing w:after="0" w:line="240" w:lineRule="auto"/>
        <w:ind w:left="0" w:firstLine="284"/>
        <w:jc w:val="both"/>
        <w:rPr>
          <w:rFonts w:ascii="Garamond" w:hAnsi="Garamond" w:cs="Times New Roman"/>
          <w:sz w:val="24"/>
          <w:szCs w:val="24"/>
        </w:rPr>
      </w:pPr>
      <w:r w:rsidRPr="006A0BF1">
        <w:rPr>
          <w:rFonts w:ascii="Garamond" w:hAnsi="Garamond"/>
          <w:sz w:val="24"/>
          <w:szCs w:val="24"/>
        </w:rPr>
        <w:t xml:space="preserve">- </w:t>
      </w:r>
      <w:r w:rsidRPr="006A0BF1">
        <w:rPr>
          <w:rFonts w:ascii="Garamond" w:hAnsi="Garamond" w:cs="Times New Roman"/>
          <w:sz w:val="24"/>
          <w:szCs w:val="24"/>
        </w:rPr>
        <w:t>Shoqëria deklaron se qëllimi i kërkesës është zëvendësimi i kreditorit ekzistues dhe rifinancimi i</w:t>
      </w:r>
      <w:r w:rsidRPr="00D83049">
        <w:rPr>
          <w:rFonts w:ascii="Garamond" w:hAnsi="Garamond" w:cs="Times New Roman"/>
          <w:sz w:val="24"/>
          <w:szCs w:val="24"/>
        </w:rPr>
        <w:t xml:space="preserve"> detyrimeve aktuale përmes një marrëveshjeje të re kredie, duke ruajtur të pandryshuar objektin e barrës siguruese – kuotat e kapitalit të shoqërisë.</w:t>
      </w:r>
    </w:p>
    <w:p w14:paraId="59C64108" w14:textId="62F4701B" w:rsidR="00D83049" w:rsidRPr="00D83049" w:rsidRDefault="00D83049" w:rsidP="00D83049">
      <w:pPr>
        <w:pStyle w:val="Heading3"/>
        <w:spacing w:before="0" w:line="240" w:lineRule="auto"/>
        <w:ind w:firstLine="284"/>
        <w:jc w:val="both"/>
        <w:rPr>
          <w:rFonts w:ascii="Garamond" w:hAnsi="Garamond"/>
          <w:b/>
          <w:bCs/>
          <w:color w:val="auto"/>
        </w:rPr>
      </w:pPr>
      <w:r w:rsidRPr="00D83049">
        <w:rPr>
          <w:rFonts w:ascii="Garamond" w:hAnsi="Garamond"/>
          <w:b/>
          <w:bCs/>
          <w:color w:val="auto"/>
        </w:rPr>
        <w:lastRenderedPageBreak/>
        <w:t xml:space="preserve">3. Analiza </w:t>
      </w:r>
      <w:r w:rsidR="00295085" w:rsidRPr="00D83049">
        <w:rPr>
          <w:rFonts w:ascii="Garamond" w:hAnsi="Garamond"/>
          <w:b/>
          <w:bCs/>
          <w:color w:val="auto"/>
        </w:rPr>
        <w:t>ligjore dhe vlerësimi</w:t>
      </w:r>
    </w:p>
    <w:p w14:paraId="25B9BAFB" w14:textId="1E0262F6" w:rsidR="00D83049" w:rsidRPr="00D83049" w:rsidRDefault="00D83049" w:rsidP="00D83049">
      <w:pPr>
        <w:pStyle w:val="Heading3"/>
        <w:keepLines w:val="0"/>
        <w:spacing w:before="0" w:line="240" w:lineRule="auto"/>
        <w:ind w:firstLine="284"/>
        <w:jc w:val="both"/>
        <w:rPr>
          <w:rFonts w:ascii="Garamond" w:hAnsi="Garamond"/>
          <w:b/>
          <w:bCs/>
          <w:color w:val="auto"/>
        </w:rPr>
      </w:pPr>
      <w:r w:rsidRPr="00D83049">
        <w:rPr>
          <w:rFonts w:ascii="Garamond" w:hAnsi="Garamond" w:cs="Calibri"/>
          <w:color w:val="auto"/>
        </w:rPr>
        <w:t xml:space="preserve">- </w:t>
      </w:r>
      <w:r w:rsidRPr="00D83049">
        <w:rPr>
          <w:rFonts w:ascii="Garamond" w:hAnsi="Garamond"/>
          <w:color w:val="auto"/>
        </w:rPr>
        <w:t xml:space="preserve">Në përputhje me kuadrin ligjor dhe rregullator në fuqi, vlerësohet se kërkesa e shoqërisë “SPV </w:t>
      </w:r>
      <w:r w:rsidR="00295085" w:rsidRPr="00D83049">
        <w:rPr>
          <w:rFonts w:ascii="Garamond" w:hAnsi="Garamond"/>
          <w:color w:val="auto"/>
        </w:rPr>
        <w:t xml:space="preserve">Blue </w:t>
      </w:r>
      <w:r w:rsidRPr="00D83049">
        <w:rPr>
          <w:rFonts w:ascii="Garamond" w:hAnsi="Garamond"/>
          <w:color w:val="auto"/>
        </w:rPr>
        <w:t>1” sh.p.k. për autorizimin e vendosjes së barrës siguruese mbi kuotat e saj është e mbështetur në dokumentacion të plotë dhe të rregullt. Objekt i barrës mbeten 100% e kuotave të kapitalit të shoqërisë, të njëjtat që janë përfshirë në autorizimin fillestar të dhënë me vendimin nr. 147, datë 24.4.2023</w:t>
      </w:r>
      <w:r w:rsidR="00295085">
        <w:rPr>
          <w:rFonts w:ascii="Garamond" w:hAnsi="Garamond"/>
          <w:color w:val="auto"/>
        </w:rPr>
        <w:t>,</w:t>
      </w:r>
      <w:r w:rsidRPr="00D83049">
        <w:rPr>
          <w:rFonts w:ascii="Garamond" w:hAnsi="Garamond"/>
          <w:color w:val="auto"/>
        </w:rPr>
        <w:t xml:space="preserve"> të </w:t>
      </w:r>
      <w:r w:rsidR="00295085" w:rsidRPr="00D83049">
        <w:rPr>
          <w:rFonts w:ascii="Garamond" w:hAnsi="Garamond"/>
          <w:color w:val="auto"/>
        </w:rPr>
        <w:t xml:space="preserve">Bordit </w:t>
      </w:r>
      <w:r w:rsidRPr="00D83049">
        <w:rPr>
          <w:rFonts w:ascii="Garamond" w:hAnsi="Garamond"/>
          <w:color w:val="auto"/>
        </w:rPr>
        <w:t>të ERE-s.</w:t>
      </w:r>
    </w:p>
    <w:p w14:paraId="6146F850" w14:textId="70E5D06A" w:rsidR="00D83049" w:rsidRPr="00D83049" w:rsidRDefault="00D83049" w:rsidP="00D83049">
      <w:pPr>
        <w:pStyle w:val="ListParagraph"/>
        <w:spacing w:after="0" w:line="240" w:lineRule="auto"/>
        <w:ind w:left="0" w:firstLine="284"/>
        <w:jc w:val="both"/>
        <w:rPr>
          <w:rFonts w:ascii="Garamond" w:hAnsi="Garamond" w:cs="Times New Roman"/>
          <w:sz w:val="24"/>
          <w:szCs w:val="24"/>
        </w:rPr>
      </w:pPr>
      <w:r w:rsidRPr="00D83049">
        <w:rPr>
          <w:rFonts w:ascii="Garamond" w:hAnsi="Garamond"/>
          <w:sz w:val="24"/>
          <w:szCs w:val="24"/>
        </w:rPr>
        <w:t xml:space="preserve">- </w:t>
      </w:r>
      <w:r w:rsidRPr="00D83049">
        <w:rPr>
          <w:rFonts w:ascii="Garamond" w:hAnsi="Garamond" w:cs="Times New Roman"/>
          <w:sz w:val="24"/>
          <w:szCs w:val="24"/>
        </w:rPr>
        <w:t>Marrëdhënia e re financiare është konsoliduar nëpërmjet nënshkrimit të një kontrate kredie me dy banka të licencuara – “Banka e Parë e Investimeve – Albania” sh.a. dhe “First Investment Bank AD” (Bullgari) – të cilat kanë paraqitur dokumentacionin përkatës, përfshirë kontratën e kredisë dhe marrëveshjen për vendosjen e barrës mbi kuotat e shoqërisë.</w:t>
      </w:r>
    </w:p>
    <w:p w14:paraId="7AB0F9B0" w14:textId="3AD3FD14" w:rsidR="00D83049" w:rsidRPr="00D83049" w:rsidRDefault="00D83049" w:rsidP="00D83049">
      <w:pPr>
        <w:pStyle w:val="ListParagraph"/>
        <w:spacing w:after="0" w:line="240" w:lineRule="auto"/>
        <w:ind w:left="0" w:firstLine="284"/>
        <w:jc w:val="both"/>
        <w:rPr>
          <w:rFonts w:ascii="Garamond" w:hAnsi="Garamond" w:cs="Times New Roman"/>
          <w:sz w:val="24"/>
          <w:szCs w:val="24"/>
        </w:rPr>
      </w:pPr>
      <w:r w:rsidRPr="00D83049">
        <w:rPr>
          <w:rFonts w:ascii="Garamond" w:hAnsi="Garamond"/>
          <w:sz w:val="24"/>
          <w:szCs w:val="24"/>
        </w:rPr>
        <w:t xml:space="preserve">- </w:t>
      </w:r>
      <w:r w:rsidRPr="00D83049">
        <w:rPr>
          <w:rFonts w:ascii="Garamond" w:hAnsi="Garamond" w:cs="Times New Roman"/>
          <w:sz w:val="24"/>
          <w:szCs w:val="24"/>
        </w:rPr>
        <w:t>Në këtë kuadër, vlerësohet se objekti i autorizimit nuk pëson ndryshim thelbësor, ndërsa ndryshimi i propozuar lidhet me rifinancimin e marrëdhënies ekzistuese dhe zëvendësimin e kredidhënësit me dy institucione të tjera financiare, duke ruajtur natyrën dhe qëllimin e garancisë. Kërkesa konsiderohet e justifikuar në aspektin ekonomik dhe juridik dhe përmbush të gjitha kriteret për miratim nga ERE.</w:t>
      </w:r>
    </w:p>
    <w:p w14:paraId="7267D2F7" w14:textId="225B7205" w:rsidR="00D83049" w:rsidRPr="00D83049" w:rsidRDefault="00D83049" w:rsidP="00D83049">
      <w:pPr>
        <w:pStyle w:val="ListParagraph"/>
        <w:spacing w:after="0" w:line="240" w:lineRule="auto"/>
        <w:ind w:left="0" w:firstLine="284"/>
        <w:jc w:val="both"/>
        <w:rPr>
          <w:rFonts w:ascii="Garamond" w:hAnsi="Garamond" w:cs="Times New Roman"/>
          <w:sz w:val="24"/>
          <w:szCs w:val="24"/>
        </w:rPr>
      </w:pPr>
      <w:r w:rsidRPr="00D83049">
        <w:rPr>
          <w:rFonts w:ascii="Garamond" w:hAnsi="Garamond"/>
          <w:sz w:val="24"/>
          <w:szCs w:val="24"/>
        </w:rPr>
        <w:t xml:space="preserve">- </w:t>
      </w:r>
      <w:r w:rsidRPr="00D83049">
        <w:rPr>
          <w:rFonts w:ascii="Garamond" w:hAnsi="Garamond" w:cs="Times New Roman"/>
          <w:sz w:val="24"/>
          <w:szCs w:val="24"/>
        </w:rPr>
        <w:t>Të gjitha dokumentet janë dorëzuar në kopje të nj</w:t>
      </w:r>
      <w:r w:rsidR="00295085">
        <w:rPr>
          <w:rFonts w:ascii="Garamond" w:hAnsi="Garamond" w:cs="Times New Roman"/>
          <w:sz w:val="24"/>
          <w:szCs w:val="24"/>
        </w:rPr>
        <w:t>ë</w:t>
      </w:r>
      <w:r w:rsidRPr="00D83049">
        <w:rPr>
          <w:rFonts w:ascii="Garamond" w:hAnsi="Garamond" w:cs="Times New Roman"/>
          <w:sz w:val="24"/>
          <w:szCs w:val="24"/>
        </w:rPr>
        <w:t>suara me origjinalin, të përkthyera në gjuhën shqipe dhe të noterizuara.</w:t>
      </w:r>
    </w:p>
    <w:p w14:paraId="14153BA7" w14:textId="765E5450" w:rsidR="00D83049" w:rsidRPr="00D83049" w:rsidRDefault="00D83049" w:rsidP="00D83049">
      <w:pPr>
        <w:pStyle w:val="Heading3"/>
        <w:spacing w:before="0" w:line="240" w:lineRule="auto"/>
        <w:ind w:firstLine="284"/>
        <w:rPr>
          <w:rFonts w:ascii="Garamond" w:hAnsi="Garamond"/>
          <w:b/>
          <w:bCs/>
          <w:color w:val="auto"/>
        </w:rPr>
      </w:pPr>
      <w:r w:rsidRPr="00D83049">
        <w:rPr>
          <w:rFonts w:ascii="Garamond" w:hAnsi="Garamond"/>
          <w:b/>
          <w:bCs/>
          <w:color w:val="auto"/>
        </w:rPr>
        <w:t xml:space="preserve">4. Nevoja për </w:t>
      </w:r>
      <w:r w:rsidR="00295085" w:rsidRPr="00D83049">
        <w:rPr>
          <w:rFonts w:ascii="Garamond" w:hAnsi="Garamond"/>
          <w:b/>
          <w:bCs/>
          <w:color w:val="auto"/>
        </w:rPr>
        <w:t>ndryshimin e vendimit</w:t>
      </w:r>
    </w:p>
    <w:p w14:paraId="0D9E3B21" w14:textId="067D7F75" w:rsidR="00D83049" w:rsidRPr="00D83049" w:rsidRDefault="00D83049" w:rsidP="00D83049">
      <w:pPr>
        <w:pStyle w:val="Heading3"/>
        <w:keepLines w:val="0"/>
        <w:spacing w:before="0" w:line="240" w:lineRule="auto"/>
        <w:ind w:firstLine="284"/>
        <w:jc w:val="both"/>
        <w:rPr>
          <w:rFonts w:ascii="Garamond" w:hAnsi="Garamond"/>
          <w:b/>
          <w:bCs/>
          <w:color w:val="auto"/>
        </w:rPr>
      </w:pPr>
      <w:r w:rsidRPr="00D83049">
        <w:rPr>
          <w:rFonts w:ascii="Garamond" w:hAnsi="Garamond" w:cs="Calibri"/>
          <w:color w:val="auto"/>
        </w:rPr>
        <w:t xml:space="preserve">- </w:t>
      </w:r>
      <w:r w:rsidRPr="00D83049">
        <w:rPr>
          <w:rFonts w:ascii="Garamond" w:hAnsi="Garamond"/>
          <w:color w:val="auto"/>
        </w:rPr>
        <w:t>Në zbatim të nenit 113</w:t>
      </w:r>
      <w:r w:rsidR="00295085">
        <w:rPr>
          <w:rFonts w:ascii="Garamond" w:hAnsi="Garamond"/>
          <w:color w:val="auto"/>
        </w:rPr>
        <w:t>,</w:t>
      </w:r>
      <w:r w:rsidRPr="00D83049">
        <w:rPr>
          <w:rFonts w:ascii="Garamond" w:hAnsi="Garamond"/>
          <w:color w:val="auto"/>
        </w:rPr>
        <w:t xml:space="preserve"> të </w:t>
      </w:r>
      <w:r w:rsidR="00295085" w:rsidRPr="00D83049">
        <w:rPr>
          <w:rFonts w:ascii="Garamond" w:hAnsi="Garamond"/>
          <w:color w:val="auto"/>
        </w:rPr>
        <w:t xml:space="preserve">ligjit </w:t>
      </w:r>
      <w:r w:rsidRPr="00D83049">
        <w:rPr>
          <w:rFonts w:ascii="Garamond" w:hAnsi="Garamond"/>
          <w:color w:val="auto"/>
        </w:rPr>
        <w:t>nr. 44/2015</w:t>
      </w:r>
      <w:r w:rsidR="00295085">
        <w:rPr>
          <w:rFonts w:ascii="Garamond" w:hAnsi="Garamond"/>
          <w:color w:val="auto"/>
        </w:rPr>
        <w:t>,</w:t>
      </w:r>
      <w:r w:rsidRPr="00D83049">
        <w:rPr>
          <w:rFonts w:ascii="Garamond" w:hAnsi="Garamond"/>
          <w:color w:val="auto"/>
        </w:rPr>
        <w:t xml:space="preserve"> “Kodi i Procedurave Administrative </w:t>
      </w:r>
      <w:r w:rsidR="00295085">
        <w:rPr>
          <w:rFonts w:ascii="Garamond" w:hAnsi="Garamond"/>
          <w:color w:val="auto"/>
        </w:rPr>
        <w:t>i</w:t>
      </w:r>
      <w:r w:rsidRPr="00D83049">
        <w:rPr>
          <w:rFonts w:ascii="Garamond" w:hAnsi="Garamond"/>
          <w:color w:val="auto"/>
        </w:rPr>
        <w:t xml:space="preserve"> Republikës së Shqipërisë”, i cili parashikon mundësinë për ndryshimin e një akti administrativ nga organi që e ka nxjerrë, kur paraqiten rrethana të reja faktike apo juridike, si dhe në funksion të garantimit të sigurisë juridike dhe transparencës së vendimmarrjes administrative, vlerësohet se pika 1 e vendimit të </w:t>
      </w:r>
      <w:r w:rsidR="00295085" w:rsidRPr="00D83049">
        <w:rPr>
          <w:rFonts w:ascii="Garamond" w:hAnsi="Garamond"/>
          <w:color w:val="auto"/>
        </w:rPr>
        <w:t xml:space="preserve">Bordit </w:t>
      </w:r>
      <w:r w:rsidRPr="00D83049">
        <w:rPr>
          <w:rFonts w:ascii="Garamond" w:hAnsi="Garamond"/>
          <w:color w:val="auto"/>
        </w:rPr>
        <w:t xml:space="preserve">të ERE nr. 147, datë 24.4.2023, duhet të ndryshohet për të reflektuar kreditorët e rinj – “Banka e Parë e Investimeve – Albania” sh.a. dhe “First Investment Bank AD” (Bullgari) – si përfitues të barrës siguruese mbi kuotat e shoqërisë “SPV </w:t>
      </w:r>
      <w:r w:rsidR="00295085" w:rsidRPr="00D83049">
        <w:rPr>
          <w:rFonts w:ascii="Garamond" w:hAnsi="Garamond"/>
          <w:color w:val="auto"/>
        </w:rPr>
        <w:t xml:space="preserve">Blue </w:t>
      </w:r>
      <w:r w:rsidRPr="00D83049">
        <w:rPr>
          <w:rFonts w:ascii="Garamond" w:hAnsi="Garamond"/>
          <w:color w:val="auto"/>
        </w:rPr>
        <w:t>1” sh.p.k.</w:t>
      </w:r>
    </w:p>
    <w:p w14:paraId="112E4C2D" w14:textId="2B772343" w:rsidR="00D83049" w:rsidRPr="00D83049" w:rsidRDefault="00D83049" w:rsidP="00D83049">
      <w:pPr>
        <w:pStyle w:val="CommentText"/>
        <w:ind w:firstLine="284"/>
        <w:jc w:val="both"/>
        <w:rPr>
          <w:rFonts w:ascii="Garamond" w:hAnsi="Garamond"/>
          <w:sz w:val="24"/>
          <w:szCs w:val="24"/>
        </w:rPr>
      </w:pPr>
      <w:r w:rsidRPr="00D83049">
        <w:rPr>
          <w:rFonts w:ascii="Garamond" w:hAnsi="Garamond"/>
          <w:sz w:val="24"/>
          <w:szCs w:val="24"/>
        </w:rPr>
        <w:t xml:space="preserve">Për gjithë sa më sipër, </w:t>
      </w:r>
      <w:r w:rsidR="00295085" w:rsidRPr="00D83049">
        <w:rPr>
          <w:rFonts w:ascii="Garamond" w:hAnsi="Garamond"/>
          <w:sz w:val="24"/>
          <w:szCs w:val="24"/>
        </w:rPr>
        <w:t xml:space="preserve">Bordi </w:t>
      </w:r>
      <w:r w:rsidRPr="00D83049">
        <w:rPr>
          <w:rFonts w:ascii="Garamond" w:hAnsi="Garamond"/>
          <w:sz w:val="24"/>
          <w:szCs w:val="24"/>
        </w:rPr>
        <w:t>i ERE-s</w:t>
      </w:r>
    </w:p>
    <w:p w14:paraId="7573454F" w14:textId="77777777" w:rsidR="00D83049" w:rsidRPr="00D83049" w:rsidRDefault="00D83049" w:rsidP="00D83049">
      <w:pPr>
        <w:pStyle w:val="CommentText"/>
        <w:ind w:firstLine="284"/>
        <w:jc w:val="both"/>
        <w:rPr>
          <w:rFonts w:ascii="Garamond" w:hAnsi="Garamond"/>
          <w:sz w:val="24"/>
          <w:szCs w:val="24"/>
        </w:rPr>
      </w:pPr>
    </w:p>
    <w:p w14:paraId="382D15D7" w14:textId="70908D79" w:rsidR="00D83049" w:rsidRPr="00D83049" w:rsidRDefault="00D83049" w:rsidP="00D83049">
      <w:pPr>
        <w:pStyle w:val="CommentText"/>
        <w:ind w:firstLine="284"/>
        <w:jc w:val="center"/>
        <w:rPr>
          <w:rFonts w:ascii="Garamond" w:hAnsi="Garamond"/>
          <w:bCs/>
          <w:sz w:val="24"/>
          <w:szCs w:val="24"/>
        </w:rPr>
      </w:pPr>
      <w:r w:rsidRPr="00D83049">
        <w:rPr>
          <w:rFonts w:ascii="Garamond" w:hAnsi="Garamond"/>
          <w:bCs/>
          <w:sz w:val="24"/>
          <w:szCs w:val="24"/>
        </w:rPr>
        <w:t>VENDOSI:</w:t>
      </w:r>
    </w:p>
    <w:p w14:paraId="34ABBB7D" w14:textId="77777777" w:rsidR="00D83049" w:rsidRPr="00D83049" w:rsidRDefault="00D83049" w:rsidP="00D83049">
      <w:pPr>
        <w:pStyle w:val="CommentText"/>
        <w:ind w:firstLine="284"/>
        <w:jc w:val="center"/>
        <w:rPr>
          <w:rFonts w:ascii="Garamond" w:hAnsi="Garamond"/>
          <w:b/>
          <w:bCs/>
          <w:sz w:val="24"/>
          <w:szCs w:val="24"/>
        </w:rPr>
      </w:pPr>
    </w:p>
    <w:p w14:paraId="3B4470D8" w14:textId="1CF54B1D" w:rsidR="00D83049" w:rsidRPr="00295085" w:rsidRDefault="00D83049" w:rsidP="007F410E">
      <w:pPr>
        <w:pStyle w:val="ListParagraph"/>
        <w:spacing w:after="0" w:line="240" w:lineRule="auto"/>
        <w:ind w:left="0" w:firstLine="284"/>
        <w:jc w:val="both"/>
        <w:rPr>
          <w:rFonts w:ascii="Garamond" w:hAnsi="Garamond" w:cs="Times New Roman"/>
          <w:sz w:val="24"/>
          <w:szCs w:val="24"/>
        </w:rPr>
      </w:pPr>
      <w:r w:rsidRPr="00295085">
        <w:rPr>
          <w:rFonts w:ascii="Garamond" w:hAnsi="Garamond" w:cs="Times New Roman"/>
          <w:sz w:val="24"/>
          <w:szCs w:val="24"/>
        </w:rPr>
        <w:t xml:space="preserve">1. Pika 1 e vendimit të </w:t>
      </w:r>
      <w:r w:rsidR="00F62661" w:rsidRPr="00295085">
        <w:rPr>
          <w:rFonts w:ascii="Garamond" w:hAnsi="Garamond" w:cs="Times New Roman"/>
          <w:sz w:val="24"/>
          <w:szCs w:val="24"/>
        </w:rPr>
        <w:t xml:space="preserve">Bordit </w:t>
      </w:r>
      <w:r w:rsidRPr="00295085">
        <w:rPr>
          <w:rFonts w:ascii="Garamond" w:hAnsi="Garamond" w:cs="Times New Roman"/>
          <w:sz w:val="24"/>
          <w:szCs w:val="24"/>
        </w:rPr>
        <w:t xml:space="preserve">të ERE nr. 147, datë 24.4.2023, ndryshohet dhe bëhet: </w:t>
      </w:r>
      <w:bookmarkStart w:id="0" w:name="_GoBack"/>
      <w:bookmarkEnd w:id="0"/>
      <w:r w:rsidRPr="00295085">
        <w:rPr>
          <w:rFonts w:ascii="Garamond" w:hAnsi="Garamond" w:cs="Times New Roman"/>
          <w:sz w:val="24"/>
          <w:szCs w:val="24"/>
        </w:rPr>
        <w:t xml:space="preserve">“Dhënien e autorizimit nga ERE për vendosjen e kuotave të shoqërisë “SPV </w:t>
      </w:r>
      <w:r w:rsidR="00F62661" w:rsidRPr="00295085">
        <w:rPr>
          <w:rFonts w:ascii="Garamond" w:hAnsi="Garamond" w:cs="Times New Roman"/>
          <w:sz w:val="24"/>
          <w:szCs w:val="24"/>
        </w:rPr>
        <w:t xml:space="preserve">blue </w:t>
      </w:r>
      <w:r w:rsidRPr="00295085">
        <w:rPr>
          <w:rFonts w:ascii="Garamond" w:hAnsi="Garamond" w:cs="Times New Roman"/>
          <w:sz w:val="24"/>
          <w:szCs w:val="24"/>
        </w:rPr>
        <w:t>1” sh.p.k. si mjet (barrë siguruese) për garantimin e detyrimeve që burojnë nga kontrata e kredisë e lidhur më datë 25.6.2025, në favor të kreditorëve “Banka e Parë e Investimeve – Albania” sh.a. dhe “First Investment Bank AD” (Bullgari)”.</w:t>
      </w:r>
    </w:p>
    <w:p w14:paraId="4EC68171" w14:textId="72B04819" w:rsidR="00D83049" w:rsidRPr="00295085" w:rsidRDefault="00D83049" w:rsidP="00D83049">
      <w:pPr>
        <w:pStyle w:val="CommentText"/>
        <w:ind w:firstLine="284"/>
        <w:jc w:val="both"/>
        <w:rPr>
          <w:rFonts w:ascii="Garamond" w:hAnsi="Garamond"/>
          <w:b/>
          <w:bCs/>
          <w:sz w:val="24"/>
          <w:szCs w:val="24"/>
        </w:rPr>
      </w:pPr>
      <w:r w:rsidRPr="00295085">
        <w:rPr>
          <w:rFonts w:ascii="Garamond" w:hAnsi="Garamond"/>
          <w:sz w:val="24"/>
          <w:szCs w:val="24"/>
        </w:rPr>
        <w:t xml:space="preserve">2. Drejtoria Juridike dhe zgjidhjes së Mosmarrëveshjeve të njoftojë shoqërinë “SPV </w:t>
      </w:r>
      <w:r w:rsidR="00F62661" w:rsidRPr="00295085">
        <w:rPr>
          <w:rFonts w:ascii="Garamond" w:hAnsi="Garamond"/>
          <w:sz w:val="24"/>
          <w:szCs w:val="24"/>
        </w:rPr>
        <w:t xml:space="preserve">Blue </w:t>
      </w:r>
      <w:r w:rsidRPr="00295085">
        <w:rPr>
          <w:rFonts w:ascii="Garamond" w:hAnsi="Garamond"/>
          <w:sz w:val="24"/>
          <w:szCs w:val="24"/>
        </w:rPr>
        <w:t xml:space="preserve">1” sh.p.k., Ministrinë e Infrastrukturës dhe Energjisë, për vendimin e </w:t>
      </w:r>
      <w:r w:rsidR="00F62661" w:rsidRPr="00295085">
        <w:rPr>
          <w:rFonts w:ascii="Garamond" w:hAnsi="Garamond"/>
          <w:sz w:val="24"/>
          <w:szCs w:val="24"/>
        </w:rPr>
        <w:t xml:space="preserve">Bordit </w:t>
      </w:r>
      <w:r w:rsidRPr="00295085">
        <w:rPr>
          <w:rFonts w:ascii="Garamond" w:hAnsi="Garamond"/>
          <w:sz w:val="24"/>
          <w:szCs w:val="24"/>
        </w:rPr>
        <w:t>të ERE-s.</w:t>
      </w:r>
    </w:p>
    <w:p w14:paraId="50398A7E" w14:textId="77777777" w:rsidR="00D83049" w:rsidRPr="00295085" w:rsidRDefault="00D83049" w:rsidP="00D83049">
      <w:pPr>
        <w:spacing w:after="0" w:line="240" w:lineRule="auto"/>
        <w:ind w:firstLine="284"/>
        <w:jc w:val="both"/>
        <w:rPr>
          <w:rFonts w:ascii="Garamond" w:hAnsi="Garamond" w:cs="Times New Roman"/>
          <w:sz w:val="24"/>
          <w:szCs w:val="24"/>
        </w:rPr>
      </w:pPr>
      <w:r w:rsidRPr="00295085">
        <w:rPr>
          <w:rFonts w:ascii="Garamond" w:hAnsi="Garamond" w:cs="Times New Roman"/>
          <w:sz w:val="24"/>
          <w:szCs w:val="24"/>
        </w:rPr>
        <w:t>Ky vendim hyn në fuqi menjëherë.</w:t>
      </w:r>
    </w:p>
    <w:p w14:paraId="180132C8" w14:textId="4BDA2EB3" w:rsidR="00D83049" w:rsidRPr="00D83049" w:rsidRDefault="00D83049" w:rsidP="00D83049">
      <w:pPr>
        <w:spacing w:after="0" w:line="240" w:lineRule="auto"/>
        <w:ind w:firstLine="284"/>
        <w:jc w:val="both"/>
        <w:rPr>
          <w:rFonts w:ascii="Garamond" w:hAnsi="Garamond" w:cs="Times New Roman"/>
          <w:sz w:val="24"/>
          <w:szCs w:val="24"/>
        </w:rPr>
      </w:pPr>
      <w:r w:rsidRPr="00D83049">
        <w:rPr>
          <w:rFonts w:ascii="Garamond" w:hAnsi="Garamond" w:cs="Times New Roman"/>
          <w:sz w:val="24"/>
          <w:szCs w:val="24"/>
        </w:rPr>
        <w:t xml:space="preserve">Çdo palë e përfshirë në këtë procedurë mund t’i kërkojë ERE-s, brenda 7 ditëve kalendarike nga data e marrjes dijeni, rishikimin e vendimit të </w:t>
      </w:r>
      <w:r w:rsidR="00F62661" w:rsidRPr="00D83049">
        <w:rPr>
          <w:rFonts w:ascii="Garamond" w:hAnsi="Garamond" w:cs="Times New Roman"/>
          <w:sz w:val="24"/>
          <w:szCs w:val="24"/>
        </w:rPr>
        <w:t>Bordit</w:t>
      </w:r>
      <w:r w:rsidR="00F62661">
        <w:rPr>
          <w:rFonts w:ascii="Garamond" w:hAnsi="Garamond" w:cs="Times New Roman"/>
          <w:sz w:val="24"/>
          <w:szCs w:val="24"/>
        </w:rPr>
        <w:t>,</w:t>
      </w:r>
      <w:r w:rsidR="00F62661" w:rsidRPr="00D83049">
        <w:rPr>
          <w:rFonts w:ascii="Garamond" w:hAnsi="Garamond" w:cs="Times New Roman"/>
          <w:sz w:val="24"/>
          <w:szCs w:val="24"/>
        </w:rPr>
        <w:t xml:space="preserve"> </w:t>
      </w:r>
      <w:r w:rsidRPr="00D83049">
        <w:rPr>
          <w:rFonts w:ascii="Garamond" w:hAnsi="Garamond" w:cs="Times New Roman"/>
          <w:sz w:val="24"/>
          <w:szCs w:val="24"/>
        </w:rPr>
        <w:t xml:space="preserve">në rast se ka siguruar prova të reja që mund ta çojnë </w:t>
      </w:r>
      <w:r w:rsidR="00F62661" w:rsidRPr="00D83049">
        <w:rPr>
          <w:rFonts w:ascii="Garamond" w:hAnsi="Garamond" w:cs="Times New Roman"/>
          <w:sz w:val="24"/>
          <w:szCs w:val="24"/>
        </w:rPr>
        <w:t xml:space="preserve">Bordin </w:t>
      </w:r>
      <w:r w:rsidRPr="00D83049">
        <w:rPr>
          <w:rFonts w:ascii="Garamond" w:hAnsi="Garamond" w:cs="Times New Roman"/>
          <w:sz w:val="24"/>
          <w:szCs w:val="24"/>
        </w:rPr>
        <w:t>në marrjen e një vendimi të ndryshëm nga i mëparshmi</w:t>
      </w:r>
      <w:r w:rsidR="00F62661">
        <w:rPr>
          <w:rFonts w:ascii="Garamond" w:hAnsi="Garamond" w:cs="Times New Roman"/>
          <w:sz w:val="24"/>
          <w:szCs w:val="24"/>
        </w:rPr>
        <w:t>,</w:t>
      </w:r>
      <w:r w:rsidRPr="00D83049">
        <w:rPr>
          <w:rFonts w:ascii="Garamond" w:hAnsi="Garamond" w:cs="Times New Roman"/>
          <w:sz w:val="24"/>
          <w:szCs w:val="24"/>
        </w:rPr>
        <w:t xml:space="preserve"> apo për gabime materiale të konstatuara. Për këtë vendim mund të bëhet ankim në Gjykatën Administrative Tiranë, brenda 30 ditëve kalendarike nga dita e publikimit në Fletoren Zyrtare.</w:t>
      </w:r>
    </w:p>
    <w:p w14:paraId="58EBDCE6" w14:textId="77777777" w:rsidR="00D83049" w:rsidRPr="00D83049" w:rsidRDefault="00D83049" w:rsidP="00D83049">
      <w:pPr>
        <w:spacing w:after="0" w:line="240" w:lineRule="auto"/>
        <w:ind w:firstLine="284"/>
        <w:jc w:val="both"/>
        <w:rPr>
          <w:rFonts w:ascii="Garamond" w:hAnsi="Garamond" w:cs="Times New Roman"/>
          <w:sz w:val="24"/>
          <w:szCs w:val="24"/>
        </w:rPr>
      </w:pPr>
      <w:r w:rsidRPr="00D83049">
        <w:rPr>
          <w:rFonts w:ascii="Garamond" w:hAnsi="Garamond" w:cs="Times New Roman"/>
          <w:sz w:val="24"/>
          <w:szCs w:val="24"/>
        </w:rPr>
        <w:t>Ky vendim botohet në Fletoren Zyrtare.</w:t>
      </w:r>
    </w:p>
    <w:p w14:paraId="6B865A2A" w14:textId="77777777" w:rsidR="00D83049" w:rsidRPr="00D83049" w:rsidRDefault="00D83049" w:rsidP="00D83049">
      <w:pPr>
        <w:spacing w:after="0" w:line="240" w:lineRule="auto"/>
        <w:ind w:firstLine="284"/>
        <w:jc w:val="both"/>
        <w:rPr>
          <w:rFonts w:ascii="Garamond" w:hAnsi="Garamond" w:cs="Times New Roman"/>
          <w:sz w:val="24"/>
          <w:szCs w:val="24"/>
        </w:rPr>
      </w:pPr>
    </w:p>
    <w:p w14:paraId="1C3DF72B" w14:textId="74903CF6" w:rsidR="00D83049" w:rsidRPr="00D83049" w:rsidRDefault="00D83049" w:rsidP="00D83049">
      <w:pPr>
        <w:tabs>
          <w:tab w:val="left" w:pos="7980"/>
        </w:tabs>
        <w:spacing w:after="0" w:line="240" w:lineRule="auto"/>
        <w:ind w:firstLine="284"/>
        <w:jc w:val="right"/>
        <w:rPr>
          <w:rFonts w:ascii="Garamond" w:hAnsi="Garamond" w:cs="Times New Roman"/>
          <w:bCs/>
          <w:sz w:val="24"/>
          <w:szCs w:val="24"/>
        </w:rPr>
      </w:pPr>
      <w:r w:rsidRPr="00D83049">
        <w:rPr>
          <w:rFonts w:ascii="Garamond" w:hAnsi="Garamond" w:cs="Times New Roman"/>
          <w:bCs/>
          <w:sz w:val="24"/>
          <w:szCs w:val="24"/>
        </w:rPr>
        <w:t>KRYETAR</w:t>
      </w:r>
    </w:p>
    <w:p w14:paraId="0092CD95" w14:textId="0C3E78E6" w:rsidR="00D83049" w:rsidRPr="00D83049" w:rsidRDefault="00D83049" w:rsidP="00F62661">
      <w:pPr>
        <w:tabs>
          <w:tab w:val="left" w:pos="7980"/>
        </w:tabs>
        <w:spacing w:after="0" w:line="240" w:lineRule="auto"/>
        <w:ind w:firstLine="284"/>
        <w:jc w:val="right"/>
        <w:rPr>
          <w:rFonts w:ascii="Garamond" w:hAnsi="Garamond" w:cs="Times New Roman"/>
          <w:sz w:val="24"/>
          <w:szCs w:val="24"/>
        </w:rPr>
      </w:pPr>
      <w:r w:rsidRPr="00D83049">
        <w:rPr>
          <w:rFonts w:ascii="Garamond" w:hAnsi="Garamond" w:cs="Times New Roman"/>
          <w:b/>
          <w:bCs/>
          <w:sz w:val="24"/>
          <w:szCs w:val="24"/>
        </w:rPr>
        <w:t>Petrit Ahmeti</w:t>
      </w:r>
    </w:p>
    <w:p w14:paraId="1AE577C4" w14:textId="77777777" w:rsidR="00D83049" w:rsidRPr="00D83049" w:rsidRDefault="00D83049" w:rsidP="00D83049">
      <w:pPr>
        <w:spacing w:after="0" w:line="240" w:lineRule="auto"/>
        <w:ind w:firstLine="284"/>
        <w:jc w:val="center"/>
        <w:rPr>
          <w:rFonts w:ascii="Garamond" w:hAnsi="Garamond" w:cs="Times New Roman"/>
          <w:b/>
          <w:bCs/>
          <w:sz w:val="24"/>
          <w:szCs w:val="24"/>
        </w:rPr>
      </w:pPr>
    </w:p>
    <w:p w14:paraId="24F2F274" w14:textId="77777777" w:rsidR="00570C82" w:rsidRPr="00D83049" w:rsidRDefault="00570C82" w:rsidP="00D83049">
      <w:pPr>
        <w:spacing w:after="0" w:line="240" w:lineRule="auto"/>
        <w:ind w:firstLine="284"/>
        <w:rPr>
          <w:rFonts w:ascii="Garamond" w:hAnsi="Garamond"/>
          <w:sz w:val="24"/>
          <w:szCs w:val="24"/>
        </w:rPr>
      </w:pPr>
    </w:p>
    <w:sectPr w:rsidR="00570C82" w:rsidRPr="00D83049">
      <w:footerReference w:type="default" r:id="rId12"/>
      <w:pgSz w:w="12240" w:h="15840"/>
      <w:pgMar w:top="1260" w:right="1440" w:bottom="1440" w:left="1440" w:header="708" w:footer="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8F71E8" w14:textId="77777777" w:rsidR="007F410E" w:rsidRDefault="007F410E">
      <w:pPr>
        <w:spacing w:after="0" w:line="240" w:lineRule="auto"/>
      </w:pPr>
      <w:r>
        <w:separator/>
      </w:r>
    </w:p>
  </w:endnote>
  <w:endnote w:type="continuationSeparator" w:id="0">
    <w:p w14:paraId="721A9C32" w14:textId="77777777" w:rsidR="007F410E" w:rsidRDefault="007F410E">
      <w:pPr>
        <w:spacing w:after="0" w:line="240" w:lineRule="auto"/>
      </w:pPr>
      <w:r>
        <w:continuationSeparator/>
      </w:r>
    </w:p>
  </w:endnote>
  <w:endnote w:type="continuationNotice" w:id="1">
    <w:p w14:paraId="1A180381" w14:textId="77777777" w:rsidR="007F410E" w:rsidRDefault="007F41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31702" w14:textId="2C89D997" w:rsidR="007F410E" w:rsidRDefault="007F410E">
    <w:pPr>
      <w:tabs>
        <w:tab w:val="center" w:pos="4680"/>
        <w:tab w:val="right" w:pos="9360"/>
      </w:tabs>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D6D0B" w14:textId="77777777" w:rsidR="007F410E" w:rsidRDefault="007F410E">
      <w:pPr>
        <w:spacing w:after="0" w:line="240" w:lineRule="auto"/>
      </w:pPr>
      <w:r>
        <w:separator/>
      </w:r>
    </w:p>
  </w:footnote>
  <w:footnote w:type="continuationSeparator" w:id="0">
    <w:p w14:paraId="45D6FF0A" w14:textId="77777777" w:rsidR="007F410E" w:rsidRDefault="007F410E">
      <w:pPr>
        <w:spacing w:after="0" w:line="240" w:lineRule="auto"/>
      </w:pPr>
      <w:r>
        <w:continuationSeparator/>
      </w:r>
    </w:p>
  </w:footnote>
  <w:footnote w:type="continuationNotice" w:id="1">
    <w:p w14:paraId="5EF33E47" w14:textId="77777777" w:rsidR="007F410E" w:rsidRDefault="007F410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1B6B26A"/>
    <w:lvl w:ilvl="0" w:tplc="14AA223C">
      <w:start w:val="3"/>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hybridMultilevel"/>
    <w:tmpl w:val="737257D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48881180"/>
    <w:lvl w:ilvl="0" w:tplc="BD2E2F90">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14C8C13E"/>
    <w:lvl w:ilvl="0" w:tplc="64EC38BC">
      <w:start w:val="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0000005"/>
    <w:multiLevelType w:val="hybridMultilevel"/>
    <w:tmpl w:val="D5F4AF88"/>
    <w:lvl w:ilvl="0" w:tplc="2CEA83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0000006"/>
    <w:multiLevelType w:val="hybridMultilevel"/>
    <w:tmpl w:val="30FEF600"/>
    <w:lvl w:ilvl="0" w:tplc="E2A8C7D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4CF26F02"/>
    <w:lvl w:ilvl="0" w:tplc="BD2E2F90">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0A3046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0000009"/>
    <w:multiLevelType w:val="hybridMultilevel"/>
    <w:tmpl w:val="17324F3A"/>
    <w:lvl w:ilvl="0" w:tplc="AF386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B37415C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0000000B"/>
    <w:multiLevelType w:val="hybridMultilevel"/>
    <w:tmpl w:val="FE72E444"/>
    <w:lvl w:ilvl="0" w:tplc="04090011">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1" w15:restartNumberingAfterBreak="0">
    <w:nsid w:val="0000000C"/>
    <w:multiLevelType w:val="hybridMultilevel"/>
    <w:tmpl w:val="EE5272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000000D"/>
    <w:multiLevelType w:val="hybridMultilevel"/>
    <w:tmpl w:val="9BAE0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DDDAA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09988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BB7C2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0000011"/>
    <w:multiLevelType w:val="hybridMultilevel"/>
    <w:tmpl w:val="0B528B2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00000012"/>
    <w:multiLevelType w:val="multilevel"/>
    <w:tmpl w:val="BDAC1FB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00000013"/>
    <w:multiLevelType w:val="hybridMultilevel"/>
    <w:tmpl w:val="7BD2C59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multilevel"/>
    <w:tmpl w:val="AD60E11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00000015"/>
    <w:multiLevelType w:val="hybridMultilevel"/>
    <w:tmpl w:val="BAF61718"/>
    <w:lvl w:ilvl="0" w:tplc="BCA20EDE">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0000016"/>
    <w:multiLevelType w:val="multilevel"/>
    <w:tmpl w:val="C372903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00000017"/>
    <w:multiLevelType w:val="hybridMultilevel"/>
    <w:tmpl w:val="A252B13A"/>
    <w:lvl w:ilvl="0" w:tplc="C51C6860">
      <w:start w:val="1"/>
      <w:numFmt w:val="decimal"/>
      <w:lvlText w:val="%1."/>
      <w:lvlJc w:val="left"/>
      <w:pPr>
        <w:ind w:left="360" w:hanging="360"/>
      </w:pPr>
      <w:rPr>
        <w:rFonts w:eastAsia="SimSu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00000018"/>
    <w:multiLevelType w:val="hybridMultilevel"/>
    <w:tmpl w:val="77D0CC9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0000019"/>
    <w:multiLevelType w:val="hybridMultilevel"/>
    <w:tmpl w:val="24EA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903E0898"/>
    <w:lvl w:ilvl="0" w:tplc="268C37BC">
      <w:start w:val="1"/>
      <w:numFmt w:val="decimal"/>
      <w:lvlText w:val="%1."/>
      <w:lvlJc w:val="left"/>
      <w:pPr>
        <w:ind w:left="360" w:hanging="360"/>
      </w:pPr>
      <w:rPr>
        <w:rFonts w:ascii="Times New Roman" w:eastAsia="Times New Roman" w:hAnsi="Times New Roman" w:cs="Times New Roman"/>
        <w:b w:val="0"/>
        <w:bCs/>
        <w:sz w:val="24"/>
        <w:szCs w:val="24"/>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6" w15:restartNumberingAfterBreak="0">
    <w:nsid w:val="0000001B"/>
    <w:multiLevelType w:val="hybridMultilevel"/>
    <w:tmpl w:val="1BB09D18"/>
    <w:lvl w:ilvl="0" w:tplc="9828D7D2">
      <w:start w:val="1"/>
      <w:numFmt w:val="bullet"/>
      <w:lvlText w:val="-"/>
      <w:lvlJc w:val="left"/>
      <w:pPr>
        <w:ind w:left="360" w:hanging="360"/>
      </w:pPr>
      <w:rPr>
        <w:rFonts w:ascii="Times New Roman" w:eastAsia="Calibri"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0000001C"/>
    <w:multiLevelType w:val="hybridMultilevel"/>
    <w:tmpl w:val="FDE02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000001D"/>
    <w:multiLevelType w:val="multilevel"/>
    <w:tmpl w:val="8FF0795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0000001E"/>
    <w:multiLevelType w:val="hybridMultilevel"/>
    <w:tmpl w:val="C59C6F9C"/>
    <w:lvl w:ilvl="0" w:tplc="254E73B0">
      <w:start w:val="2"/>
      <w:numFmt w:val="decimal"/>
      <w:lvlText w:val="%1."/>
      <w:lvlJc w:val="left"/>
      <w:pPr>
        <w:ind w:left="360" w:hanging="360"/>
      </w:pPr>
      <w:rPr>
        <w:rFonts w:eastAsia="Calibr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0000001F"/>
    <w:multiLevelType w:val="multilevel"/>
    <w:tmpl w:val="EF34405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0BA32082"/>
    <w:multiLevelType w:val="hybridMultilevel"/>
    <w:tmpl w:val="4B1494C6"/>
    <w:lvl w:ilvl="0" w:tplc="01EE52E4">
      <w:start w:val="1"/>
      <w:numFmt w:val="bullet"/>
      <w:lvlText w:val="-"/>
      <w:lvlJc w:val="left"/>
      <w:pPr>
        <w:ind w:left="360" w:hanging="360"/>
      </w:pPr>
      <w:rPr>
        <w:rFonts w:ascii="Times New Roman" w:eastAsia="Calibri" w:hAnsi="Times New Roman" w:cs="Times New Roman" w:hint="default"/>
        <w:i w:val="0"/>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145E0D91"/>
    <w:multiLevelType w:val="hybridMultilevel"/>
    <w:tmpl w:val="1A745024"/>
    <w:lvl w:ilvl="0" w:tplc="651C6DC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9311604"/>
    <w:multiLevelType w:val="hybridMultilevel"/>
    <w:tmpl w:val="6778D658"/>
    <w:lvl w:ilvl="0" w:tplc="8F505C52">
      <w:start w:val="1"/>
      <w:numFmt w:val="decimal"/>
      <w:lvlText w:val="%1."/>
      <w:lvlJc w:val="left"/>
      <w:pPr>
        <w:ind w:left="360" w:hanging="360"/>
      </w:pPr>
      <w:rPr>
        <w:rFonts w:hint="default"/>
        <w:b w:val="0"/>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95D636B"/>
    <w:multiLevelType w:val="hybridMultilevel"/>
    <w:tmpl w:val="7C8A3916"/>
    <w:lvl w:ilvl="0" w:tplc="5B08AFAA">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3D6516BC"/>
    <w:multiLevelType w:val="hybridMultilevel"/>
    <w:tmpl w:val="30F2126C"/>
    <w:lvl w:ilvl="0" w:tplc="16423D32">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6"/>
  </w:num>
  <w:num w:numId="3">
    <w:abstractNumId w:val="10"/>
  </w:num>
  <w:num w:numId="4">
    <w:abstractNumId w:val="9"/>
  </w:num>
  <w:num w:numId="5">
    <w:abstractNumId w:val="16"/>
  </w:num>
  <w:num w:numId="6">
    <w:abstractNumId w:val="24"/>
  </w:num>
  <w:num w:numId="7">
    <w:abstractNumId w:val="13"/>
  </w:num>
  <w:num w:numId="8">
    <w:abstractNumId w:val="5"/>
  </w:num>
  <w:num w:numId="9">
    <w:abstractNumId w:val="18"/>
  </w:num>
  <w:num w:numId="10">
    <w:abstractNumId w:val="2"/>
  </w:num>
  <w:num w:numId="11">
    <w:abstractNumId w:val="8"/>
  </w:num>
  <w:num w:numId="12">
    <w:abstractNumId w:val="14"/>
  </w:num>
  <w:num w:numId="13">
    <w:abstractNumId w:val="1"/>
  </w:num>
  <w:num w:numId="14">
    <w:abstractNumId w:val="12"/>
  </w:num>
  <w:num w:numId="15">
    <w:abstractNumId w:val="7"/>
  </w:num>
  <w:num w:numId="16">
    <w:abstractNumId w:val="35"/>
  </w:num>
  <w:num w:numId="17">
    <w:abstractNumId w:val="15"/>
  </w:num>
  <w:num w:numId="18">
    <w:abstractNumId w:val="4"/>
  </w:num>
  <w:num w:numId="19">
    <w:abstractNumId w:val="21"/>
  </w:num>
  <w:num w:numId="20">
    <w:abstractNumId w:val="28"/>
  </w:num>
  <w:num w:numId="21">
    <w:abstractNumId w:val="22"/>
  </w:num>
  <w:num w:numId="22">
    <w:abstractNumId w:val="23"/>
  </w:num>
  <w:num w:numId="23">
    <w:abstractNumId w:val="25"/>
  </w:num>
  <w:num w:numId="24">
    <w:abstractNumId w:val="0"/>
  </w:num>
  <w:num w:numId="25">
    <w:abstractNumId w:val="30"/>
  </w:num>
  <w:num w:numId="26">
    <w:abstractNumId w:val="19"/>
  </w:num>
  <w:num w:numId="27">
    <w:abstractNumId w:val="17"/>
  </w:num>
  <w:num w:numId="28">
    <w:abstractNumId w:val="27"/>
  </w:num>
  <w:num w:numId="29">
    <w:abstractNumId w:val="29"/>
  </w:num>
  <w:num w:numId="30">
    <w:abstractNumId w:val="20"/>
  </w:num>
  <w:num w:numId="31">
    <w:abstractNumId w:val="3"/>
  </w:num>
  <w:num w:numId="32">
    <w:abstractNumId w:val="26"/>
  </w:num>
  <w:num w:numId="33">
    <w:abstractNumId w:val="32"/>
  </w:num>
  <w:num w:numId="34">
    <w:abstractNumId w:val="34"/>
  </w:num>
  <w:num w:numId="35">
    <w:abstractNumId w:val="33"/>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C82"/>
    <w:rsid w:val="00056DFD"/>
    <w:rsid w:val="000C2D6C"/>
    <w:rsid w:val="00133432"/>
    <w:rsid w:val="001F04CF"/>
    <w:rsid w:val="002104E7"/>
    <w:rsid w:val="00295085"/>
    <w:rsid w:val="002C5D0B"/>
    <w:rsid w:val="002C6AAD"/>
    <w:rsid w:val="002E4CF1"/>
    <w:rsid w:val="00374A43"/>
    <w:rsid w:val="003F7080"/>
    <w:rsid w:val="004602D4"/>
    <w:rsid w:val="004B00CF"/>
    <w:rsid w:val="004D6FE1"/>
    <w:rsid w:val="0052396A"/>
    <w:rsid w:val="00570C82"/>
    <w:rsid w:val="00625DD6"/>
    <w:rsid w:val="00651833"/>
    <w:rsid w:val="00655C82"/>
    <w:rsid w:val="006A0BF1"/>
    <w:rsid w:val="00722FF6"/>
    <w:rsid w:val="007446E9"/>
    <w:rsid w:val="0076766C"/>
    <w:rsid w:val="00782C69"/>
    <w:rsid w:val="007905FF"/>
    <w:rsid w:val="007F410E"/>
    <w:rsid w:val="0081415C"/>
    <w:rsid w:val="0084040C"/>
    <w:rsid w:val="008D7C63"/>
    <w:rsid w:val="00907772"/>
    <w:rsid w:val="00912F8F"/>
    <w:rsid w:val="009779E0"/>
    <w:rsid w:val="00985B32"/>
    <w:rsid w:val="00996369"/>
    <w:rsid w:val="0099761E"/>
    <w:rsid w:val="009E6C2A"/>
    <w:rsid w:val="00A2237F"/>
    <w:rsid w:val="00A41E24"/>
    <w:rsid w:val="00AF16D2"/>
    <w:rsid w:val="00BF0471"/>
    <w:rsid w:val="00C82832"/>
    <w:rsid w:val="00CB110B"/>
    <w:rsid w:val="00CC2598"/>
    <w:rsid w:val="00D83049"/>
    <w:rsid w:val="00DA7222"/>
    <w:rsid w:val="00DA7687"/>
    <w:rsid w:val="00DE2A02"/>
    <w:rsid w:val="00E03EDF"/>
    <w:rsid w:val="00F61081"/>
    <w:rsid w:val="00F62661"/>
    <w:rsid w:val="00F71B96"/>
    <w:rsid w:val="00F878FF"/>
    <w:rsid w:val="00FB3025"/>
    <w:rsid w:val="00FE2E80"/>
    <w:rsid w:val="00FF3D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EE97C"/>
  <w15:docId w15:val="{ACAE82D4-7279-4523-8D81-D43711D04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56" w:lineRule="auto"/>
    </w:pPr>
  </w:style>
  <w:style w:type="paragraph" w:styleId="Heading1">
    <w:name w:val="heading 1"/>
    <w:basedOn w:val="Normal"/>
    <w:next w:val="Normal"/>
    <w:link w:val="Heading1Char"/>
    <w:uiPriority w:val="9"/>
    <w:qFormat/>
    <w:pPr>
      <w:keepNext/>
      <w:spacing w:after="0" w:line="240" w:lineRule="auto"/>
      <w:jc w:val="center"/>
      <w:outlineLvl w:val="0"/>
    </w:pPr>
    <w:rPr>
      <w:rFonts w:ascii="Times New Roman" w:eastAsia="MS Mincho" w:hAnsi="Times New Roman" w:cs="Times New Roman"/>
      <w:b/>
      <w:bCs/>
      <w:sz w:val="24"/>
      <w:szCs w:val="24"/>
      <w:lang w:val="en-GB"/>
    </w:rPr>
  </w:style>
  <w:style w:type="paragraph" w:styleId="Heading3">
    <w:name w:val="heading 3"/>
    <w:basedOn w:val="Normal"/>
    <w:next w:val="Normal"/>
    <w:link w:val="Heading3Char"/>
    <w:uiPriority w:val="9"/>
    <w:unhideWhenUsed/>
    <w:qFormat/>
    <w:pPr>
      <w:keepNext/>
      <w:keepLines/>
      <w:spacing w:before="40" w:after="0"/>
      <w:outlineLvl w:val="2"/>
    </w:pPr>
    <w:rPr>
      <w:rFonts w:ascii="Calibri Light" w:eastAsia="SimSun" w:hAnsi="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ListParagraph">
    <w:name w:val="List Paragraph"/>
    <w:aliases w:val="Citation List,Graphic,List Paragraph1,List Paragraph Char Char,Bullets,Table of contents numbered,Resume Title,Ha,lp1,List Paragraph11,List Paragraph1 Char Char,Figure_name,Bullet List,FooterText,numbered,Paragraphe de liste,NumberedParas"/>
    <w:basedOn w:val="Normal"/>
    <w:link w:val="ListParagraphChar"/>
    <w:uiPriority w:val="34"/>
    <w:qFormat/>
    <w:pPr>
      <w:ind w:left="720"/>
      <w:contextualSpacing/>
    </w:p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SimSun"/>
    </w:rPr>
  </w:style>
  <w:style w:type="character" w:styleId="Hyperlink">
    <w:name w:val="Hyperlink"/>
    <w:basedOn w:val="DefaultParagraphFont"/>
    <w:uiPriority w:val="99"/>
    <w:rPr>
      <w:color w:val="0000FF"/>
      <w:u w:val="single"/>
    </w:rPr>
  </w:style>
  <w:style w:type="character" w:customStyle="1" w:styleId="ListParagraphChar">
    <w:name w:val="List Paragraph Char"/>
    <w:aliases w:val="Citation List Char,Graphic Char,List Paragraph1 Char,List Paragraph Char Char Char,Bullets Char,Table of contents numbered Char,Resume Title Char,Ha Char,lp1 Char,List Paragraph11 Char,List Paragraph1 Char Char Char,Figure_name Char"/>
    <w:link w:val="ListParagraph"/>
    <w:uiPriority w:val="34"/>
    <w:qFormat/>
    <w:rPr>
      <w:rFonts w:ascii="Calibri" w:eastAsia="Calibri" w:hAnsi="Calibri" w:cs="SimSun"/>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pPr>
      <w:spacing w:after="160"/>
    </w:pPr>
    <w:rPr>
      <w:rFonts w:ascii="Calibri" w:eastAsia="Calibri" w:hAnsi="Calibri" w:cs="SimSun"/>
      <w:b/>
      <w:bCs/>
    </w:rPr>
  </w:style>
  <w:style w:type="character" w:customStyle="1" w:styleId="CommentSubjectChar">
    <w:name w:val="Comment Subject Char"/>
    <w:basedOn w:val="CommentTextChar"/>
    <w:link w:val="CommentSubject"/>
    <w:uiPriority w:val="99"/>
    <w:rPr>
      <w:rFonts w:ascii="Calibri" w:eastAsia="Calibri" w:hAnsi="Calibri" w:cs="SimSun"/>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character" w:customStyle="1" w:styleId="BodyText1">
    <w:name w:val="Body Text1"/>
    <w:rPr>
      <w:rFonts w:ascii="Bookman Old Style" w:eastAsia="Bookman Old Style" w:hAnsi="Bookman Old Style" w:cs="Bookman Old Style"/>
      <w:color w:val="000000"/>
      <w:spacing w:val="0"/>
      <w:w w:val="100"/>
      <w:position w:val="0"/>
      <w:sz w:val="23"/>
      <w:szCs w:val="23"/>
      <w:shd w:val="clear" w:color="auto" w:fill="FFFFFF"/>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SimSun"/>
    </w:rPr>
  </w:style>
  <w:style w:type="character" w:customStyle="1" w:styleId="UnresolvedMention1">
    <w:name w:val="Unresolved Mention1"/>
    <w:basedOn w:val="DefaultParagraphFont"/>
    <w:uiPriority w:val="99"/>
    <w:rPr>
      <w:color w:val="605E5C"/>
      <w:shd w:val="clear" w:color="auto" w:fill="E1DFDD"/>
    </w:rPr>
  </w:style>
  <w:style w:type="character" w:customStyle="1" w:styleId="Heading1Char">
    <w:name w:val="Heading 1 Char"/>
    <w:basedOn w:val="DefaultParagraphFont"/>
    <w:link w:val="Heading1"/>
    <w:rPr>
      <w:rFonts w:ascii="Times New Roman" w:eastAsia="MS Mincho" w:hAnsi="Times New Roman" w:cs="Times New Roman"/>
      <w:b/>
      <w:bCs/>
      <w:sz w:val="24"/>
      <w:szCs w:val="24"/>
      <w:lang w:val="en-GB"/>
    </w:rPr>
  </w:style>
  <w:style w:type="character" w:customStyle="1" w:styleId="fontstyle01">
    <w:name w:val="fontstyle01"/>
    <w:basedOn w:val="DefaultParagraphFont"/>
    <w:rPr>
      <w:rFonts w:ascii="Calibri" w:hAnsi="Calibri" w:cs="Calibri" w:hint="default"/>
      <w:b w:val="0"/>
      <w:bCs w:val="0"/>
      <w:i w:val="0"/>
      <w:iCs w:val="0"/>
      <w:color w:val="000000"/>
      <w:sz w:val="18"/>
      <w:szCs w:val="18"/>
    </w:rPr>
  </w:style>
  <w:style w:type="paragraph" w:styleId="NoSpacing">
    <w:name w:val="No Spacing"/>
    <w:uiPriority w:val="1"/>
    <w:qFormat/>
    <w:pPr>
      <w:spacing w:after="0" w:line="240" w:lineRule="auto"/>
    </w:p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Calibri Light" w:eastAsia="SimSun" w:hAnsi="Calibri Light" w:cs="SimSun"/>
      <w:color w:val="1F3763"/>
      <w:sz w:val="24"/>
      <w:szCs w:val="24"/>
    </w:rPr>
  </w:style>
  <w:style w:type="character" w:styleId="Emphasis">
    <w:name w:val="Emphasis"/>
    <w:basedOn w:val="DefaultParagraphFont"/>
    <w:uiPriority w:val="20"/>
    <w:qFormat/>
    <w:rPr>
      <w:i/>
      <w:i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137863">
      <w:bodyDiv w:val="1"/>
      <w:marLeft w:val="0"/>
      <w:marRight w:val="0"/>
      <w:marTop w:val="0"/>
      <w:marBottom w:val="0"/>
      <w:divBdr>
        <w:top w:val="none" w:sz="0" w:space="0" w:color="auto"/>
        <w:left w:val="none" w:sz="0" w:space="0" w:color="auto"/>
        <w:bottom w:val="none" w:sz="0" w:space="0" w:color="auto"/>
        <w:right w:val="none" w:sz="0" w:space="0" w:color="auto"/>
      </w:divBdr>
    </w:div>
    <w:div w:id="453212108">
      <w:bodyDiv w:val="1"/>
      <w:marLeft w:val="0"/>
      <w:marRight w:val="0"/>
      <w:marTop w:val="0"/>
      <w:marBottom w:val="0"/>
      <w:divBdr>
        <w:top w:val="none" w:sz="0" w:space="0" w:color="auto"/>
        <w:left w:val="none" w:sz="0" w:space="0" w:color="auto"/>
        <w:bottom w:val="none" w:sz="0" w:space="0" w:color="auto"/>
        <w:right w:val="none" w:sz="0" w:space="0" w:color="auto"/>
      </w:divBdr>
    </w:div>
    <w:div w:id="509491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169</Nr_x002e__x0020_akti>
    <Data_x0020_e_x0020_Krijimit xmlns="0e656187-b300-4fb0-8bf4-3a50f872073c">2024-04-09T14:00:18Z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2025-09-08T00:00:00Z</Date_x0020_protokolli>
    <Titulli xmlns="0e656187-b300-4fb0-8bf4-3a50f872073c">Mbi një ndryshim në vendimin e Bordit të ERE nr. 147, datë 24.04.2023 "Mbi dhënien e autorizimit nga ERE për vendosjen e kuotave të shoqërisë "SPV Blue 1" sh.p.k. si mjet (barrë siguruese) për garantimin e detyrimit ndaj "Green For Frowth Fund Southeast Europe S.A., SICAV-SIF"</Titulli>
    <Modifikuesi xmlns="0e656187-b300-4fb0-8bf4-3a50f872073c">alma.lisaku</Modifikuesi>
    <Nr_x002e__x0020_prot_x0020_QBZ xmlns="0e656187-b300-4fb0-8bf4-3a50f872073c">1454/6</Nr_x002e__x0020_prot_x0020_QBZ>
    <Data_x0020_e_x0020_Modifikimit xmlns="0e656187-b300-4fb0-8bf4-3a50f872073c">2025-09-10T09:29:12Z</Data_x0020_e_x0020_Modifikimit>
    <Dekretuar xmlns="0e656187-b300-4fb0-8bf4-3a50f872073c">false</Dekretuar>
    <Data xmlns="0e656187-b300-4fb0-8bf4-3a50f872073c">2025-07-31T00:00:00Z</Data>
    <Nr_x002e__x0020_protokolli_x0020_i_x0020_aktit xmlns="0e656187-b300-4fb0-8bf4-3a50f872073c">2405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E182F0882164A93ABBB89F79590E2B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E182F0882164A93ABBB89F79590E2B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9729A1E-FFDA-41DA-88ED-70F2D867B776}">
  <ds:schemaRefs>
    <ds:schemaRef ds:uri="http://purl.org/dc/terms/"/>
    <ds:schemaRef ds:uri="http://www.w3.org/XML/1998/namespace"/>
    <ds:schemaRef ds:uri="http://schemas.microsoft.com/office/2006/metadata/properties"/>
    <ds:schemaRef ds:uri="http://purl.org/dc/elements/1.1/"/>
    <ds:schemaRef ds:uri="http://purl.org/dc/dcmitype/"/>
    <ds:schemaRef ds:uri="0e656187-b300-4fb0-8bf4-3a50f872073c"/>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B67C3F93-B8B6-44A5-B892-7B394DB1DB60}">
  <ds:schemaRefs>
    <ds:schemaRef ds:uri="http://schemas.microsoft.com/sharepoint/v3/contenttype/forms"/>
  </ds:schemaRefs>
</ds:datastoreItem>
</file>

<file path=customXml/itemProps3.xml><?xml version="1.0" encoding="utf-8"?>
<ds:datastoreItem xmlns:ds="http://schemas.openxmlformats.org/officeDocument/2006/customXml" ds:itemID="{BDC24ABE-C70E-4890-A6AD-8F0914930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B10311B-6442-4F91-85D3-1DD5CF24BDD1}">
  <ds:schemaRefs>
    <ds:schemaRef ds:uri="http://schemas.microsoft.com/sharepoint/v3/contenttype/forms"/>
  </ds:schemaRefs>
</ds:datastoreItem>
</file>

<file path=customXml/itemProps5.xml><?xml version="1.0" encoding="utf-8"?>
<ds:datastoreItem xmlns:ds="http://schemas.openxmlformats.org/officeDocument/2006/customXml" ds:itemID="{24258ABE-2286-4E40-8357-D06932BCB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Mbi një ndryshim në vendimin e Bordit të ERE nr. 147, datë 24.04.2023 "Mbi dhënien e autorizimit nga ERE për vendosjen e kuotave të shoqërisë "SPV Blue 1" sh.p.k. si mjet (barrë siguruese) për garantimin e detyrimit ndaj "Green For Frowth Fund Southeast E</vt:lpstr>
    </vt:vector>
  </TitlesOfParts>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një ndryshim në vendimin e Bordit të ERE nr. 147, datë 24.04.2023 "Mbi dhënien e autorizimit nga ERE për vendosjen e kuotave të shoqërisë "SPV Blue 1" sh.p.k. si mjet (barrë siguruese) për garantimin e detyrimit ndaj "Green For Frowth Fund Southeast Europe S.A., SICAV-SIF"</dc:title>
  <dc:creator>Rovalda Mema</dc:creator>
  <cp:lastModifiedBy>Valeta Kaftalli</cp:lastModifiedBy>
  <cp:revision>15</cp:revision>
  <cp:lastPrinted>2025-03-05T13:38:00Z</cp:lastPrinted>
  <dcterms:created xsi:type="dcterms:W3CDTF">2025-08-12T09:17:00Z</dcterms:created>
  <dcterms:modified xsi:type="dcterms:W3CDTF">2025-09-10T09:56:00Z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c64857f26f944fda9153640a7444e2e3</vt:lpwstr>
  </property>
</Properties>
</file>