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ED87B" w14:textId="77777777" w:rsidR="00E7772F" w:rsidRPr="00000FE2" w:rsidRDefault="00E7772F" w:rsidP="00E7772F">
      <w:pPr>
        <w:spacing w:after="0" w:line="240" w:lineRule="auto"/>
        <w:ind w:firstLine="284"/>
        <w:jc w:val="center"/>
        <w:rPr>
          <w:rFonts w:ascii="Garamond" w:hAnsi="Garamond" w:cs="Times New Roman"/>
          <w:b/>
          <w:bCs/>
          <w:sz w:val="24"/>
          <w:szCs w:val="24"/>
        </w:rPr>
      </w:pPr>
      <w:r w:rsidRPr="00000FE2">
        <w:rPr>
          <w:rFonts w:ascii="Garamond" w:hAnsi="Garamond" w:cs="Times New Roman"/>
          <w:b/>
          <w:bCs/>
          <w:sz w:val="24"/>
          <w:szCs w:val="24"/>
        </w:rPr>
        <w:t>VENDIM</w:t>
      </w:r>
    </w:p>
    <w:p w14:paraId="07A3AD58" w14:textId="0DD911F4" w:rsidR="00E7772F" w:rsidRPr="00000FE2" w:rsidRDefault="00E7772F" w:rsidP="00E7772F">
      <w:pPr>
        <w:spacing w:after="0" w:line="240" w:lineRule="auto"/>
        <w:ind w:firstLine="284"/>
        <w:jc w:val="center"/>
        <w:rPr>
          <w:rFonts w:ascii="Garamond" w:hAnsi="Garamond" w:cs="Times New Roman"/>
          <w:b/>
          <w:bCs/>
          <w:sz w:val="24"/>
          <w:szCs w:val="24"/>
        </w:rPr>
      </w:pPr>
      <w:r w:rsidRPr="00000FE2">
        <w:rPr>
          <w:rFonts w:ascii="Garamond" w:hAnsi="Garamond" w:cs="Times New Roman"/>
          <w:b/>
          <w:bCs/>
          <w:sz w:val="24"/>
          <w:szCs w:val="24"/>
        </w:rPr>
        <w:t>Nr. 179, datë 7.8.2025</w:t>
      </w:r>
    </w:p>
    <w:p w14:paraId="2D3DC776" w14:textId="77777777" w:rsidR="00E7772F" w:rsidRPr="00000FE2" w:rsidRDefault="00E7772F" w:rsidP="00E7772F">
      <w:pPr>
        <w:spacing w:after="0" w:line="240" w:lineRule="auto"/>
        <w:ind w:firstLine="284"/>
        <w:jc w:val="center"/>
        <w:rPr>
          <w:rFonts w:ascii="Garamond" w:hAnsi="Garamond" w:cs="Times New Roman"/>
          <w:b/>
          <w:bCs/>
          <w:sz w:val="24"/>
          <w:szCs w:val="24"/>
        </w:rPr>
      </w:pPr>
    </w:p>
    <w:p w14:paraId="14EA7A50" w14:textId="55FB6F9D" w:rsidR="00E7772F" w:rsidRPr="00000FE2" w:rsidRDefault="00E7772F" w:rsidP="00E7772F">
      <w:pPr>
        <w:spacing w:after="0" w:line="240" w:lineRule="auto"/>
        <w:ind w:firstLine="284"/>
        <w:jc w:val="center"/>
        <w:rPr>
          <w:rFonts w:ascii="Garamond" w:hAnsi="Garamond" w:cs="Times New Roman"/>
          <w:b/>
          <w:bCs/>
          <w:sz w:val="24"/>
          <w:szCs w:val="24"/>
        </w:rPr>
      </w:pPr>
      <w:r w:rsidRPr="00000FE2">
        <w:rPr>
          <w:rFonts w:ascii="Garamond" w:hAnsi="Garamond" w:cs="Times New Roman"/>
          <w:b/>
          <w:bCs/>
          <w:sz w:val="24"/>
          <w:szCs w:val="24"/>
        </w:rPr>
        <w:t>MBI DISA NDRYSHIME NË VENDIMIN E BORDIT TË ERE-</w:t>
      </w:r>
      <w:r w:rsidR="004D30E3" w:rsidRPr="00000FE2">
        <w:rPr>
          <w:rFonts w:ascii="Garamond" w:hAnsi="Garamond" w:cs="Times New Roman"/>
          <w:b/>
          <w:bCs/>
          <w:sz w:val="24"/>
          <w:szCs w:val="24"/>
        </w:rPr>
        <w:t>s</w:t>
      </w:r>
      <w:r w:rsidRPr="00000FE2">
        <w:rPr>
          <w:rFonts w:ascii="Garamond" w:hAnsi="Garamond" w:cs="Times New Roman"/>
          <w:b/>
          <w:bCs/>
          <w:sz w:val="24"/>
          <w:szCs w:val="24"/>
        </w:rPr>
        <w:t xml:space="preserve"> NR.</w:t>
      </w:r>
      <w:r w:rsidR="004D30E3" w:rsidRPr="00000FE2">
        <w:rPr>
          <w:rFonts w:ascii="Garamond" w:hAnsi="Garamond" w:cs="Times New Roman"/>
          <w:b/>
          <w:bCs/>
          <w:sz w:val="24"/>
          <w:szCs w:val="24"/>
        </w:rPr>
        <w:t xml:space="preserve"> </w:t>
      </w:r>
      <w:r w:rsidRPr="00000FE2">
        <w:rPr>
          <w:rFonts w:ascii="Garamond" w:hAnsi="Garamond" w:cs="Times New Roman"/>
          <w:b/>
          <w:bCs/>
          <w:sz w:val="24"/>
          <w:szCs w:val="24"/>
        </w:rPr>
        <w:t>108, DATË 23.5.2025</w:t>
      </w:r>
      <w:r w:rsidR="001758E6">
        <w:rPr>
          <w:rFonts w:ascii="Garamond" w:hAnsi="Garamond" w:cs="Times New Roman"/>
          <w:b/>
          <w:bCs/>
          <w:sz w:val="24"/>
          <w:szCs w:val="24"/>
        </w:rPr>
        <w:t>,</w:t>
      </w:r>
      <w:r w:rsidRPr="00000FE2">
        <w:rPr>
          <w:rFonts w:ascii="Garamond" w:hAnsi="Garamond" w:cs="Times New Roman"/>
          <w:b/>
          <w:bCs/>
          <w:sz w:val="24"/>
          <w:szCs w:val="24"/>
        </w:rPr>
        <w:t xml:space="preserve"> “MBI DHËNIEN E AUTORIZIMIT NGA ERE PËR VENDOSJEN E KUOTAVE TË SHOQËRISË </w:t>
      </w:r>
      <w:r w:rsidR="001758E6">
        <w:rPr>
          <w:rFonts w:ascii="Garamond" w:hAnsi="Garamond" w:cs="Times New Roman"/>
          <w:b/>
          <w:bCs/>
          <w:sz w:val="24"/>
          <w:szCs w:val="24"/>
        </w:rPr>
        <w:t>‘</w:t>
      </w:r>
      <w:r w:rsidRPr="00000FE2">
        <w:rPr>
          <w:rFonts w:ascii="Garamond" w:hAnsi="Garamond" w:cs="Times New Roman"/>
          <w:b/>
          <w:bCs/>
          <w:sz w:val="24"/>
          <w:szCs w:val="24"/>
        </w:rPr>
        <w:t>G.S.K</w:t>
      </w:r>
      <w:r w:rsidR="001758E6">
        <w:rPr>
          <w:rFonts w:ascii="Garamond" w:hAnsi="Garamond" w:cs="Times New Roman"/>
          <w:b/>
          <w:bCs/>
          <w:sz w:val="24"/>
          <w:szCs w:val="24"/>
        </w:rPr>
        <w:t>’</w:t>
      </w:r>
      <w:r w:rsidRPr="00000FE2">
        <w:rPr>
          <w:rFonts w:ascii="Garamond" w:hAnsi="Garamond" w:cs="Times New Roman"/>
          <w:b/>
          <w:bCs/>
          <w:sz w:val="24"/>
          <w:szCs w:val="24"/>
        </w:rPr>
        <w:t xml:space="preserve"> SHPK SI MJET PËR GARANTIMIN E DETYRIMIT NDAJ TË TRETËVE”</w:t>
      </w:r>
    </w:p>
    <w:p w14:paraId="026307A3" w14:textId="77777777" w:rsidR="00E7772F" w:rsidRPr="00000FE2" w:rsidRDefault="00E7772F" w:rsidP="00E7772F">
      <w:pPr>
        <w:spacing w:after="0" w:line="240" w:lineRule="auto"/>
        <w:ind w:firstLine="284"/>
        <w:jc w:val="center"/>
        <w:rPr>
          <w:rFonts w:ascii="Garamond" w:hAnsi="Garamond" w:cs="Times New Roman"/>
          <w:sz w:val="24"/>
          <w:szCs w:val="24"/>
        </w:rPr>
      </w:pPr>
    </w:p>
    <w:p w14:paraId="2C28B103" w14:textId="31BEBEA7" w:rsidR="00E7772F" w:rsidRPr="00000FE2" w:rsidRDefault="00E7772F" w:rsidP="00E7772F">
      <w:pPr>
        <w:tabs>
          <w:tab w:val="center" w:pos="4800"/>
          <w:tab w:val="left" w:pos="5820"/>
        </w:tabs>
        <w:spacing w:after="0" w:line="240" w:lineRule="auto"/>
        <w:ind w:firstLine="284"/>
        <w:jc w:val="both"/>
        <w:rPr>
          <w:rFonts w:ascii="Garamond" w:hAnsi="Garamond" w:cs="Times New Roman"/>
          <w:sz w:val="24"/>
          <w:szCs w:val="24"/>
        </w:rPr>
      </w:pPr>
      <w:r w:rsidRPr="00000FE2">
        <w:rPr>
          <w:rFonts w:ascii="Garamond" w:hAnsi="Garamond" w:cs="Times New Roman"/>
          <w:sz w:val="24"/>
          <w:szCs w:val="24"/>
        </w:rPr>
        <w:t>Në mbështetje të nenit 16 të ligjit nr. 43/2015, “</w:t>
      </w:r>
      <w:r w:rsidRPr="00000FE2">
        <w:rPr>
          <w:rFonts w:ascii="Garamond" w:hAnsi="Garamond" w:cs="Times New Roman"/>
          <w:iCs/>
          <w:sz w:val="24"/>
          <w:szCs w:val="24"/>
        </w:rPr>
        <w:t>Për sektorin e energjisë elektrike</w:t>
      </w:r>
      <w:r w:rsidRPr="00000FE2">
        <w:rPr>
          <w:rFonts w:ascii="Garamond" w:hAnsi="Garamond" w:cs="Times New Roman"/>
          <w:sz w:val="24"/>
          <w:szCs w:val="24"/>
        </w:rPr>
        <w:t>”, i ndryshuar;</w:t>
      </w:r>
      <w:r w:rsidRPr="00000FE2">
        <w:rPr>
          <w:rFonts w:ascii="Garamond" w:hAnsi="Garamond" w:cs="Times New Roman"/>
          <w:b/>
          <w:bCs/>
          <w:sz w:val="24"/>
          <w:szCs w:val="24"/>
        </w:rPr>
        <w:t xml:space="preserve"> </w:t>
      </w:r>
      <w:r w:rsidRPr="00000FE2">
        <w:rPr>
          <w:rFonts w:ascii="Garamond" w:hAnsi="Garamond" w:cs="Times New Roman"/>
          <w:sz w:val="24"/>
          <w:szCs w:val="24"/>
        </w:rPr>
        <w:t>nenit 113 të ligjit nr. 44/2015</w:t>
      </w:r>
      <w:r w:rsidR="00B4095E" w:rsidRPr="00000FE2">
        <w:rPr>
          <w:rFonts w:ascii="Garamond" w:hAnsi="Garamond" w:cs="Times New Roman"/>
          <w:sz w:val="24"/>
          <w:szCs w:val="24"/>
        </w:rPr>
        <w:t>,</w:t>
      </w:r>
      <w:r w:rsidRPr="00000FE2">
        <w:rPr>
          <w:rFonts w:ascii="Garamond" w:hAnsi="Garamond" w:cs="Times New Roman"/>
          <w:sz w:val="24"/>
          <w:szCs w:val="24"/>
        </w:rPr>
        <w:t xml:space="preserve"> “</w:t>
      </w:r>
      <w:r w:rsidRPr="00000FE2">
        <w:rPr>
          <w:rFonts w:ascii="Garamond" w:hAnsi="Garamond" w:cs="Times New Roman"/>
          <w:iCs/>
          <w:sz w:val="24"/>
          <w:szCs w:val="24"/>
        </w:rPr>
        <w:t>Kodi i Procedurave Administrative të Republikës së Shqipërisë</w:t>
      </w:r>
      <w:r w:rsidRPr="00000FE2">
        <w:rPr>
          <w:rFonts w:ascii="Garamond" w:hAnsi="Garamond" w:cs="Times New Roman"/>
          <w:sz w:val="24"/>
          <w:szCs w:val="24"/>
        </w:rPr>
        <w:t xml:space="preserve">”; si dhe nenit 15, të </w:t>
      </w:r>
      <w:r w:rsidR="00B4095E" w:rsidRPr="00000FE2">
        <w:rPr>
          <w:rFonts w:ascii="Garamond" w:hAnsi="Garamond" w:cs="Times New Roman"/>
          <w:sz w:val="24"/>
          <w:szCs w:val="24"/>
        </w:rPr>
        <w:t>“</w:t>
      </w:r>
      <w:r w:rsidRPr="00000FE2">
        <w:rPr>
          <w:rFonts w:ascii="Garamond" w:hAnsi="Garamond" w:cs="Times New Roman"/>
          <w:iCs/>
          <w:sz w:val="24"/>
          <w:szCs w:val="24"/>
        </w:rPr>
        <w:t>Rregullores për organizimin, funksionimin dhe procedurat e ERE-s</w:t>
      </w:r>
      <w:r w:rsidR="00B4095E" w:rsidRPr="00000FE2">
        <w:rPr>
          <w:rFonts w:ascii="Garamond" w:hAnsi="Garamond" w:cs="Times New Roman"/>
          <w:iCs/>
          <w:sz w:val="24"/>
          <w:szCs w:val="24"/>
        </w:rPr>
        <w:t>”</w:t>
      </w:r>
      <w:r w:rsidRPr="00000FE2">
        <w:rPr>
          <w:rFonts w:ascii="Garamond" w:hAnsi="Garamond" w:cs="Times New Roman"/>
          <w:sz w:val="24"/>
          <w:szCs w:val="24"/>
        </w:rPr>
        <w:t xml:space="preserve">, miratuar me vendimin e </w:t>
      </w:r>
      <w:r w:rsidR="001B31BD" w:rsidRPr="00000FE2">
        <w:rPr>
          <w:rFonts w:ascii="Garamond" w:hAnsi="Garamond" w:cs="Times New Roman"/>
          <w:sz w:val="24"/>
          <w:szCs w:val="24"/>
        </w:rPr>
        <w:t xml:space="preserve">Bordit </w:t>
      </w:r>
      <w:r w:rsidRPr="00000FE2">
        <w:rPr>
          <w:rFonts w:ascii="Garamond" w:hAnsi="Garamond" w:cs="Times New Roman"/>
          <w:sz w:val="24"/>
          <w:szCs w:val="24"/>
        </w:rPr>
        <w:t xml:space="preserve">të Entit Rregullator të Energjisë (ERE) nr. 96, datë 17.6.2016; Bordi i ERE-s, në mbledhjen e tij të datës 7.8.2025, mbasi shqyrtoi relacionin e përgatitur nga Drejtoria e Politikave të Burimeve të Rinovueshme, me nr. 1545/6 prot., datë 4.7.2025 </w:t>
      </w:r>
      <w:r w:rsidRPr="00000FE2">
        <w:rPr>
          <w:rFonts w:ascii="Garamond" w:hAnsi="Garamond" w:cs="Times New Roman"/>
          <w:iCs/>
          <w:sz w:val="24"/>
          <w:szCs w:val="24"/>
        </w:rPr>
        <w:t xml:space="preserve">“Mbi disa ndryshime në vendimin e </w:t>
      </w:r>
      <w:r w:rsidR="001B31BD" w:rsidRPr="00000FE2">
        <w:rPr>
          <w:rFonts w:ascii="Garamond" w:hAnsi="Garamond" w:cs="Times New Roman"/>
          <w:iCs/>
          <w:sz w:val="24"/>
          <w:szCs w:val="24"/>
        </w:rPr>
        <w:t xml:space="preserve">Bordit </w:t>
      </w:r>
      <w:r w:rsidRPr="00000FE2">
        <w:rPr>
          <w:rFonts w:ascii="Garamond" w:hAnsi="Garamond" w:cs="Times New Roman"/>
          <w:iCs/>
          <w:sz w:val="24"/>
          <w:szCs w:val="24"/>
        </w:rPr>
        <w:t xml:space="preserve">të ERE-s nr. 108, datë 23.5.2025 </w:t>
      </w:r>
      <w:r w:rsidR="00000FE2" w:rsidRPr="00000FE2">
        <w:rPr>
          <w:rFonts w:ascii="Garamond" w:hAnsi="Garamond" w:cs="Times New Roman"/>
          <w:iCs/>
          <w:sz w:val="24"/>
          <w:szCs w:val="24"/>
        </w:rPr>
        <w:t>‘</w:t>
      </w:r>
      <w:r w:rsidRPr="00000FE2">
        <w:rPr>
          <w:rFonts w:ascii="Garamond" w:hAnsi="Garamond" w:cs="Times New Roman"/>
          <w:iCs/>
          <w:sz w:val="24"/>
          <w:szCs w:val="24"/>
        </w:rPr>
        <w:t xml:space="preserve">Mbi dhënien e autorizimit nga ERE për vendosjen e kuotave të shoqërisë </w:t>
      </w:r>
      <w:r w:rsidR="00B4095E" w:rsidRPr="00000FE2">
        <w:rPr>
          <w:rFonts w:ascii="Garamond" w:hAnsi="Garamond" w:cs="Times New Roman"/>
          <w:iCs/>
          <w:sz w:val="24"/>
          <w:szCs w:val="24"/>
        </w:rPr>
        <w:t>‘</w:t>
      </w:r>
      <w:r w:rsidRPr="00000FE2">
        <w:rPr>
          <w:rFonts w:ascii="Garamond" w:hAnsi="Garamond" w:cs="Times New Roman"/>
          <w:iCs/>
          <w:sz w:val="24"/>
          <w:szCs w:val="24"/>
        </w:rPr>
        <w:t>G.S.K</w:t>
      </w:r>
      <w:r w:rsidR="00B4095E" w:rsidRPr="00000FE2">
        <w:rPr>
          <w:rFonts w:ascii="Garamond" w:hAnsi="Garamond" w:cs="Times New Roman"/>
          <w:iCs/>
          <w:sz w:val="24"/>
          <w:szCs w:val="24"/>
        </w:rPr>
        <w:t>’</w:t>
      </w:r>
      <w:r w:rsidRPr="00000FE2">
        <w:rPr>
          <w:rFonts w:ascii="Garamond" w:hAnsi="Garamond" w:cs="Times New Roman"/>
          <w:iCs/>
          <w:sz w:val="24"/>
          <w:szCs w:val="24"/>
        </w:rPr>
        <w:t xml:space="preserve"> sh.p.k. si mjet për garantimin e detyrimit ndaj të tretëve</w:t>
      </w:r>
      <w:r w:rsidR="00000FE2" w:rsidRPr="00000FE2">
        <w:rPr>
          <w:rFonts w:ascii="Garamond" w:hAnsi="Garamond" w:cs="Times New Roman"/>
          <w:iCs/>
          <w:sz w:val="24"/>
          <w:szCs w:val="24"/>
        </w:rPr>
        <w:t>’</w:t>
      </w:r>
      <w:r w:rsidRPr="00000FE2">
        <w:rPr>
          <w:rFonts w:ascii="Garamond" w:hAnsi="Garamond" w:cs="Times New Roman"/>
          <w:iCs/>
          <w:sz w:val="24"/>
          <w:szCs w:val="24"/>
        </w:rPr>
        <w:t>”,</w:t>
      </w:r>
    </w:p>
    <w:p w14:paraId="301B8DCB" w14:textId="5D6ABB2F" w:rsidR="00E7772F" w:rsidRPr="00000FE2" w:rsidRDefault="00464B09" w:rsidP="00E7772F">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k</w:t>
      </w:r>
      <w:bookmarkStart w:id="0" w:name="_GoBack"/>
      <w:bookmarkEnd w:id="0"/>
      <w:r w:rsidR="00E7772F" w:rsidRPr="00000FE2">
        <w:rPr>
          <w:rFonts w:ascii="Garamond" w:hAnsi="Garamond" w:cs="Times New Roman"/>
          <w:bCs/>
          <w:sz w:val="24"/>
          <w:szCs w:val="24"/>
        </w:rPr>
        <w:t>onstatoi se:</w:t>
      </w:r>
    </w:p>
    <w:p w14:paraId="2C1B7D17" w14:textId="5F95D61D" w:rsidR="00E7772F" w:rsidRPr="00000FE2" w:rsidRDefault="00E7772F" w:rsidP="00E7772F">
      <w:pPr>
        <w:pStyle w:val="ListParagraph"/>
        <w:spacing w:after="0" w:line="240" w:lineRule="auto"/>
        <w:ind w:left="0" w:firstLine="284"/>
        <w:jc w:val="both"/>
        <w:rPr>
          <w:rFonts w:ascii="Garamond" w:hAnsi="Garamond" w:cs="Times New Roman"/>
          <w:b/>
          <w:bCs/>
          <w:sz w:val="24"/>
          <w:szCs w:val="24"/>
        </w:rPr>
      </w:pPr>
      <w:r w:rsidRPr="00000FE2">
        <w:rPr>
          <w:rFonts w:ascii="Garamond" w:hAnsi="Garamond" w:cs="Times New Roman"/>
          <w:b/>
          <w:bCs/>
          <w:sz w:val="24"/>
          <w:szCs w:val="24"/>
        </w:rPr>
        <w:t>1. Të dhëna mbi shoqërinë “G.S.K.” sh.p.k.</w:t>
      </w:r>
    </w:p>
    <w:p w14:paraId="359A94C0" w14:textId="3A221DA6" w:rsidR="00E7772F" w:rsidRPr="00000FE2" w:rsidRDefault="00E7772F" w:rsidP="00E7772F">
      <w:pPr>
        <w:pStyle w:val="ListParagraph"/>
        <w:tabs>
          <w:tab w:val="left" w:pos="0"/>
        </w:tabs>
        <w:spacing w:after="0" w:line="240" w:lineRule="auto"/>
        <w:ind w:left="0" w:firstLine="284"/>
        <w:jc w:val="both"/>
        <w:rPr>
          <w:rFonts w:ascii="Garamond" w:hAnsi="Garamond" w:cs="Times New Roman"/>
          <w:i/>
          <w:iCs/>
          <w:sz w:val="24"/>
          <w:szCs w:val="24"/>
        </w:rPr>
      </w:pPr>
      <w:r w:rsidRPr="00000FE2">
        <w:rPr>
          <w:rFonts w:ascii="Garamond" w:hAnsi="Garamond"/>
          <w:sz w:val="24"/>
          <w:szCs w:val="24"/>
        </w:rPr>
        <w:t xml:space="preserve">- </w:t>
      </w:r>
      <w:r w:rsidRPr="00000FE2">
        <w:rPr>
          <w:rFonts w:ascii="Garamond" w:hAnsi="Garamond" w:cs="Times New Roman"/>
          <w:sz w:val="24"/>
          <w:szCs w:val="24"/>
        </w:rPr>
        <w:t xml:space="preserve">Me vendimin nr. 254, datë 15.4.2023, i ndryshuar me vendimin nr. 151, datë 25.7.2024, Bordi i ERE-s ka licencuar shoqërinë “GSK” sh.p.k. në veprimtarinë e prodhimit të energjisë elektrike, nga centrali fotovoltaik me kapacitet të instaluar 2 </w:t>
      </w:r>
      <w:r w:rsidR="00B4095E" w:rsidRPr="00000FE2">
        <w:rPr>
          <w:rFonts w:ascii="Garamond" w:hAnsi="Garamond" w:cs="Times New Roman"/>
          <w:sz w:val="24"/>
          <w:szCs w:val="24"/>
        </w:rPr>
        <w:t>mw</w:t>
      </w:r>
      <w:r w:rsidRPr="00000FE2">
        <w:rPr>
          <w:rFonts w:ascii="Garamond" w:hAnsi="Garamond" w:cs="Times New Roman"/>
          <w:sz w:val="24"/>
          <w:szCs w:val="24"/>
        </w:rPr>
        <w:t>, për një afat 25-vjeçar.</w:t>
      </w:r>
    </w:p>
    <w:p w14:paraId="064968D6" w14:textId="1A269650" w:rsidR="00E7772F" w:rsidRPr="00000FE2" w:rsidRDefault="00E7772F" w:rsidP="00E7772F">
      <w:pPr>
        <w:pStyle w:val="ListParagraph"/>
        <w:tabs>
          <w:tab w:val="left" w:pos="0"/>
        </w:tabs>
        <w:spacing w:after="0" w:line="240" w:lineRule="auto"/>
        <w:ind w:left="0" w:firstLine="284"/>
        <w:jc w:val="both"/>
        <w:rPr>
          <w:rFonts w:ascii="Garamond" w:hAnsi="Garamond" w:cs="Times New Roman"/>
          <w:i/>
          <w:iCs/>
          <w:sz w:val="24"/>
          <w:szCs w:val="24"/>
        </w:rPr>
      </w:pPr>
      <w:r w:rsidRPr="00000FE2">
        <w:rPr>
          <w:rFonts w:ascii="Garamond" w:hAnsi="Garamond"/>
          <w:sz w:val="24"/>
          <w:szCs w:val="24"/>
        </w:rPr>
        <w:t xml:space="preserve">- </w:t>
      </w:r>
      <w:r w:rsidRPr="00000FE2">
        <w:rPr>
          <w:rFonts w:ascii="Garamond" w:hAnsi="Garamond" w:cs="Times New Roman"/>
          <w:sz w:val="24"/>
          <w:szCs w:val="24"/>
        </w:rPr>
        <w:t xml:space="preserve">Ndërsa me vendimin nr. 108, datë 23.5.2025, </w:t>
      </w:r>
      <w:r w:rsidR="00B4095E" w:rsidRPr="00000FE2">
        <w:rPr>
          <w:rFonts w:ascii="Garamond" w:hAnsi="Garamond" w:cs="Times New Roman"/>
          <w:sz w:val="24"/>
          <w:szCs w:val="24"/>
        </w:rPr>
        <w:t xml:space="preserve">Bordi </w:t>
      </w:r>
      <w:r w:rsidRPr="00000FE2">
        <w:rPr>
          <w:rFonts w:ascii="Garamond" w:hAnsi="Garamond" w:cs="Times New Roman"/>
          <w:sz w:val="24"/>
          <w:szCs w:val="24"/>
        </w:rPr>
        <w:t>i ERE-s, ka miratuar dhënien e autorizimit për vendosjen e kuotave të shoqërisë “GSK” sh.p.k. si mjet për të garantuar përmbushjen e detyrimit ndaj të tretëve, duke përcaktuar</w:t>
      </w:r>
      <w:r w:rsidRPr="00000FE2">
        <w:rPr>
          <w:rFonts w:ascii="Garamond" w:hAnsi="Garamond" w:cs="Times New Roman"/>
          <w:i/>
          <w:iCs/>
          <w:sz w:val="24"/>
          <w:szCs w:val="24"/>
        </w:rPr>
        <w:t xml:space="preserve">: 1. Dhënien e autorizimit të ERE-s për vendosjen e kuotave të shoqërisë “G.S.K” sh.p.k. si mjet (barrë siguruese) për garantimin e përmbushjes së detyrimeve ndaj bankës “OTP ALBANIA” sh.a. (për kontratën e kredisë datë 14.4.2025). 2. Dhënia e </w:t>
      </w:r>
      <w:r w:rsidR="00B4095E" w:rsidRPr="00000FE2">
        <w:rPr>
          <w:rFonts w:ascii="Garamond" w:hAnsi="Garamond" w:cs="Times New Roman"/>
          <w:i/>
          <w:iCs/>
          <w:sz w:val="24"/>
          <w:szCs w:val="24"/>
        </w:rPr>
        <w:t>a</w:t>
      </w:r>
      <w:r w:rsidRPr="00000FE2">
        <w:rPr>
          <w:rFonts w:ascii="Garamond" w:hAnsi="Garamond" w:cs="Times New Roman"/>
          <w:i/>
          <w:iCs/>
          <w:sz w:val="24"/>
          <w:szCs w:val="24"/>
        </w:rPr>
        <w:t>utorizimit nga ERE sipas përcaktimeve të pikës 1 të këtij vendimi nuk e çliron shoqërinë “G.S.K” sh.p.k. nga detyrimi për të marrë autorizimin/miratimin e organeve të tjera apo palëve të treta për këtë ndryshim, në rast se kjo kërkohet nga këto organe. 3. Shoqëria “G.S.K” sh.p.k. duhet të depozitojë në ERE ekstraktin historik të regjistrit tregtar brenda 10 (dhjetë) ditëve nga reflektimi në të i vendosjes së kolateralit mbi kuotat e saj. 4. Shoqëria duhet të njoftojë ERE-n për heqjen e barrës siguruese mbi kuotat ose në rast të ndodhjes së një ekzekutimi të detyrueshëm. 5. Ky vendim është objekt rishikimi nga ERE në varësi të plotësimit/mosplotësimit të kushteve të vendosura në pikat 2 dhe 3 të këtij vendimi.</w:t>
      </w:r>
    </w:p>
    <w:p w14:paraId="7FAB41CD" w14:textId="3C027223" w:rsidR="00E7772F" w:rsidRPr="00000FE2" w:rsidRDefault="00E7772F" w:rsidP="00E7772F">
      <w:pPr>
        <w:pStyle w:val="NormalWeb"/>
        <w:spacing w:before="0" w:beforeAutospacing="0" w:after="0" w:afterAutospacing="0"/>
        <w:ind w:firstLine="284"/>
        <w:jc w:val="both"/>
        <w:rPr>
          <w:rFonts w:ascii="Garamond" w:hAnsi="Garamond"/>
          <w:b/>
          <w:bCs/>
          <w:lang w:val="sq-AL"/>
        </w:rPr>
      </w:pPr>
      <w:r w:rsidRPr="00000FE2">
        <w:rPr>
          <w:rFonts w:ascii="Garamond" w:hAnsi="Garamond"/>
          <w:b/>
          <w:bCs/>
          <w:lang w:val="sq-AL"/>
        </w:rPr>
        <w:t>2. Dokumentacioni i depozituar nga shoqëria</w:t>
      </w:r>
    </w:p>
    <w:p w14:paraId="6808573F" w14:textId="44B7D290" w:rsidR="00E7772F" w:rsidRPr="00000FE2" w:rsidRDefault="00E7772F" w:rsidP="00E7772F">
      <w:pPr>
        <w:pStyle w:val="NormalWeb"/>
        <w:spacing w:before="0" w:beforeAutospacing="0" w:after="0" w:afterAutospacing="0"/>
        <w:ind w:firstLine="284"/>
        <w:jc w:val="both"/>
        <w:rPr>
          <w:rFonts w:ascii="Garamond" w:hAnsi="Garamond"/>
          <w:b/>
          <w:bCs/>
          <w:lang w:val="sq-AL"/>
        </w:rPr>
      </w:pPr>
      <w:r w:rsidRPr="00000FE2">
        <w:rPr>
          <w:rFonts w:ascii="Garamond" w:hAnsi="Garamond"/>
          <w:lang w:val="sq-AL"/>
        </w:rPr>
        <w:t>- Shoqëria “GSK” sh.p.k., me shkresën nr. 64 prot., datë 8.7.2025, protokolluar në ERE me nr. 1545/5 prot., datë 8.7.2025, ka përcjellë kopjen e ekstraktit historik të regjistrit tregtar të shoqërisë, në të cilin reflektohet regjistrimi në QKB i marrëveshjes siguruese nr. 3145 rep., nr. 1387 kol., datë 14.4.2025, e lidhur ndërmjet shoqërisë, në cilësinë e barrëdhënësit, dhe bankës “OTP Albania” sh.a., në cilësinë e barrëmarrësit/kredidhënësit, me objekt vendosjen e një barre siguruese të radhës së parë mbi 100% të kuotave dhe të drejtave që lidhen me to, si garanci për shlyerjen e plotë dhe të pakushtëzuar të detyrimeve të siguruara.</w:t>
      </w:r>
    </w:p>
    <w:p w14:paraId="047A3A6A" w14:textId="2F5A8C1D" w:rsidR="00E7772F" w:rsidRPr="00000FE2" w:rsidRDefault="00E7772F" w:rsidP="00E7772F">
      <w:pPr>
        <w:pStyle w:val="NormalWeb"/>
        <w:spacing w:before="0" w:beforeAutospacing="0" w:after="0" w:afterAutospacing="0"/>
        <w:ind w:firstLine="284"/>
        <w:jc w:val="both"/>
        <w:rPr>
          <w:rFonts w:ascii="Garamond" w:hAnsi="Garamond"/>
          <w:b/>
          <w:bCs/>
          <w:lang w:val="sq-AL"/>
        </w:rPr>
      </w:pPr>
      <w:r w:rsidRPr="00000FE2">
        <w:rPr>
          <w:rFonts w:ascii="Garamond" w:hAnsi="Garamond"/>
          <w:b/>
          <w:bCs/>
          <w:lang w:val="sq-AL"/>
        </w:rPr>
        <w:t xml:space="preserve">3. Analiza </w:t>
      </w:r>
      <w:r w:rsidR="00000FE2" w:rsidRPr="00000FE2">
        <w:rPr>
          <w:rFonts w:ascii="Garamond" w:hAnsi="Garamond"/>
          <w:b/>
          <w:bCs/>
          <w:lang w:val="sq-AL"/>
        </w:rPr>
        <w:t>ligjore dhe vlerësimi</w:t>
      </w:r>
    </w:p>
    <w:p w14:paraId="601FA43C" w14:textId="1879105F" w:rsidR="00E7772F" w:rsidRPr="00000FE2" w:rsidRDefault="00E7772F" w:rsidP="00E7772F">
      <w:pPr>
        <w:pStyle w:val="NormalWeb"/>
        <w:spacing w:before="0" w:beforeAutospacing="0" w:after="0" w:afterAutospacing="0"/>
        <w:ind w:firstLine="284"/>
        <w:jc w:val="both"/>
        <w:rPr>
          <w:rFonts w:ascii="Garamond" w:hAnsi="Garamond"/>
          <w:lang w:val="sq-AL"/>
        </w:rPr>
      </w:pPr>
      <w:r w:rsidRPr="00000FE2">
        <w:rPr>
          <w:rFonts w:ascii="Garamond" w:hAnsi="Garamond"/>
          <w:lang w:val="sq-AL"/>
        </w:rPr>
        <w:t xml:space="preserve">- Duke marrë në konsideratë përcaktimet e vendimit të </w:t>
      </w:r>
      <w:r w:rsidR="001B31BD" w:rsidRPr="00000FE2">
        <w:rPr>
          <w:rFonts w:ascii="Garamond" w:hAnsi="Garamond"/>
          <w:lang w:val="sq-AL"/>
        </w:rPr>
        <w:t xml:space="preserve">Bordit </w:t>
      </w:r>
      <w:r w:rsidRPr="00000FE2">
        <w:rPr>
          <w:rFonts w:ascii="Garamond" w:hAnsi="Garamond"/>
          <w:lang w:val="sq-AL"/>
        </w:rPr>
        <w:t>të ERE</w:t>
      </w:r>
      <w:r w:rsidR="001B31BD">
        <w:rPr>
          <w:rFonts w:ascii="Garamond" w:hAnsi="Garamond"/>
          <w:lang w:val="sq-AL"/>
        </w:rPr>
        <w:t>-s</w:t>
      </w:r>
      <w:r w:rsidRPr="00000FE2">
        <w:rPr>
          <w:rFonts w:ascii="Garamond" w:hAnsi="Garamond"/>
          <w:lang w:val="sq-AL"/>
        </w:rPr>
        <w:t xml:space="preserve"> nr. 108, datë 23.5.2025, rezulton se shoqëria “GSK” sh.p.k. ka përmbushur kushtin e përcaktuar në pikën 3 të këtij vendimi, pasi ka depozituar në ERE ekstraktin historik të përditësuar të regjistrit tregtar më datë 8.7.2025, duke reflektuar regjistrimin në QKB të marrëveshjes siguruese nr. 3145 rep., nr. 1387 kol., datë 14.4.2025.</w:t>
      </w:r>
    </w:p>
    <w:p w14:paraId="38EC86B0" w14:textId="76BCA048" w:rsidR="00E7772F" w:rsidRPr="00000FE2" w:rsidRDefault="00E7772F" w:rsidP="00E7772F">
      <w:pPr>
        <w:pStyle w:val="NormalWeb"/>
        <w:spacing w:before="0" w:beforeAutospacing="0" w:after="0" w:afterAutospacing="0"/>
        <w:ind w:firstLine="284"/>
        <w:jc w:val="both"/>
        <w:rPr>
          <w:rFonts w:ascii="Garamond" w:hAnsi="Garamond"/>
          <w:lang w:val="sq-AL"/>
        </w:rPr>
      </w:pPr>
      <w:r w:rsidRPr="00000FE2">
        <w:rPr>
          <w:rFonts w:ascii="Garamond" w:hAnsi="Garamond"/>
          <w:lang w:val="sq-AL"/>
        </w:rPr>
        <w:t>- Përditësimi i ekstraktit historik të regjistrit tregtar është kryer më datë 4.7.2025 dhe është depozituar në ERE brenda afatit 10-ditor të përcaktuar në pikën 3 të vendimit të Bordit, duke respektuar kështu plotësisht kërkesat e vendimmarrjes.</w:t>
      </w:r>
    </w:p>
    <w:p w14:paraId="64F7CF33" w14:textId="24563029" w:rsidR="00E7772F" w:rsidRPr="00000FE2" w:rsidRDefault="00E7772F" w:rsidP="00E7772F">
      <w:pPr>
        <w:pStyle w:val="NormalWeb"/>
        <w:spacing w:before="0" w:beforeAutospacing="0" w:after="0" w:afterAutospacing="0"/>
        <w:ind w:firstLine="284"/>
        <w:jc w:val="both"/>
        <w:rPr>
          <w:rFonts w:ascii="Garamond" w:hAnsi="Garamond"/>
          <w:lang w:val="sq-AL"/>
        </w:rPr>
      </w:pPr>
      <w:r w:rsidRPr="00000FE2">
        <w:rPr>
          <w:rFonts w:ascii="Garamond" w:hAnsi="Garamond"/>
          <w:lang w:val="sq-AL"/>
        </w:rPr>
        <w:lastRenderedPageBreak/>
        <w:t xml:space="preserve">- Në këto kushte, vlerësohet se pika 3 e vendimit të </w:t>
      </w:r>
      <w:r w:rsidR="00000FE2" w:rsidRPr="00000FE2">
        <w:rPr>
          <w:rFonts w:ascii="Garamond" w:hAnsi="Garamond"/>
          <w:lang w:val="sq-AL"/>
        </w:rPr>
        <w:t xml:space="preserve">Bordit </w:t>
      </w:r>
      <w:r w:rsidRPr="00000FE2">
        <w:rPr>
          <w:rFonts w:ascii="Garamond" w:hAnsi="Garamond"/>
          <w:lang w:val="sq-AL"/>
        </w:rPr>
        <w:t>të ERE</w:t>
      </w:r>
      <w:r w:rsidR="00000FE2">
        <w:rPr>
          <w:rFonts w:ascii="Garamond" w:hAnsi="Garamond"/>
          <w:lang w:val="sq-AL"/>
        </w:rPr>
        <w:t>-s</w:t>
      </w:r>
      <w:r w:rsidRPr="00000FE2">
        <w:rPr>
          <w:rFonts w:ascii="Garamond" w:hAnsi="Garamond"/>
          <w:lang w:val="sq-AL"/>
        </w:rPr>
        <w:t xml:space="preserve"> nr. 108, datë 23.5.2025, duhet të shfuqizohet, pasi objekti i saj është përmbushur plotësisht dhe nuk ka më nevojë për ndjekje të mëtejshme institucionale. Në vijim, dhe për saktësi teknike të aktit administrativ, propozohet ndryshimi përkatës i pikës 5 të po këtij vendimi, nga formulimi aktual “</w:t>
      </w:r>
      <w:r w:rsidRPr="00000FE2">
        <w:rPr>
          <w:rFonts w:ascii="Garamond" w:hAnsi="Garamond"/>
          <w:i/>
          <w:iCs/>
          <w:lang w:val="sq-AL"/>
        </w:rPr>
        <w:t>Ky vendim është objekt rishikimi nga ERE në varësi të plotësimit/mosplotësimit të kushteve të vendosura në pikat 2 dhe 3 të këtij vendimi.</w:t>
      </w:r>
      <w:r w:rsidRPr="00000FE2">
        <w:rPr>
          <w:rFonts w:ascii="Garamond" w:hAnsi="Garamond"/>
          <w:lang w:val="sq-AL"/>
        </w:rPr>
        <w:t>” në këtë formulim “</w:t>
      </w:r>
      <w:r w:rsidRPr="00000FE2">
        <w:rPr>
          <w:rFonts w:ascii="Garamond" w:hAnsi="Garamond"/>
          <w:i/>
          <w:iCs/>
          <w:lang w:val="sq-AL"/>
        </w:rPr>
        <w:t>Ky vendim është objekt rishikimi nga ERE në varësi të plotësimit/mosplotësimit të kushtit të vendosur në pikën 2 të këtij vendimi.</w:t>
      </w:r>
      <w:r w:rsidRPr="00000FE2">
        <w:rPr>
          <w:rFonts w:ascii="Garamond" w:hAnsi="Garamond"/>
          <w:lang w:val="sq-AL"/>
        </w:rPr>
        <w:t xml:space="preserve">”, në përputhje me nenin 113 të </w:t>
      </w:r>
      <w:r w:rsidR="00000FE2" w:rsidRPr="00000FE2">
        <w:rPr>
          <w:rFonts w:ascii="Garamond" w:hAnsi="Garamond"/>
          <w:lang w:val="sq-AL"/>
        </w:rPr>
        <w:t xml:space="preserve">ligjit </w:t>
      </w:r>
      <w:r w:rsidRPr="00000FE2">
        <w:rPr>
          <w:rFonts w:ascii="Garamond" w:hAnsi="Garamond"/>
          <w:lang w:val="sq-AL"/>
        </w:rPr>
        <w:t>nr. 44/2015</w:t>
      </w:r>
      <w:r w:rsidR="00000FE2" w:rsidRPr="00000FE2">
        <w:rPr>
          <w:rFonts w:ascii="Garamond" w:hAnsi="Garamond"/>
          <w:lang w:val="sq-AL"/>
        </w:rPr>
        <w:t>,</w:t>
      </w:r>
      <w:r w:rsidRPr="00000FE2">
        <w:rPr>
          <w:rFonts w:ascii="Garamond" w:hAnsi="Garamond"/>
          <w:lang w:val="sq-AL"/>
        </w:rPr>
        <w:t xml:space="preserve"> “Kodi i Procedurave Administrative të Republikës së Shqipërisë”.</w:t>
      </w:r>
    </w:p>
    <w:p w14:paraId="28D8C6FC" w14:textId="2ACE42C3" w:rsidR="00E7772F" w:rsidRPr="00000FE2" w:rsidRDefault="00E7772F" w:rsidP="00E7772F">
      <w:pPr>
        <w:pStyle w:val="Heading3"/>
        <w:spacing w:before="0" w:line="240" w:lineRule="auto"/>
        <w:ind w:firstLine="284"/>
        <w:rPr>
          <w:rFonts w:ascii="Garamond" w:hAnsi="Garamond"/>
          <w:b/>
          <w:bCs/>
          <w:color w:val="auto"/>
        </w:rPr>
      </w:pPr>
      <w:r w:rsidRPr="00000FE2">
        <w:rPr>
          <w:rFonts w:ascii="Garamond" w:hAnsi="Garamond"/>
          <w:b/>
          <w:bCs/>
          <w:color w:val="auto"/>
        </w:rPr>
        <w:t xml:space="preserve">4. Nevoja për </w:t>
      </w:r>
      <w:r w:rsidR="00000FE2" w:rsidRPr="00000FE2">
        <w:rPr>
          <w:rFonts w:ascii="Garamond" w:hAnsi="Garamond"/>
          <w:b/>
          <w:bCs/>
          <w:color w:val="auto"/>
        </w:rPr>
        <w:t>ndryshimin e vendimit</w:t>
      </w:r>
    </w:p>
    <w:p w14:paraId="1F5677FB" w14:textId="3248A4E9" w:rsidR="00E7772F" w:rsidRPr="00000FE2" w:rsidRDefault="00E7772F" w:rsidP="00E7772F">
      <w:pPr>
        <w:pStyle w:val="ListParagraph"/>
        <w:spacing w:after="0" w:line="240" w:lineRule="auto"/>
        <w:ind w:left="0" w:firstLine="284"/>
        <w:jc w:val="both"/>
        <w:rPr>
          <w:rFonts w:ascii="Garamond" w:hAnsi="Garamond" w:cs="Times New Roman"/>
          <w:sz w:val="24"/>
          <w:szCs w:val="24"/>
        </w:rPr>
      </w:pPr>
      <w:r w:rsidRPr="00000FE2">
        <w:rPr>
          <w:rFonts w:ascii="Garamond" w:hAnsi="Garamond" w:cs="Times New Roman"/>
          <w:sz w:val="24"/>
          <w:szCs w:val="24"/>
        </w:rPr>
        <w:t xml:space="preserve">- Në mbështetje të nenit 113 të </w:t>
      </w:r>
      <w:r w:rsidR="00000FE2" w:rsidRPr="00000FE2">
        <w:rPr>
          <w:rFonts w:ascii="Garamond" w:hAnsi="Garamond" w:cs="Times New Roman"/>
          <w:sz w:val="24"/>
          <w:szCs w:val="24"/>
        </w:rPr>
        <w:t xml:space="preserve">ligjit </w:t>
      </w:r>
      <w:r w:rsidRPr="00000FE2">
        <w:rPr>
          <w:rFonts w:ascii="Garamond" w:hAnsi="Garamond" w:cs="Times New Roman"/>
          <w:sz w:val="24"/>
          <w:szCs w:val="24"/>
        </w:rPr>
        <w:t>nr. 44/2015</w:t>
      </w:r>
      <w:r w:rsidR="00000FE2" w:rsidRPr="00000FE2">
        <w:rPr>
          <w:rFonts w:ascii="Garamond" w:hAnsi="Garamond" w:cs="Times New Roman"/>
          <w:sz w:val="24"/>
          <w:szCs w:val="24"/>
        </w:rPr>
        <w:t>,</w:t>
      </w:r>
      <w:r w:rsidRPr="00000FE2">
        <w:rPr>
          <w:rFonts w:ascii="Garamond" w:hAnsi="Garamond" w:cs="Times New Roman"/>
          <w:sz w:val="24"/>
          <w:szCs w:val="24"/>
        </w:rPr>
        <w:t xml:space="preserve"> “Kodi i Procedurave Administrative të Republikës së Shqipërisë”, i cili parashikon se një akt administrativ mund të shfuqizohet nga organi publik që ka kompetencën për ta nxjerrë, vlerësohet se pika 3 e vendimit të bordit të ERE nr. 108, datë 23.5.2025, duhet të shfuqizohet.</w:t>
      </w:r>
    </w:p>
    <w:p w14:paraId="5345A822" w14:textId="4A5E480F" w:rsidR="00E7772F" w:rsidRPr="00000FE2" w:rsidRDefault="00E7772F" w:rsidP="00E7772F">
      <w:pPr>
        <w:pStyle w:val="ListParagraph"/>
        <w:spacing w:after="0" w:line="240" w:lineRule="auto"/>
        <w:ind w:left="0" w:firstLine="284"/>
        <w:jc w:val="both"/>
        <w:rPr>
          <w:rFonts w:ascii="Garamond" w:hAnsi="Garamond" w:cs="Times New Roman"/>
          <w:sz w:val="24"/>
          <w:szCs w:val="24"/>
        </w:rPr>
      </w:pPr>
      <w:r w:rsidRPr="00000FE2">
        <w:rPr>
          <w:rFonts w:ascii="Garamond" w:hAnsi="Garamond" w:cs="Times New Roman"/>
          <w:sz w:val="24"/>
          <w:szCs w:val="24"/>
        </w:rPr>
        <w:t>- Si pasojë, lind nevoja për të ndryshuar edhe pikën 5 të vendimit nr. 108/2025, në mënyrë që ajo të bëjë referencë vetëm ndaj kushtit të mbetur në fuqi – përkatësisht pikës 2 – duke siguruar përputhshmëri dhe qartësi në përmbajtjen e dispozitivit.</w:t>
      </w:r>
    </w:p>
    <w:p w14:paraId="39370AF4" w14:textId="4489A8C4" w:rsidR="00E7772F" w:rsidRPr="00000FE2" w:rsidRDefault="00E7772F" w:rsidP="00E7772F">
      <w:pPr>
        <w:pStyle w:val="CommentText"/>
        <w:ind w:firstLine="284"/>
        <w:jc w:val="both"/>
        <w:rPr>
          <w:rFonts w:ascii="Garamond" w:hAnsi="Garamond"/>
          <w:sz w:val="24"/>
          <w:szCs w:val="24"/>
        </w:rPr>
      </w:pPr>
      <w:r w:rsidRPr="00000FE2">
        <w:rPr>
          <w:rFonts w:ascii="Garamond" w:hAnsi="Garamond"/>
          <w:sz w:val="24"/>
          <w:szCs w:val="24"/>
        </w:rPr>
        <w:t xml:space="preserve">Për gjithë sa më sipër, </w:t>
      </w:r>
      <w:r w:rsidR="00000FE2" w:rsidRPr="00000FE2">
        <w:rPr>
          <w:rFonts w:ascii="Garamond" w:hAnsi="Garamond"/>
          <w:sz w:val="24"/>
          <w:szCs w:val="24"/>
        </w:rPr>
        <w:t xml:space="preserve">Bordi </w:t>
      </w:r>
      <w:r w:rsidRPr="00000FE2">
        <w:rPr>
          <w:rFonts w:ascii="Garamond" w:hAnsi="Garamond"/>
          <w:sz w:val="24"/>
          <w:szCs w:val="24"/>
        </w:rPr>
        <w:t xml:space="preserve">i ERE-s </w:t>
      </w:r>
    </w:p>
    <w:p w14:paraId="2E09D6B2" w14:textId="77777777" w:rsidR="00E7772F" w:rsidRPr="00000FE2" w:rsidRDefault="00E7772F" w:rsidP="00E7772F">
      <w:pPr>
        <w:pStyle w:val="CommentText"/>
        <w:ind w:firstLine="284"/>
        <w:jc w:val="center"/>
        <w:rPr>
          <w:rFonts w:ascii="Garamond" w:hAnsi="Garamond"/>
          <w:b/>
          <w:bCs/>
          <w:sz w:val="24"/>
          <w:szCs w:val="24"/>
        </w:rPr>
      </w:pPr>
    </w:p>
    <w:p w14:paraId="0FAC02E4" w14:textId="67060955" w:rsidR="00E7772F" w:rsidRPr="00000FE2" w:rsidRDefault="00E7772F" w:rsidP="00E7772F">
      <w:pPr>
        <w:pStyle w:val="CommentText"/>
        <w:ind w:firstLine="284"/>
        <w:jc w:val="center"/>
        <w:rPr>
          <w:rFonts w:ascii="Garamond" w:hAnsi="Garamond"/>
          <w:bCs/>
          <w:sz w:val="24"/>
          <w:szCs w:val="24"/>
        </w:rPr>
      </w:pPr>
      <w:r w:rsidRPr="00000FE2">
        <w:rPr>
          <w:rFonts w:ascii="Garamond" w:hAnsi="Garamond"/>
          <w:bCs/>
          <w:sz w:val="24"/>
          <w:szCs w:val="24"/>
        </w:rPr>
        <w:t>VENDOSI:</w:t>
      </w:r>
    </w:p>
    <w:p w14:paraId="54F7ACE8" w14:textId="77777777" w:rsidR="00E7772F" w:rsidRPr="00000FE2" w:rsidRDefault="00E7772F" w:rsidP="00E7772F">
      <w:pPr>
        <w:pStyle w:val="CommentText"/>
        <w:ind w:firstLine="284"/>
        <w:jc w:val="center"/>
        <w:rPr>
          <w:rFonts w:ascii="Garamond" w:hAnsi="Garamond"/>
          <w:b/>
          <w:bCs/>
          <w:sz w:val="24"/>
          <w:szCs w:val="24"/>
        </w:rPr>
      </w:pPr>
    </w:p>
    <w:p w14:paraId="3CB13672" w14:textId="701C33C7" w:rsidR="00E7772F" w:rsidRPr="00000FE2" w:rsidRDefault="00E7772F" w:rsidP="00E7772F">
      <w:pPr>
        <w:pStyle w:val="ListParagraph"/>
        <w:spacing w:after="0" w:line="240" w:lineRule="auto"/>
        <w:ind w:left="0" w:firstLine="284"/>
        <w:jc w:val="both"/>
        <w:rPr>
          <w:rFonts w:ascii="Garamond" w:hAnsi="Garamond" w:cs="Times New Roman"/>
          <w:sz w:val="24"/>
          <w:szCs w:val="24"/>
        </w:rPr>
      </w:pPr>
      <w:r w:rsidRPr="00000FE2">
        <w:rPr>
          <w:rFonts w:ascii="Garamond" w:hAnsi="Garamond" w:cs="Times New Roman"/>
          <w:sz w:val="24"/>
          <w:szCs w:val="24"/>
        </w:rPr>
        <w:t xml:space="preserve">1. Pika 3 e vendimit të bordit të ERE nr. 181, datë 23.5.2025, shfuqizohet. </w:t>
      </w:r>
    </w:p>
    <w:p w14:paraId="7582780C" w14:textId="04FB4B90" w:rsidR="00E7772F" w:rsidRPr="00000FE2" w:rsidRDefault="00E7772F" w:rsidP="00E7772F">
      <w:pPr>
        <w:pStyle w:val="CommentText"/>
        <w:ind w:firstLine="284"/>
        <w:jc w:val="both"/>
        <w:rPr>
          <w:rFonts w:ascii="Garamond" w:hAnsi="Garamond"/>
          <w:b/>
          <w:bCs/>
          <w:sz w:val="24"/>
          <w:szCs w:val="24"/>
        </w:rPr>
      </w:pPr>
      <w:r w:rsidRPr="00000FE2">
        <w:rPr>
          <w:rFonts w:ascii="Garamond" w:hAnsi="Garamond"/>
          <w:sz w:val="24"/>
          <w:szCs w:val="24"/>
        </w:rPr>
        <w:t>2. Pikat 5 e vendimit të bordit të ERE-s nr. 181, datë 23.5.2025, ndryshon dhe bëhet:</w:t>
      </w:r>
    </w:p>
    <w:p w14:paraId="29444CE3" w14:textId="77777777" w:rsidR="00E7772F" w:rsidRPr="00000FE2" w:rsidRDefault="00E7772F" w:rsidP="00E7772F">
      <w:pPr>
        <w:pStyle w:val="CommentText"/>
        <w:ind w:firstLine="284"/>
        <w:jc w:val="both"/>
        <w:rPr>
          <w:rFonts w:ascii="Garamond" w:hAnsi="Garamond"/>
          <w:b/>
          <w:bCs/>
          <w:sz w:val="24"/>
          <w:szCs w:val="24"/>
        </w:rPr>
      </w:pPr>
      <w:r w:rsidRPr="00000FE2">
        <w:rPr>
          <w:rFonts w:ascii="Garamond" w:hAnsi="Garamond"/>
          <w:i/>
          <w:iCs/>
          <w:sz w:val="24"/>
          <w:szCs w:val="24"/>
        </w:rPr>
        <w:t>5.</w:t>
      </w:r>
      <w:r w:rsidRPr="00000FE2">
        <w:rPr>
          <w:rFonts w:ascii="Garamond" w:hAnsi="Garamond"/>
          <w:sz w:val="24"/>
          <w:szCs w:val="24"/>
        </w:rPr>
        <w:t xml:space="preserve"> “</w:t>
      </w:r>
      <w:r w:rsidRPr="00000FE2">
        <w:rPr>
          <w:rFonts w:ascii="Garamond" w:hAnsi="Garamond"/>
          <w:i/>
          <w:iCs/>
          <w:sz w:val="24"/>
          <w:szCs w:val="24"/>
        </w:rPr>
        <w:t>Ky vendim është objekt rishikimi nga ERE në varësi të plotësimit/mosplotësimit të kushtit të vendosur në pikën 2 të këtij vendimi.</w:t>
      </w:r>
      <w:r w:rsidRPr="00000FE2">
        <w:rPr>
          <w:rFonts w:ascii="Garamond" w:hAnsi="Garamond"/>
          <w:sz w:val="24"/>
          <w:szCs w:val="24"/>
        </w:rPr>
        <w:t>”</w:t>
      </w:r>
    </w:p>
    <w:p w14:paraId="734DFC5B" w14:textId="0D825743" w:rsidR="00E7772F" w:rsidRPr="00000FE2" w:rsidRDefault="00E7772F" w:rsidP="00E7772F">
      <w:pPr>
        <w:pStyle w:val="CommentText"/>
        <w:ind w:firstLine="284"/>
        <w:jc w:val="both"/>
        <w:rPr>
          <w:rFonts w:ascii="Garamond" w:hAnsi="Garamond"/>
          <w:b/>
          <w:bCs/>
          <w:sz w:val="24"/>
          <w:szCs w:val="24"/>
        </w:rPr>
      </w:pPr>
      <w:r w:rsidRPr="00000FE2">
        <w:rPr>
          <w:rFonts w:ascii="Garamond" w:hAnsi="Garamond"/>
          <w:sz w:val="24"/>
          <w:szCs w:val="24"/>
        </w:rPr>
        <w:t xml:space="preserve">3. Drejtoria e Politikave të Burimeve të Rinovueshme të njoftojë shoqërinë “G.S.K.” sh.p.k., për vendimin e </w:t>
      </w:r>
      <w:r w:rsidR="00000FE2" w:rsidRPr="00000FE2">
        <w:rPr>
          <w:rFonts w:ascii="Garamond" w:hAnsi="Garamond"/>
          <w:sz w:val="24"/>
          <w:szCs w:val="24"/>
        </w:rPr>
        <w:t xml:space="preserve">Bordit </w:t>
      </w:r>
      <w:r w:rsidRPr="00000FE2">
        <w:rPr>
          <w:rFonts w:ascii="Garamond" w:hAnsi="Garamond"/>
          <w:sz w:val="24"/>
          <w:szCs w:val="24"/>
        </w:rPr>
        <w:t>të ERE-s.</w:t>
      </w:r>
    </w:p>
    <w:p w14:paraId="0D15564D" w14:textId="77777777" w:rsidR="00E7772F" w:rsidRPr="00000FE2" w:rsidRDefault="00E7772F" w:rsidP="00E7772F">
      <w:pPr>
        <w:spacing w:after="0" w:line="240" w:lineRule="auto"/>
        <w:ind w:firstLine="284"/>
        <w:jc w:val="both"/>
        <w:rPr>
          <w:rFonts w:ascii="Garamond" w:hAnsi="Garamond" w:cs="Times New Roman"/>
          <w:sz w:val="24"/>
          <w:szCs w:val="24"/>
        </w:rPr>
      </w:pPr>
      <w:r w:rsidRPr="00000FE2">
        <w:rPr>
          <w:rFonts w:ascii="Garamond" w:hAnsi="Garamond" w:cs="Times New Roman"/>
          <w:sz w:val="24"/>
          <w:szCs w:val="24"/>
        </w:rPr>
        <w:t>Ky vendim hyn në fuqi menjëherë.</w:t>
      </w:r>
    </w:p>
    <w:p w14:paraId="3BFC5F2A" w14:textId="5EAA227B" w:rsidR="00E7772F" w:rsidRPr="00000FE2" w:rsidRDefault="00E7772F" w:rsidP="00E7772F">
      <w:pPr>
        <w:spacing w:after="0" w:line="240" w:lineRule="auto"/>
        <w:ind w:firstLine="284"/>
        <w:jc w:val="both"/>
        <w:rPr>
          <w:rFonts w:ascii="Garamond" w:hAnsi="Garamond" w:cs="Times New Roman"/>
          <w:sz w:val="24"/>
          <w:szCs w:val="24"/>
        </w:rPr>
      </w:pPr>
      <w:r w:rsidRPr="00000FE2">
        <w:rPr>
          <w:rFonts w:ascii="Garamond" w:hAnsi="Garamond" w:cs="Times New Roman"/>
          <w:sz w:val="24"/>
          <w:szCs w:val="24"/>
        </w:rPr>
        <w:t xml:space="preserve">Çdo palë e përfshirë në këtë procedurë mund t’i kërkojë ERE-s, brenda 7 ditëve kalendarike nga data e marrjes dijeni, rishikimin e vendimit të </w:t>
      </w:r>
      <w:r w:rsidR="00000FE2" w:rsidRPr="00000FE2">
        <w:rPr>
          <w:rFonts w:ascii="Garamond" w:hAnsi="Garamond" w:cs="Times New Roman"/>
          <w:sz w:val="24"/>
          <w:szCs w:val="24"/>
        </w:rPr>
        <w:t xml:space="preserve">Bordit </w:t>
      </w:r>
      <w:r w:rsidRPr="00000FE2">
        <w:rPr>
          <w:rFonts w:ascii="Garamond" w:hAnsi="Garamond" w:cs="Times New Roman"/>
          <w:sz w:val="24"/>
          <w:szCs w:val="24"/>
        </w:rPr>
        <w:t xml:space="preserve">në rast se ka siguruar prova të reja që mund ta çojnë </w:t>
      </w:r>
      <w:r w:rsidR="00000FE2" w:rsidRPr="00000FE2">
        <w:rPr>
          <w:rFonts w:ascii="Garamond" w:hAnsi="Garamond" w:cs="Times New Roman"/>
          <w:sz w:val="24"/>
          <w:szCs w:val="24"/>
        </w:rPr>
        <w:t xml:space="preserve">Bordin </w:t>
      </w:r>
      <w:r w:rsidRPr="00000FE2">
        <w:rPr>
          <w:rFonts w:ascii="Garamond" w:hAnsi="Garamond" w:cs="Times New Roman"/>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633E897" w14:textId="77777777" w:rsidR="00E7772F" w:rsidRPr="00000FE2" w:rsidRDefault="00E7772F" w:rsidP="00E7772F">
      <w:pPr>
        <w:spacing w:after="0" w:line="240" w:lineRule="auto"/>
        <w:ind w:firstLine="284"/>
        <w:jc w:val="both"/>
        <w:rPr>
          <w:rFonts w:ascii="Garamond" w:hAnsi="Garamond" w:cs="Times New Roman"/>
          <w:sz w:val="24"/>
          <w:szCs w:val="24"/>
        </w:rPr>
      </w:pPr>
      <w:r w:rsidRPr="00000FE2">
        <w:rPr>
          <w:rFonts w:ascii="Garamond" w:hAnsi="Garamond" w:cs="Times New Roman"/>
          <w:sz w:val="24"/>
          <w:szCs w:val="24"/>
        </w:rPr>
        <w:t>Ky vendim botohet në Fletoren Zyrtare.</w:t>
      </w:r>
    </w:p>
    <w:p w14:paraId="606EB1D5" w14:textId="77777777" w:rsidR="00E7772F" w:rsidRPr="00000FE2" w:rsidRDefault="00E7772F" w:rsidP="00E7772F">
      <w:pPr>
        <w:spacing w:after="0" w:line="240" w:lineRule="auto"/>
        <w:ind w:firstLine="284"/>
        <w:jc w:val="both"/>
        <w:rPr>
          <w:rFonts w:ascii="Garamond" w:hAnsi="Garamond" w:cs="Times New Roman"/>
          <w:sz w:val="24"/>
          <w:szCs w:val="24"/>
        </w:rPr>
      </w:pPr>
    </w:p>
    <w:p w14:paraId="11A93570" w14:textId="6DA0EF92" w:rsidR="00E7772F" w:rsidRPr="00000FE2" w:rsidRDefault="00E7772F" w:rsidP="00E7772F">
      <w:pPr>
        <w:tabs>
          <w:tab w:val="left" w:pos="7460"/>
        </w:tabs>
        <w:spacing w:after="0" w:line="240" w:lineRule="auto"/>
        <w:ind w:firstLine="284"/>
        <w:jc w:val="right"/>
        <w:rPr>
          <w:rFonts w:ascii="Garamond" w:hAnsi="Garamond" w:cs="Times New Roman"/>
          <w:bCs/>
          <w:sz w:val="24"/>
          <w:szCs w:val="24"/>
        </w:rPr>
      </w:pPr>
      <w:r w:rsidRPr="00000FE2">
        <w:rPr>
          <w:rFonts w:ascii="Garamond" w:hAnsi="Garamond" w:cs="Times New Roman"/>
          <w:sz w:val="24"/>
          <w:szCs w:val="24"/>
        </w:rPr>
        <w:t xml:space="preserve"> </w:t>
      </w:r>
      <w:r w:rsidRPr="00000FE2">
        <w:rPr>
          <w:rFonts w:ascii="Garamond" w:hAnsi="Garamond" w:cs="Times New Roman"/>
          <w:bCs/>
          <w:sz w:val="24"/>
          <w:szCs w:val="24"/>
        </w:rPr>
        <w:t>KRYETAR</w:t>
      </w:r>
    </w:p>
    <w:p w14:paraId="2373C33C" w14:textId="233B40F4" w:rsidR="00E7772F" w:rsidRPr="00000FE2" w:rsidRDefault="00B4095E" w:rsidP="00E7772F">
      <w:pPr>
        <w:tabs>
          <w:tab w:val="left" w:pos="7460"/>
        </w:tabs>
        <w:spacing w:after="0" w:line="240" w:lineRule="auto"/>
        <w:ind w:firstLine="284"/>
        <w:jc w:val="right"/>
        <w:rPr>
          <w:rFonts w:ascii="Garamond" w:hAnsi="Garamond" w:cs="Times New Roman"/>
          <w:b/>
          <w:bCs/>
          <w:sz w:val="24"/>
          <w:szCs w:val="24"/>
        </w:rPr>
      </w:pPr>
      <w:r w:rsidRPr="00000FE2">
        <w:rPr>
          <w:rFonts w:ascii="Garamond" w:hAnsi="Garamond" w:cs="Times New Roman"/>
          <w:b/>
          <w:bCs/>
          <w:sz w:val="24"/>
          <w:szCs w:val="24"/>
        </w:rPr>
        <w:t xml:space="preserve">                                                             </w:t>
      </w:r>
      <w:r w:rsidR="00E7772F" w:rsidRPr="00000FE2">
        <w:rPr>
          <w:rFonts w:ascii="Garamond" w:hAnsi="Garamond" w:cs="Times New Roman"/>
          <w:b/>
          <w:bCs/>
          <w:sz w:val="24"/>
          <w:szCs w:val="24"/>
        </w:rPr>
        <w:t>Petrit Ahmeti</w:t>
      </w:r>
    </w:p>
    <w:sectPr w:rsidR="00E7772F" w:rsidRPr="00000FE2">
      <w:footerReference w:type="default" r:id="rId12"/>
      <w:pgSz w:w="12240" w:h="15840"/>
      <w:pgMar w:top="1260" w:right="1440" w:bottom="1440" w:left="1440" w:header="708"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1D5C56" w14:textId="77777777" w:rsidR="00464B09" w:rsidRDefault="00464B09">
      <w:pPr>
        <w:spacing w:after="0" w:line="240" w:lineRule="auto"/>
      </w:pPr>
      <w:r>
        <w:separator/>
      </w:r>
    </w:p>
  </w:endnote>
  <w:endnote w:type="continuationSeparator" w:id="0">
    <w:p w14:paraId="6E95F1FC" w14:textId="77777777" w:rsidR="00464B09" w:rsidRDefault="00464B09">
      <w:pPr>
        <w:spacing w:after="0" w:line="240" w:lineRule="auto"/>
      </w:pPr>
      <w:r>
        <w:continuationSeparator/>
      </w:r>
    </w:p>
  </w:endnote>
  <w:endnote w:type="continuationNotice" w:id="1">
    <w:p w14:paraId="5770B2BF" w14:textId="77777777" w:rsidR="00464B09" w:rsidRDefault="00464B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53717" w14:textId="77777777" w:rsidR="00464B09" w:rsidRDefault="00464B09">
    <w:pPr>
      <w:tabs>
        <w:tab w:val="center" w:pos="4680"/>
        <w:tab w:val="right" w:pos="9360"/>
      </w:tabs>
      <w:jc w:val="cen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07F68" w14:textId="77777777" w:rsidR="00464B09" w:rsidRDefault="00464B09">
      <w:pPr>
        <w:spacing w:after="0" w:line="240" w:lineRule="auto"/>
      </w:pPr>
      <w:r>
        <w:separator/>
      </w:r>
    </w:p>
  </w:footnote>
  <w:footnote w:type="continuationSeparator" w:id="0">
    <w:p w14:paraId="32739ED3" w14:textId="77777777" w:rsidR="00464B09" w:rsidRDefault="00464B09">
      <w:pPr>
        <w:spacing w:after="0" w:line="240" w:lineRule="auto"/>
      </w:pPr>
      <w:r>
        <w:continuationSeparator/>
      </w:r>
    </w:p>
  </w:footnote>
  <w:footnote w:type="continuationNotice" w:id="1">
    <w:p w14:paraId="6D340893" w14:textId="77777777" w:rsidR="00464B09" w:rsidRDefault="00464B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37257D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48881180"/>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4C8C13E"/>
    <w:lvl w:ilvl="0" w:tplc="64EC38BC">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D5F4AF88"/>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30FEF600"/>
    <w:lvl w:ilvl="0" w:tplc="E2A8C7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4CF26F02"/>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A3046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0000008"/>
    <w:multiLevelType w:val="hybridMultilevel"/>
    <w:tmpl w:val="17324F3A"/>
    <w:lvl w:ilvl="0" w:tplc="AF386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B37415C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000000A"/>
    <w:multiLevelType w:val="hybridMultilevel"/>
    <w:tmpl w:val="FE72E444"/>
    <w:lvl w:ilvl="0" w:tplc="04090011">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0" w15:restartNumberingAfterBreak="0">
    <w:nsid w:val="0000000B"/>
    <w:multiLevelType w:val="hybridMultilevel"/>
    <w:tmpl w:val="C18E0722"/>
    <w:lvl w:ilvl="0" w:tplc="08D096D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000000C"/>
    <w:multiLevelType w:val="hybridMultilevel"/>
    <w:tmpl w:val="9BAE0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DDDA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0998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BB7C2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0000010"/>
    <w:multiLevelType w:val="hybridMultilevel"/>
    <w:tmpl w:val="0B528B2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00000011"/>
    <w:multiLevelType w:val="multilevel"/>
    <w:tmpl w:val="BDAC1FB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2"/>
    <w:multiLevelType w:val="hybridMultilevel"/>
    <w:tmpl w:val="7BD2C59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multilevel"/>
    <w:tmpl w:val="AD60E11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00000014"/>
    <w:multiLevelType w:val="hybridMultilevel"/>
    <w:tmpl w:val="BAF61718"/>
    <w:lvl w:ilvl="0" w:tplc="BCA20EDE">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0000015"/>
    <w:multiLevelType w:val="multilevel"/>
    <w:tmpl w:val="C372903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0000016"/>
    <w:multiLevelType w:val="hybridMultilevel"/>
    <w:tmpl w:val="A252B13A"/>
    <w:lvl w:ilvl="0" w:tplc="C51C6860">
      <w:start w:val="1"/>
      <w:numFmt w:val="decimal"/>
      <w:lvlText w:val="%1."/>
      <w:lvlJc w:val="left"/>
      <w:pPr>
        <w:ind w:left="360" w:hanging="360"/>
      </w:pPr>
      <w:rPr>
        <w:rFonts w:eastAsia="SimSu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0000017"/>
    <w:multiLevelType w:val="hybridMultilevel"/>
    <w:tmpl w:val="77D0CC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24EA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903E0898"/>
    <w:lvl w:ilvl="0" w:tplc="268C37BC">
      <w:start w:val="1"/>
      <w:numFmt w:val="decimal"/>
      <w:lvlText w:val="%1."/>
      <w:lvlJc w:val="left"/>
      <w:pPr>
        <w:ind w:left="360" w:hanging="360"/>
      </w:pPr>
      <w:rPr>
        <w:rFonts w:ascii="Times New Roman" w:eastAsia="Times New Roman" w:hAnsi="Times New Roman" w:cs="Times New Roman"/>
        <w:b w:val="0"/>
        <w:bCs/>
        <w:sz w:val="24"/>
        <w:szCs w:val="24"/>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0000001A"/>
    <w:multiLevelType w:val="hybridMultilevel"/>
    <w:tmpl w:val="1BB09D18"/>
    <w:lvl w:ilvl="0" w:tplc="9828D7D2">
      <w:start w:val="1"/>
      <w:numFmt w:val="bullet"/>
      <w:lvlText w:val="-"/>
      <w:lvlJc w:val="left"/>
      <w:pPr>
        <w:ind w:left="360" w:hanging="360"/>
      </w:pPr>
      <w:rPr>
        <w:rFonts w:ascii="Times New Roman" w:eastAsia="Calibri"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000001B"/>
    <w:multiLevelType w:val="hybridMultilevel"/>
    <w:tmpl w:val="FDE02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multilevel"/>
    <w:tmpl w:val="8FF0795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hybridMultilevel"/>
    <w:tmpl w:val="C59C6F9C"/>
    <w:lvl w:ilvl="0" w:tplc="254E73B0">
      <w:start w:val="2"/>
      <w:numFmt w:val="decimal"/>
      <w:lvlText w:val="%1."/>
      <w:lvlJc w:val="left"/>
      <w:pPr>
        <w:ind w:left="360" w:hanging="360"/>
      </w:pPr>
      <w:rPr>
        <w:rFonts w:eastAsia="Calibr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0000001E"/>
    <w:multiLevelType w:val="multilevel"/>
    <w:tmpl w:val="EF34405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0000001F"/>
    <w:multiLevelType w:val="hybridMultilevel"/>
    <w:tmpl w:val="F8321742"/>
    <w:lvl w:ilvl="0" w:tplc="9828D7D2">
      <w:start w:val="1"/>
      <w:numFmt w:val="bullet"/>
      <w:lvlText w:val="-"/>
      <w:lvlJc w:val="left"/>
      <w:pPr>
        <w:ind w:left="360" w:hanging="360"/>
      </w:pPr>
      <w:rPr>
        <w:rFonts w:ascii="Times New Roman" w:eastAsia="Calibri" w:hAnsi="Times New Roman"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00000020"/>
    <w:multiLevelType w:val="hybridMultilevel"/>
    <w:tmpl w:val="30F2126C"/>
    <w:lvl w:ilvl="0" w:tplc="16423D32">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0000021"/>
    <w:multiLevelType w:val="hybridMultilevel"/>
    <w:tmpl w:val="6F0EF412"/>
    <w:lvl w:ilvl="0" w:tplc="9828D7D2">
      <w:start w:val="1"/>
      <w:numFmt w:val="bullet"/>
      <w:lvlText w:val="-"/>
      <w:lvlJc w:val="left"/>
      <w:pPr>
        <w:ind w:left="360" w:hanging="360"/>
      </w:pPr>
      <w:rPr>
        <w:rFonts w:ascii="Times New Roman" w:eastAsia="Calibri" w:hAnsi="Times New Roman" w:cs="Times New Roman"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00000022"/>
    <w:multiLevelType w:val="hybridMultilevel"/>
    <w:tmpl w:val="8C066ADA"/>
    <w:lvl w:ilvl="0" w:tplc="2D5A210E">
      <w:start w:val="1"/>
      <w:numFmt w:val="bullet"/>
      <w:lvlText w:val="-"/>
      <w:lvlJc w:val="left"/>
      <w:pPr>
        <w:ind w:left="360" w:hanging="360"/>
      </w:pPr>
      <w:rPr>
        <w:rFonts w:ascii="Calibri" w:eastAsia="Calibri" w:hAnsi="Calibri" w:cs="Calibri"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0000023"/>
    <w:multiLevelType w:val="hybridMultilevel"/>
    <w:tmpl w:val="C416004C"/>
    <w:lvl w:ilvl="0" w:tplc="A3C6831E">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00000024"/>
    <w:multiLevelType w:val="hybridMultilevel"/>
    <w:tmpl w:val="78D4D860"/>
    <w:lvl w:ilvl="0" w:tplc="9828D7D2">
      <w:start w:val="1"/>
      <w:numFmt w:val="bullet"/>
      <w:lvlText w:val="-"/>
      <w:lvlJc w:val="left"/>
      <w:pPr>
        <w:ind w:left="360" w:hanging="360"/>
      </w:pPr>
      <w:rPr>
        <w:rFonts w:ascii="Times New Roman" w:eastAsia="Calibri" w:hAnsi="Times New Roman" w:cs="Times New Roman"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61053C2"/>
    <w:multiLevelType w:val="hybridMultilevel"/>
    <w:tmpl w:val="D1B6B26A"/>
    <w:lvl w:ilvl="0" w:tplc="14AA223C">
      <w:start w:val="3"/>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5"/>
  </w:num>
  <w:num w:numId="3">
    <w:abstractNumId w:val="9"/>
  </w:num>
  <w:num w:numId="4">
    <w:abstractNumId w:val="8"/>
  </w:num>
  <w:num w:numId="5">
    <w:abstractNumId w:val="15"/>
  </w:num>
  <w:num w:numId="6">
    <w:abstractNumId w:val="23"/>
  </w:num>
  <w:num w:numId="7">
    <w:abstractNumId w:val="12"/>
  </w:num>
  <w:num w:numId="8">
    <w:abstractNumId w:val="4"/>
  </w:num>
  <w:num w:numId="9">
    <w:abstractNumId w:val="17"/>
  </w:num>
  <w:num w:numId="10">
    <w:abstractNumId w:val="1"/>
  </w:num>
  <w:num w:numId="11">
    <w:abstractNumId w:val="7"/>
  </w:num>
  <w:num w:numId="12">
    <w:abstractNumId w:val="13"/>
  </w:num>
  <w:num w:numId="13">
    <w:abstractNumId w:val="0"/>
  </w:num>
  <w:num w:numId="14">
    <w:abstractNumId w:val="11"/>
  </w:num>
  <w:num w:numId="15">
    <w:abstractNumId w:val="6"/>
  </w:num>
  <w:num w:numId="16">
    <w:abstractNumId w:val="31"/>
  </w:num>
  <w:num w:numId="17">
    <w:abstractNumId w:val="14"/>
  </w:num>
  <w:num w:numId="18">
    <w:abstractNumId w:val="3"/>
  </w:num>
  <w:num w:numId="19">
    <w:abstractNumId w:val="20"/>
  </w:num>
  <w:num w:numId="20">
    <w:abstractNumId w:val="27"/>
  </w:num>
  <w:num w:numId="21">
    <w:abstractNumId w:val="21"/>
  </w:num>
  <w:num w:numId="22">
    <w:abstractNumId w:val="22"/>
  </w:num>
  <w:num w:numId="23">
    <w:abstractNumId w:val="24"/>
  </w:num>
  <w:num w:numId="24">
    <w:abstractNumId w:val="36"/>
  </w:num>
  <w:num w:numId="25">
    <w:abstractNumId w:val="29"/>
  </w:num>
  <w:num w:numId="26">
    <w:abstractNumId w:val="18"/>
  </w:num>
  <w:num w:numId="27">
    <w:abstractNumId w:val="16"/>
  </w:num>
  <w:num w:numId="28">
    <w:abstractNumId w:val="26"/>
  </w:num>
  <w:num w:numId="29">
    <w:abstractNumId w:val="28"/>
  </w:num>
  <w:num w:numId="30">
    <w:abstractNumId w:val="19"/>
  </w:num>
  <w:num w:numId="31">
    <w:abstractNumId w:val="2"/>
  </w:num>
  <w:num w:numId="32">
    <w:abstractNumId w:val="25"/>
  </w:num>
  <w:num w:numId="33">
    <w:abstractNumId w:val="33"/>
  </w:num>
  <w:num w:numId="34">
    <w:abstractNumId w:val="30"/>
  </w:num>
  <w:num w:numId="35">
    <w:abstractNumId w:val="35"/>
  </w:num>
  <w:num w:numId="36">
    <w:abstractNumId w:val="3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81"/>
    <w:rsid w:val="00000FE2"/>
    <w:rsid w:val="0003061D"/>
    <w:rsid w:val="000777A1"/>
    <w:rsid w:val="000E59B3"/>
    <w:rsid w:val="0016556A"/>
    <w:rsid w:val="001758E6"/>
    <w:rsid w:val="001B31BD"/>
    <w:rsid w:val="001B6F39"/>
    <w:rsid w:val="001D05DA"/>
    <w:rsid w:val="00231C8B"/>
    <w:rsid w:val="003B5990"/>
    <w:rsid w:val="003D1FFB"/>
    <w:rsid w:val="00464B09"/>
    <w:rsid w:val="004B7E0B"/>
    <w:rsid w:val="004D30E3"/>
    <w:rsid w:val="00500AC8"/>
    <w:rsid w:val="00530C21"/>
    <w:rsid w:val="005E7321"/>
    <w:rsid w:val="006979AF"/>
    <w:rsid w:val="0071652B"/>
    <w:rsid w:val="007A26C6"/>
    <w:rsid w:val="008513CB"/>
    <w:rsid w:val="00854981"/>
    <w:rsid w:val="008B1215"/>
    <w:rsid w:val="00966A3F"/>
    <w:rsid w:val="00A20744"/>
    <w:rsid w:val="00B23BDB"/>
    <w:rsid w:val="00B4095E"/>
    <w:rsid w:val="00B436DD"/>
    <w:rsid w:val="00BC12C5"/>
    <w:rsid w:val="00BC13BC"/>
    <w:rsid w:val="00D22045"/>
    <w:rsid w:val="00D3262A"/>
    <w:rsid w:val="00DA62D8"/>
    <w:rsid w:val="00E67DA2"/>
    <w:rsid w:val="00E7772F"/>
    <w:rsid w:val="00FB4E4F"/>
    <w:rsid w:val="00FD1B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A9EB"/>
  <w15:docId w15:val="{13475A9D-0FF1-4BFE-A0A9-3E26B1A2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56" w:lineRule="auto"/>
    </w:pPr>
  </w:style>
  <w:style w:type="paragraph" w:styleId="Heading1">
    <w:name w:val="heading 1"/>
    <w:basedOn w:val="Normal"/>
    <w:next w:val="Normal"/>
    <w:link w:val="Heading1Char"/>
    <w:uiPriority w:val="9"/>
    <w:qFormat/>
    <w:pPr>
      <w:keepNext/>
      <w:spacing w:after="0" w:line="240" w:lineRule="auto"/>
      <w:jc w:val="center"/>
      <w:outlineLvl w:val="0"/>
    </w:pPr>
    <w:rPr>
      <w:rFonts w:ascii="Times New Roman" w:eastAsia="MS Mincho" w:hAnsi="Times New Roman" w:cs="Times New Roman"/>
      <w:b/>
      <w:bCs/>
      <w:sz w:val="24"/>
      <w:szCs w:val="24"/>
      <w:lang w:val="en-GB"/>
    </w:rPr>
  </w:style>
  <w:style w:type="paragraph" w:styleId="Heading3">
    <w:name w:val="heading 3"/>
    <w:basedOn w:val="Normal"/>
    <w:next w:val="Normal"/>
    <w:link w:val="Heading3Char"/>
    <w:uiPriority w:val="9"/>
    <w:unhideWhenUsed/>
    <w:qFormat/>
    <w:pPr>
      <w:keepNext/>
      <w:keepLines/>
      <w:spacing w:before="40" w:after="0"/>
      <w:outlineLvl w:val="2"/>
    </w:pPr>
    <w:rPr>
      <w:rFonts w:ascii="Calibri Light" w:eastAsia="SimSu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ListParagraph">
    <w:name w:val="List Paragraph"/>
    <w:basedOn w:val="Normal"/>
    <w:link w:val="ListParagraphChar"/>
    <w:uiPriority w:val="99"/>
    <w:qFormat/>
    <w:pPr>
      <w:ind w:left="720"/>
      <w:contextualSpacing/>
    </w:p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rPr>
  </w:style>
  <w:style w:type="character" w:styleId="Hyperlink">
    <w:name w:val="Hyperlink"/>
    <w:basedOn w:val="DefaultParagraphFont"/>
    <w:uiPriority w:val="99"/>
    <w:rPr>
      <w:color w:val="0000FF"/>
      <w:u w:val="single"/>
    </w:rPr>
  </w:style>
  <w:style w:type="character" w:customStyle="1" w:styleId="ListParagraphChar">
    <w:name w:val="List Paragraph Char"/>
    <w:link w:val="ListParagraph"/>
    <w:uiPriority w:val="34"/>
    <w:qFormat/>
    <w:rPr>
      <w:rFonts w:ascii="Calibri" w:eastAsia="Calibri" w:hAnsi="Calibri" w:cs="SimSun"/>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pPr>
      <w:spacing w:after="160"/>
    </w:pPr>
    <w:rPr>
      <w:rFonts w:ascii="Calibri" w:eastAsia="Calibri" w:hAnsi="Calibri" w:cs="SimSun"/>
      <w:b/>
      <w:bCs/>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character" w:customStyle="1" w:styleId="BodyText1">
    <w:name w:val="Body Text1"/>
    <w:rPr>
      <w:rFonts w:ascii="Bookman Old Style" w:eastAsia="Bookman Old Style" w:hAnsi="Bookman Old Style" w:cs="Bookman Old Style"/>
      <w:color w:val="000000"/>
      <w:spacing w:val="0"/>
      <w:w w:val="100"/>
      <w:position w:val="0"/>
      <w:sz w:val="23"/>
      <w:szCs w:val="23"/>
      <w:shd w:val="clear" w:color="auto" w:fill="FFFFFF"/>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1Char">
    <w:name w:val="Heading 1 Char"/>
    <w:basedOn w:val="DefaultParagraphFont"/>
    <w:link w:val="Heading1"/>
    <w:rPr>
      <w:rFonts w:ascii="Times New Roman" w:eastAsia="MS Mincho" w:hAnsi="Times New Roman" w:cs="Times New Roman"/>
      <w:b/>
      <w:bCs/>
      <w:sz w:val="24"/>
      <w:szCs w:val="24"/>
      <w:lang w:val="en-GB"/>
    </w:rPr>
  </w:style>
  <w:style w:type="character" w:customStyle="1" w:styleId="fontstyle01">
    <w:name w:val="fontstyle01"/>
    <w:basedOn w:val="DefaultParagraphFont"/>
    <w:rPr>
      <w:rFonts w:ascii="Calibri" w:hAnsi="Calibri" w:cs="Calibri" w:hint="default"/>
      <w:b w:val="0"/>
      <w:bCs w:val="0"/>
      <w:i w:val="0"/>
      <w:iCs w:val="0"/>
      <w:color w:val="000000"/>
      <w:sz w:val="18"/>
      <w:szCs w:val="18"/>
    </w:rPr>
  </w:style>
  <w:style w:type="paragraph" w:styleId="NoSpacing">
    <w:name w:val="No Spacing"/>
    <w:uiPriority w:val="1"/>
    <w:qFormat/>
    <w:pPr>
      <w:spacing w:after="0" w:line="240" w:lineRule="auto"/>
    </w:p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Calibri Light" w:eastAsia="SimSun" w:hAnsi="Calibri Light" w:cs="SimSun"/>
      <w:color w:val="1F3763"/>
      <w:sz w:val="24"/>
      <w:szCs w:val="24"/>
    </w:rPr>
  </w:style>
  <w:style w:type="character" w:styleId="Emphasis">
    <w:name w:val="Emphasis"/>
    <w:basedOn w:val="DefaultParagraphFont"/>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r-only">
    <w:name w:val="sr-only"/>
    <w:basedOn w:val="DefaultParagraphFont"/>
    <w:rsid w:val="003B5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2991">
      <w:bodyDiv w:val="1"/>
      <w:marLeft w:val="0"/>
      <w:marRight w:val="0"/>
      <w:marTop w:val="0"/>
      <w:marBottom w:val="0"/>
      <w:divBdr>
        <w:top w:val="none" w:sz="0" w:space="0" w:color="auto"/>
        <w:left w:val="none" w:sz="0" w:space="0" w:color="auto"/>
        <w:bottom w:val="none" w:sz="0" w:space="0" w:color="auto"/>
        <w:right w:val="none" w:sz="0" w:space="0" w:color="auto"/>
      </w:divBdr>
      <w:divsChild>
        <w:div w:id="1960335376">
          <w:marLeft w:val="0"/>
          <w:marRight w:val="0"/>
          <w:marTop w:val="0"/>
          <w:marBottom w:val="0"/>
          <w:divBdr>
            <w:top w:val="none" w:sz="0" w:space="0" w:color="auto"/>
            <w:left w:val="none" w:sz="0" w:space="0" w:color="auto"/>
            <w:bottom w:val="none" w:sz="0" w:space="0" w:color="auto"/>
            <w:right w:val="none" w:sz="0" w:space="0" w:color="auto"/>
          </w:divBdr>
          <w:divsChild>
            <w:div w:id="1202521515">
              <w:marLeft w:val="0"/>
              <w:marRight w:val="0"/>
              <w:marTop w:val="0"/>
              <w:marBottom w:val="0"/>
              <w:divBdr>
                <w:top w:val="none" w:sz="0" w:space="0" w:color="auto"/>
                <w:left w:val="none" w:sz="0" w:space="0" w:color="auto"/>
                <w:bottom w:val="none" w:sz="0" w:space="0" w:color="auto"/>
                <w:right w:val="none" w:sz="0" w:space="0" w:color="auto"/>
              </w:divBdr>
              <w:divsChild>
                <w:div w:id="1487168355">
                  <w:marLeft w:val="0"/>
                  <w:marRight w:val="0"/>
                  <w:marTop w:val="0"/>
                  <w:marBottom w:val="0"/>
                  <w:divBdr>
                    <w:top w:val="none" w:sz="0" w:space="0" w:color="auto"/>
                    <w:left w:val="none" w:sz="0" w:space="0" w:color="auto"/>
                    <w:bottom w:val="none" w:sz="0" w:space="0" w:color="auto"/>
                    <w:right w:val="none" w:sz="0" w:space="0" w:color="auto"/>
                  </w:divBdr>
                  <w:divsChild>
                    <w:div w:id="1252927960">
                      <w:marLeft w:val="0"/>
                      <w:marRight w:val="0"/>
                      <w:marTop w:val="0"/>
                      <w:marBottom w:val="0"/>
                      <w:divBdr>
                        <w:top w:val="none" w:sz="0" w:space="0" w:color="auto"/>
                        <w:left w:val="none" w:sz="0" w:space="0" w:color="auto"/>
                        <w:bottom w:val="none" w:sz="0" w:space="0" w:color="auto"/>
                        <w:right w:val="none" w:sz="0" w:space="0" w:color="auto"/>
                      </w:divBdr>
                      <w:divsChild>
                        <w:div w:id="1428774667">
                          <w:marLeft w:val="0"/>
                          <w:marRight w:val="0"/>
                          <w:marTop w:val="0"/>
                          <w:marBottom w:val="0"/>
                          <w:divBdr>
                            <w:top w:val="none" w:sz="0" w:space="0" w:color="auto"/>
                            <w:left w:val="none" w:sz="0" w:space="0" w:color="auto"/>
                            <w:bottom w:val="none" w:sz="0" w:space="0" w:color="auto"/>
                            <w:right w:val="none" w:sz="0" w:space="0" w:color="auto"/>
                          </w:divBdr>
                          <w:divsChild>
                            <w:div w:id="16890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42184">
                  <w:marLeft w:val="0"/>
                  <w:marRight w:val="0"/>
                  <w:marTop w:val="0"/>
                  <w:marBottom w:val="0"/>
                  <w:divBdr>
                    <w:top w:val="none" w:sz="0" w:space="0" w:color="auto"/>
                    <w:left w:val="none" w:sz="0" w:space="0" w:color="auto"/>
                    <w:bottom w:val="none" w:sz="0" w:space="0" w:color="auto"/>
                    <w:right w:val="none" w:sz="0" w:space="0" w:color="auto"/>
                  </w:divBdr>
                  <w:divsChild>
                    <w:div w:id="198778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788893">
      <w:bodyDiv w:val="1"/>
      <w:marLeft w:val="0"/>
      <w:marRight w:val="0"/>
      <w:marTop w:val="0"/>
      <w:marBottom w:val="0"/>
      <w:divBdr>
        <w:top w:val="none" w:sz="0" w:space="0" w:color="auto"/>
        <w:left w:val="none" w:sz="0" w:space="0" w:color="auto"/>
        <w:bottom w:val="none" w:sz="0" w:space="0" w:color="auto"/>
        <w:right w:val="none" w:sz="0" w:space="0" w:color="auto"/>
      </w:divBdr>
      <w:divsChild>
        <w:div w:id="60061348">
          <w:marLeft w:val="0"/>
          <w:marRight w:val="0"/>
          <w:marTop w:val="0"/>
          <w:marBottom w:val="0"/>
          <w:divBdr>
            <w:top w:val="none" w:sz="0" w:space="0" w:color="auto"/>
            <w:left w:val="none" w:sz="0" w:space="0" w:color="auto"/>
            <w:bottom w:val="none" w:sz="0" w:space="0" w:color="auto"/>
            <w:right w:val="none" w:sz="0" w:space="0" w:color="auto"/>
          </w:divBdr>
          <w:divsChild>
            <w:div w:id="1568688724">
              <w:marLeft w:val="0"/>
              <w:marRight w:val="0"/>
              <w:marTop w:val="0"/>
              <w:marBottom w:val="0"/>
              <w:divBdr>
                <w:top w:val="none" w:sz="0" w:space="0" w:color="auto"/>
                <w:left w:val="none" w:sz="0" w:space="0" w:color="auto"/>
                <w:bottom w:val="none" w:sz="0" w:space="0" w:color="auto"/>
                <w:right w:val="none" w:sz="0" w:space="0" w:color="auto"/>
              </w:divBdr>
              <w:divsChild>
                <w:div w:id="1473713281">
                  <w:marLeft w:val="0"/>
                  <w:marRight w:val="0"/>
                  <w:marTop w:val="0"/>
                  <w:marBottom w:val="0"/>
                  <w:divBdr>
                    <w:top w:val="none" w:sz="0" w:space="0" w:color="auto"/>
                    <w:left w:val="none" w:sz="0" w:space="0" w:color="auto"/>
                    <w:bottom w:val="none" w:sz="0" w:space="0" w:color="auto"/>
                    <w:right w:val="none" w:sz="0" w:space="0" w:color="auto"/>
                  </w:divBdr>
                  <w:divsChild>
                    <w:div w:id="1791850997">
                      <w:marLeft w:val="0"/>
                      <w:marRight w:val="0"/>
                      <w:marTop w:val="0"/>
                      <w:marBottom w:val="0"/>
                      <w:divBdr>
                        <w:top w:val="none" w:sz="0" w:space="0" w:color="auto"/>
                        <w:left w:val="none" w:sz="0" w:space="0" w:color="auto"/>
                        <w:bottom w:val="none" w:sz="0" w:space="0" w:color="auto"/>
                        <w:right w:val="none" w:sz="0" w:space="0" w:color="auto"/>
                      </w:divBdr>
                      <w:divsChild>
                        <w:div w:id="97064791">
                          <w:marLeft w:val="0"/>
                          <w:marRight w:val="0"/>
                          <w:marTop w:val="0"/>
                          <w:marBottom w:val="0"/>
                          <w:divBdr>
                            <w:top w:val="none" w:sz="0" w:space="0" w:color="auto"/>
                            <w:left w:val="none" w:sz="0" w:space="0" w:color="auto"/>
                            <w:bottom w:val="none" w:sz="0" w:space="0" w:color="auto"/>
                            <w:right w:val="none" w:sz="0" w:space="0" w:color="auto"/>
                          </w:divBdr>
                          <w:divsChild>
                            <w:div w:id="71365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296655">
                  <w:marLeft w:val="0"/>
                  <w:marRight w:val="0"/>
                  <w:marTop w:val="0"/>
                  <w:marBottom w:val="0"/>
                  <w:divBdr>
                    <w:top w:val="none" w:sz="0" w:space="0" w:color="auto"/>
                    <w:left w:val="none" w:sz="0" w:space="0" w:color="auto"/>
                    <w:bottom w:val="none" w:sz="0" w:space="0" w:color="auto"/>
                    <w:right w:val="none" w:sz="0" w:space="0" w:color="auto"/>
                  </w:divBdr>
                  <w:divsChild>
                    <w:div w:id="4115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B45BE607564002A9B5E47B8D62B3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2025-09-08T10:24:38Z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2025-09-04T00:00:00Z</Date_x0020_protokolli>
    <Titulli xmlns="0e656187-b300-4fb0-8bf4-3a50f872073c">Mbi disa ndryshime në vendimin e Bordit të ERE-s nr. 108, datë 23.5.2025 "Mbi dhënien e autorizimit nga ERE për vendosjen e kuotave të shoqërisë "G.S.K" sh.p.k. si mjet për garantimin e detyrimit ndaj të tretëve"</Titulli>
    <Modifikuesi xmlns="0e656187-b300-4fb0-8bf4-3a50f872073c">valeta.kaftalli</Modifikuesi>
    <Nr_x002e__x0020_prot_x0020_QBZ xmlns="0e656187-b300-4fb0-8bf4-3a50f872073c">1446/2</Nr_x002e__x0020_prot_x0020_QBZ>
    <Data_x0020_e_x0020_Modifikimit xmlns="0e656187-b300-4fb0-8bf4-3a50f872073c">2025-09-09T09:49:36Z</Data_x0020_e_x0020_Modifikimit>
    <Dekretuar xmlns="0e656187-b300-4fb0-8bf4-3a50f872073c">false</Dekretuar>
    <Data xmlns="0e656187-b300-4fb0-8bf4-3a50f872073c">2025-08-07T00:00:00Z</Data>
    <Nr_x002e__x0020_protokolli_x0020_i_x0020_aktit xmlns="0e656187-b300-4fb0-8bf4-3a50f872073c">2394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B45BE607564002A9B5E47B8D62B3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6F39CF-DA38-4FCC-9827-BAAF181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E50B08-E1B6-4461-BA17-1BF331632F3E}">
  <ds:schemaRefs>
    <ds:schemaRef ds:uri="http://www.w3.org/XML/1998/namespace"/>
    <ds:schemaRef ds:uri="http://schemas.microsoft.com/office/2006/metadata/properties"/>
    <ds:schemaRef ds:uri="0e656187-b300-4fb0-8bf4-3a50f872073c"/>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5CEB2E48-A02B-43AE-802F-4E0E556D599C}">
  <ds:schemaRefs>
    <ds:schemaRef ds:uri="http://schemas.microsoft.com/sharepoint/v3/contenttype/forms"/>
  </ds:schemaRefs>
</ds:datastoreItem>
</file>

<file path=customXml/itemProps4.xml><?xml version="1.0" encoding="utf-8"?>
<ds:datastoreItem xmlns:ds="http://schemas.openxmlformats.org/officeDocument/2006/customXml" ds:itemID="{6A341A15-A199-4EDE-BEDE-F9630563A7C5}">
  <ds:schemaRefs>
    <ds:schemaRef ds:uri="http://schemas.microsoft.com/sharepoint/v3/contenttype/forms"/>
  </ds:schemaRefs>
</ds:datastoreItem>
</file>

<file path=customXml/itemProps5.xml><?xml version="1.0" encoding="utf-8"?>
<ds:datastoreItem xmlns:ds="http://schemas.openxmlformats.org/officeDocument/2006/customXml" ds:itemID="{0B2CC579-0E1E-4A36-BC13-CFB837511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Mbi disa ndryshime në vendimin e Bordit të ERE-s nr. 108, datë 23.05.2025 "Mbi dhënien e autorizimit nga ERE për vendosjen e kuotave të shoqërisë "G.S.K" sh.p.k. si mjet për garantimin e detyrimit ndaj të tretëve"</vt:lpstr>
    </vt:vector>
  </TitlesOfParts>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108, datë 23.05.2025 "Mbi dhënien e autorizimit nga ERE për vendosjen e kuotave të shoqërisë "G.S.K" sh.p.k. si mjet për garantimin e detyrimit ndaj të tretëve"</dc:title>
  <dc:creator>Rovalda Mema</dc:creator>
  <cp:lastModifiedBy>Valeta Kaftalli</cp:lastModifiedBy>
  <cp:revision>13</cp:revision>
  <cp:lastPrinted>2025-03-05T13:38:00Z</cp:lastPrinted>
  <dcterms:created xsi:type="dcterms:W3CDTF">2025-08-25T11:02:00Z</dcterms:created>
  <dcterms:modified xsi:type="dcterms:W3CDTF">2025-09-09T09:18:00Z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156ccfa663f646d2ac2bb0a03fca4338</vt:lpwstr>
  </property>
</Properties>
</file>