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40BFB9" w14:textId="77777777" w:rsidR="00D665BE" w:rsidRPr="00D665BE" w:rsidRDefault="00D665BE" w:rsidP="00D665B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D665BE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2D080A94" w14:textId="63345D73" w:rsidR="00D665BE" w:rsidRPr="00D665BE" w:rsidRDefault="00D665BE" w:rsidP="00D665B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D665BE">
        <w:rPr>
          <w:rFonts w:ascii="Garamond" w:hAnsi="Garamond" w:cs="Times New Roman"/>
          <w:b/>
          <w:bCs/>
          <w:sz w:val="24"/>
          <w:szCs w:val="24"/>
        </w:rPr>
        <w:t xml:space="preserve">Nr. 196, </w:t>
      </w:r>
      <w:r>
        <w:rPr>
          <w:rFonts w:ascii="Garamond" w:hAnsi="Garamond" w:cs="Times New Roman"/>
          <w:b/>
          <w:bCs/>
          <w:sz w:val="24"/>
          <w:szCs w:val="24"/>
        </w:rPr>
        <w:t>d</w:t>
      </w:r>
      <w:r w:rsidRPr="00D665BE">
        <w:rPr>
          <w:rFonts w:ascii="Garamond" w:hAnsi="Garamond" w:cs="Times New Roman"/>
          <w:b/>
          <w:bCs/>
          <w:sz w:val="24"/>
          <w:szCs w:val="24"/>
        </w:rPr>
        <w:t>atë 15.8.2025</w:t>
      </w:r>
    </w:p>
    <w:p w14:paraId="288A98AC" w14:textId="77777777" w:rsidR="00D665BE" w:rsidRPr="00D665BE" w:rsidRDefault="00D665BE" w:rsidP="00D665B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680FCE35" w14:textId="3CA2EEA1" w:rsidR="00D665BE" w:rsidRPr="00D665BE" w:rsidRDefault="00D665BE" w:rsidP="00D665B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D665BE">
        <w:rPr>
          <w:rFonts w:ascii="Garamond" w:hAnsi="Garamond" w:cs="Times New Roman"/>
          <w:b/>
          <w:bCs/>
          <w:sz w:val="24"/>
          <w:szCs w:val="24"/>
        </w:rPr>
        <w:t>MBI DISA NDRYSHIME NË VENDIMIN E BORDIT TË ERE-</w:t>
      </w:r>
      <w:r w:rsidR="00DE0EB2">
        <w:rPr>
          <w:rFonts w:ascii="Garamond" w:hAnsi="Garamond" w:cs="Times New Roman"/>
          <w:b/>
          <w:bCs/>
          <w:sz w:val="24"/>
          <w:szCs w:val="24"/>
        </w:rPr>
        <w:t>s</w:t>
      </w:r>
      <w:r w:rsidRPr="00D665BE">
        <w:rPr>
          <w:rFonts w:ascii="Garamond" w:hAnsi="Garamond" w:cs="Times New Roman"/>
          <w:b/>
          <w:bCs/>
          <w:sz w:val="24"/>
          <w:szCs w:val="24"/>
        </w:rPr>
        <w:t xml:space="preserve"> NR. 193, DATË 18.9.2024</w:t>
      </w:r>
      <w:r w:rsidR="00DE0EB2">
        <w:rPr>
          <w:rFonts w:ascii="Garamond" w:hAnsi="Garamond" w:cs="Times New Roman"/>
          <w:b/>
          <w:bCs/>
          <w:sz w:val="24"/>
          <w:szCs w:val="24"/>
        </w:rPr>
        <w:t>,</w:t>
      </w:r>
      <w:r w:rsidRPr="00D665BE">
        <w:rPr>
          <w:rFonts w:ascii="Garamond" w:hAnsi="Garamond" w:cs="Times New Roman"/>
          <w:b/>
          <w:bCs/>
          <w:sz w:val="24"/>
          <w:szCs w:val="24"/>
        </w:rPr>
        <w:t xml:space="preserve"> “MBI LICENCIMIN E SHOQËRISË </w:t>
      </w:r>
      <w:r w:rsidR="00DE0EB2">
        <w:rPr>
          <w:rFonts w:ascii="Garamond" w:hAnsi="Garamond" w:cs="Times New Roman"/>
          <w:b/>
          <w:bCs/>
          <w:sz w:val="24"/>
          <w:szCs w:val="24"/>
        </w:rPr>
        <w:t>‘</w:t>
      </w:r>
      <w:r w:rsidRPr="00D665BE">
        <w:rPr>
          <w:rFonts w:ascii="Garamond" w:hAnsi="Garamond" w:cs="Times New Roman"/>
          <w:b/>
          <w:bCs/>
          <w:sz w:val="24"/>
          <w:szCs w:val="24"/>
        </w:rPr>
        <w:t>HPG ENERGY</w:t>
      </w:r>
      <w:r w:rsidR="00DE0EB2">
        <w:rPr>
          <w:rFonts w:ascii="Garamond" w:hAnsi="Garamond" w:cs="Times New Roman"/>
          <w:b/>
          <w:bCs/>
          <w:sz w:val="24"/>
          <w:szCs w:val="24"/>
        </w:rPr>
        <w:t>’</w:t>
      </w:r>
      <w:r w:rsidRPr="00D665BE">
        <w:rPr>
          <w:rFonts w:ascii="Garamond" w:hAnsi="Garamond" w:cs="Times New Roman"/>
          <w:b/>
          <w:bCs/>
          <w:sz w:val="24"/>
          <w:szCs w:val="24"/>
        </w:rPr>
        <w:t xml:space="preserve"> SHPK NË VEPRIMTARINË E PRODHIMIT TË ENERGJISË ELEKTRIKE”</w:t>
      </w:r>
    </w:p>
    <w:p w14:paraId="4166AB49" w14:textId="77777777" w:rsidR="00D665BE" w:rsidRPr="00D665BE" w:rsidRDefault="00D665BE" w:rsidP="00D665BE">
      <w:pPr>
        <w:tabs>
          <w:tab w:val="center" w:pos="4800"/>
          <w:tab w:val="left" w:pos="582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1AC5D5CE" w14:textId="0B1CC54F" w:rsidR="00D665BE" w:rsidRPr="00DE0EB2" w:rsidRDefault="00D665BE" w:rsidP="00D665BE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E0EB2">
        <w:rPr>
          <w:rFonts w:ascii="Garamond" w:hAnsi="Garamond" w:cs="Times New Roman"/>
          <w:sz w:val="24"/>
          <w:szCs w:val="24"/>
        </w:rPr>
        <w:t>Në mbështetje të nenit 16</w:t>
      </w:r>
      <w:r w:rsidR="00DE0EB2">
        <w:rPr>
          <w:rFonts w:ascii="Garamond" w:hAnsi="Garamond" w:cs="Times New Roman"/>
          <w:sz w:val="24"/>
          <w:szCs w:val="24"/>
        </w:rPr>
        <w:t>,</w:t>
      </w:r>
      <w:r w:rsidRPr="00DE0EB2">
        <w:rPr>
          <w:rFonts w:ascii="Garamond" w:hAnsi="Garamond" w:cs="Times New Roman"/>
          <w:sz w:val="24"/>
          <w:szCs w:val="24"/>
        </w:rPr>
        <w:t xml:space="preserve"> të ligjit nr. 43/2015, “</w:t>
      </w:r>
      <w:r w:rsidRPr="00DE0EB2">
        <w:rPr>
          <w:rFonts w:ascii="Garamond" w:hAnsi="Garamond" w:cs="Times New Roman"/>
          <w:iCs/>
          <w:sz w:val="24"/>
          <w:szCs w:val="24"/>
        </w:rPr>
        <w:t>Për sektorin e energjisë elektrike</w:t>
      </w:r>
      <w:r w:rsidRPr="00DE0EB2">
        <w:rPr>
          <w:rFonts w:ascii="Garamond" w:hAnsi="Garamond" w:cs="Times New Roman"/>
          <w:sz w:val="24"/>
          <w:szCs w:val="24"/>
        </w:rPr>
        <w:t xml:space="preserve">”, </w:t>
      </w:r>
      <w:r w:rsidR="00DE0EB2" w:rsidRPr="00DE0EB2">
        <w:rPr>
          <w:rFonts w:ascii="Garamond" w:hAnsi="Garamond" w:cs="Times New Roman"/>
          <w:sz w:val="24"/>
          <w:szCs w:val="24"/>
        </w:rPr>
        <w:t>të</w:t>
      </w:r>
      <w:r w:rsidRPr="00DE0EB2">
        <w:rPr>
          <w:rFonts w:ascii="Garamond" w:hAnsi="Garamond" w:cs="Times New Roman"/>
          <w:sz w:val="24"/>
          <w:szCs w:val="24"/>
        </w:rPr>
        <w:t xml:space="preserve"> ndryshuar</w:t>
      </w:r>
      <w:r w:rsidRPr="00DE0EB2">
        <w:rPr>
          <w:rFonts w:ascii="Garamond" w:hAnsi="Garamond" w:cs="Times New Roman"/>
          <w:bCs/>
          <w:sz w:val="24"/>
          <w:szCs w:val="24"/>
        </w:rPr>
        <w:t xml:space="preserve">; </w:t>
      </w:r>
      <w:r w:rsidR="00DE0EB2" w:rsidRPr="00DE0EB2">
        <w:rPr>
          <w:rFonts w:ascii="Garamond" w:hAnsi="Garamond" w:cs="Times New Roman"/>
          <w:sz w:val="24"/>
          <w:szCs w:val="24"/>
        </w:rPr>
        <w:t xml:space="preserve">të </w:t>
      </w:r>
      <w:r w:rsidRPr="00DE0EB2">
        <w:rPr>
          <w:rFonts w:ascii="Garamond" w:hAnsi="Garamond" w:cs="Times New Roman"/>
          <w:sz w:val="24"/>
          <w:szCs w:val="24"/>
        </w:rPr>
        <w:t>nenit 113</w:t>
      </w:r>
      <w:r w:rsidR="00DE0EB2">
        <w:rPr>
          <w:rFonts w:ascii="Garamond" w:hAnsi="Garamond" w:cs="Times New Roman"/>
          <w:sz w:val="24"/>
          <w:szCs w:val="24"/>
        </w:rPr>
        <w:t>,</w:t>
      </w:r>
      <w:r w:rsidRPr="00DE0EB2">
        <w:rPr>
          <w:rFonts w:ascii="Garamond" w:hAnsi="Garamond" w:cs="Times New Roman"/>
          <w:sz w:val="24"/>
          <w:szCs w:val="24"/>
        </w:rPr>
        <w:t xml:space="preserve"> të ligjit nr. 44/2015</w:t>
      </w:r>
      <w:r w:rsidR="00DE0EB2">
        <w:rPr>
          <w:rFonts w:ascii="Garamond" w:hAnsi="Garamond" w:cs="Times New Roman"/>
          <w:sz w:val="24"/>
          <w:szCs w:val="24"/>
        </w:rPr>
        <w:t>,</w:t>
      </w:r>
      <w:r w:rsidRPr="00DE0EB2">
        <w:rPr>
          <w:rFonts w:ascii="Garamond" w:hAnsi="Garamond" w:cs="Times New Roman"/>
          <w:sz w:val="24"/>
          <w:szCs w:val="24"/>
        </w:rPr>
        <w:t xml:space="preserve"> “</w:t>
      </w:r>
      <w:r w:rsidRPr="00DE0EB2">
        <w:rPr>
          <w:rFonts w:ascii="Garamond" w:hAnsi="Garamond" w:cs="Times New Roman"/>
          <w:iCs/>
          <w:sz w:val="24"/>
          <w:szCs w:val="24"/>
        </w:rPr>
        <w:t>Kodi i Procedurave Administrative të Republikës së Shqipërisë</w:t>
      </w:r>
      <w:r w:rsidRPr="00DE0EB2">
        <w:rPr>
          <w:rFonts w:ascii="Garamond" w:hAnsi="Garamond" w:cs="Times New Roman"/>
          <w:sz w:val="24"/>
          <w:szCs w:val="24"/>
        </w:rPr>
        <w:t xml:space="preserve">”; si dhe </w:t>
      </w:r>
      <w:r w:rsidR="00DE0EB2" w:rsidRPr="00DE0EB2">
        <w:rPr>
          <w:rFonts w:ascii="Garamond" w:hAnsi="Garamond" w:cs="Times New Roman"/>
          <w:sz w:val="24"/>
          <w:szCs w:val="24"/>
        </w:rPr>
        <w:t xml:space="preserve">të </w:t>
      </w:r>
      <w:r w:rsidRPr="00DE0EB2">
        <w:rPr>
          <w:rFonts w:ascii="Garamond" w:hAnsi="Garamond" w:cs="Times New Roman"/>
          <w:sz w:val="24"/>
          <w:szCs w:val="24"/>
        </w:rPr>
        <w:t>nenit 15</w:t>
      </w:r>
      <w:r w:rsidR="00DE0EB2">
        <w:rPr>
          <w:rFonts w:ascii="Garamond" w:hAnsi="Garamond" w:cs="Times New Roman"/>
          <w:sz w:val="24"/>
          <w:szCs w:val="24"/>
        </w:rPr>
        <w:t>,</w:t>
      </w:r>
      <w:r w:rsidRPr="00DE0EB2">
        <w:rPr>
          <w:rFonts w:ascii="Garamond" w:hAnsi="Garamond" w:cs="Times New Roman"/>
          <w:sz w:val="24"/>
          <w:szCs w:val="24"/>
        </w:rPr>
        <w:t xml:space="preserve"> të </w:t>
      </w:r>
      <w:r w:rsidR="00DE0EB2">
        <w:rPr>
          <w:rFonts w:ascii="Garamond" w:hAnsi="Garamond" w:cs="Times New Roman"/>
          <w:sz w:val="24"/>
          <w:szCs w:val="24"/>
        </w:rPr>
        <w:t>“</w:t>
      </w:r>
      <w:r w:rsidRPr="00DE0EB2">
        <w:rPr>
          <w:rFonts w:ascii="Garamond" w:hAnsi="Garamond" w:cs="Times New Roman"/>
          <w:iCs/>
          <w:sz w:val="24"/>
          <w:szCs w:val="24"/>
        </w:rPr>
        <w:t>Rregullores për organizimin, funksionimin dhe procedurat e ERE-s</w:t>
      </w:r>
      <w:r w:rsidR="00DE0EB2">
        <w:rPr>
          <w:rFonts w:ascii="Garamond" w:hAnsi="Garamond" w:cs="Times New Roman"/>
          <w:iCs/>
          <w:sz w:val="24"/>
          <w:szCs w:val="24"/>
        </w:rPr>
        <w:t>”</w:t>
      </w:r>
      <w:r w:rsidRPr="00DE0EB2">
        <w:rPr>
          <w:rFonts w:ascii="Garamond" w:hAnsi="Garamond" w:cs="Times New Roman"/>
          <w:sz w:val="24"/>
          <w:szCs w:val="24"/>
        </w:rPr>
        <w:t xml:space="preserve">, miratuar me vendimin e </w:t>
      </w:r>
      <w:r w:rsidR="00DE0EB2" w:rsidRPr="00DE0EB2">
        <w:rPr>
          <w:rFonts w:ascii="Garamond" w:hAnsi="Garamond" w:cs="Times New Roman"/>
          <w:sz w:val="24"/>
          <w:szCs w:val="24"/>
        </w:rPr>
        <w:t xml:space="preserve">Bordit </w:t>
      </w:r>
      <w:r w:rsidRPr="00DE0EB2">
        <w:rPr>
          <w:rFonts w:ascii="Garamond" w:hAnsi="Garamond" w:cs="Times New Roman"/>
          <w:sz w:val="24"/>
          <w:szCs w:val="24"/>
        </w:rPr>
        <w:t>të Entit Rregullator të Energjisë (ERE) nr. 96, datë 17.06.2016; Bordi i ERE-s, në mbledhjen e tij të datës 15.08.2025, mbasi shqyrtoi relacionin e përgatitur nga Drejtoria e Politikave të Burimeve të Rinovueshme, me nr. 2239/1 prot., datë 13.8.2025, “</w:t>
      </w:r>
      <w:r w:rsidRPr="00DE0EB2">
        <w:rPr>
          <w:rFonts w:ascii="Garamond" w:hAnsi="Garamond" w:cs="Times New Roman"/>
          <w:iCs/>
          <w:sz w:val="24"/>
          <w:szCs w:val="24"/>
        </w:rPr>
        <w:t xml:space="preserve">Mbi disa ndryshime në vendimin e </w:t>
      </w:r>
      <w:r w:rsidR="00DE0EB2" w:rsidRPr="00DE0EB2">
        <w:rPr>
          <w:rFonts w:ascii="Garamond" w:hAnsi="Garamond" w:cs="Times New Roman"/>
          <w:iCs/>
          <w:sz w:val="24"/>
          <w:szCs w:val="24"/>
        </w:rPr>
        <w:t xml:space="preserve">Bordit </w:t>
      </w:r>
      <w:r w:rsidRPr="00DE0EB2">
        <w:rPr>
          <w:rFonts w:ascii="Garamond" w:hAnsi="Garamond" w:cs="Times New Roman"/>
          <w:iCs/>
          <w:sz w:val="24"/>
          <w:szCs w:val="24"/>
        </w:rPr>
        <w:t>të ERE-s nr. 193, datë 18.9.2024</w:t>
      </w:r>
      <w:r w:rsidR="00DE0EB2">
        <w:rPr>
          <w:rFonts w:ascii="Garamond" w:hAnsi="Garamond" w:cs="Times New Roman"/>
          <w:iCs/>
          <w:sz w:val="24"/>
          <w:szCs w:val="24"/>
        </w:rPr>
        <w:t>,</w:t>
      </w:r>
      <w:r w:rsidRPr="00DE0EB2">
        <w:rPr>
          <w:rFonts w:ascii="Garamond" w:hAnsi="Garamond" w:cs="Times New Roman"/>
          <w:iCs/>
          <w:sz w:val="24"/>
          <w:szCs w:val="24"/>
        </w:rPr>
        <w:t xml:space="preserve"> </w:t>
      </w:r>
      <w:r w:rsidR="00DE0EB2">
        <w:rPr>
          <w:rFonts w:ascii="Garamond" w:hAnsi="Garamond" w:cs="Times New Roman"/>
          <w:iCs/>
          <w:sz w:val="24"/>
          <w:szCs w:val="24"/>
        </w:rPr>
        <w:t>‘</w:t>
      </w:r>
      <w:r w:rsidRPr="00DE0EB2">
        <w:rPr>
          <w:rFonts w:ascii="Garamond" w:hAnsi="Garamond" w:cs="Times New Roman"/>
          <w:iCs/>
          <w:sz w:val="24"/>
          <w:szCs w:val="24"/>
        </w:rPr>
        <w:t>Mbi</w:t>
      </w:r>
      <w:r w:rsidRPr="00DE0EB2">
        <w:rPr>
          <w:rFonts w:ascii="Garamond" w:hAnsi="Garamond" w:cs="Times New Roman"/>
          <w:sz w:val="24"/>
          <w:szCs w:val="24"/>
        </w:rPr>
        <w:t xml:space="preserve"> </w:t>
      </w:r>
      <w:r w:rsidRPr="00DE0EB2">
        <w:rPr>
          <w:rFonts w:ascii="Garamond" w:hAnsi="Garamond" w:cs="Times New Roman"/>
          <w:iCs/>
          <w:sz w:val="24"/>
          <w:szCs w:val="24"/>
        </w:rPr>
        <w:t xml:space="preserve">licencimin e shoqërisë </w:t>
      </w:r>
      <w:r w:rsidR="00DE0EB2">
        <w:rPr>
          <w:rFonts w:ascii="Garamond" w:hAnsi="Garamond" w:cs="Times New Roman"/>
          <w:iCs/>
          <w:sz w:val="24"/>
          <w:szCs w:val="24"/>
        </w:rPr>
        <w:t>‘</w:t>
      </w:r>
      <w:r w:rsidRPr="00DE0EB2">
        <w:rPr>
          <w:rFonts w:ascii="Garamond" w:hAnsi="Garamond" w:cs="Times New Roman"/>
          <w:iCs/>
          <w:sz w:val="24"/>
          <w:szCs w:val="24"/>
        </w:rPr>
        <w:t xml:space="preserve">HPG </w:t>
      </w:r>
      <w:r w:rsidR="00DE0EB2" w:rsidRPr="00DE0EB2">
        <w:rPr>
          <w:rFonts w:ascii="Garamond" w:hAnsi="Garamond" w:cs="Times New Roman"/>
          <w:iCs/>
          <w:sz w:val="24"/>
          <w:szCs w:val="24"/>
        </w:rPr>
        <w:t>Energy</w:t>
      </w:r>
      <w:r w:rsidR="00DE0EB2">
        <w:rPr>
          <w:rFonts w:ascii="Garamond" w:hAnsi="Garamond" w:cs="Times New Roman"/>
          <w:iCs/>
          <w:sz w:val="24"/>
          <w:szCs w:val="24"/>
        </w:rPr>
        <w:t>’</w:t>
      </w:r>
      <w:r w:rsidR="00DE0EB2" w:rsidRPr="00DE0EB2">
        <w:rPr>
          <w:rFonts w:ascii="Garamond" w:hAnsi="Garamond" w:cs="Times New Roman"/>
          <w:sz w:val="24"/>
          <w:szCs w:val="24"/>
        </w:rPr>
        <w:t xml:space="preserve"> </w:t>
      </w:r>
      <w:r w:rsidRPr="00DE0EB2">
        <w:rPr>
          <w:rFonts w:ascii="Garamond" w:hAnsi="Garamond" w:cs="Times New Roman"/>
          <w:iCs/>
          <w:sz w:val="24"/>
          <w:szCs w:val="24"/>
        </w:rPr>
        <w:t>sh.p.k. në veprimtarinë e prodhimit të energjisë elektrike</w:t>
      </w:r>
      <w:r w:rsidR="00DE0EB2">
        <w:rPr>
          <w:rFonts w:ascii="Garamond" w:hAnsi="Garamond" w:cs="Times New Roman"/>
          <w:iCs/>
          <w:sz w:val="24"/>
          <w:szCs w:val="24"/>
        </w:rPr>
        <w:t>’</w:t>
      </w:r>
      <w:r w:rsidRPr="00DE0EB2">
        <w:rPr>
          <w:rFonts w:ascii="Garamond" w:hAnsi="Garamond" w:cs="Times New Roman"/>
          <w:iCs/>
          <w:sz w:val="24"/>
          <w:szCs w:val="24"/>
        </w:rPr>
        <w:t>”,</w:t>
      </w:r>
    </w:p>
    <w:p w14:paraId="32A801D9" w14:textId="6549DAF5" w:rsidR="00D665BE" w:rsidRPr="00DE0EB2" w:rsidRDefault="00DE0EB2" w:rsidP="00D665B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k</w:t>
      </w:r>
      <w:r w:rsidR="00D665BE" w:rsidRPr="00DE0EB2">
        <w:rPr>
          <w:rFonts w:ascii="Garamond" w:hAnsi="Garamond" w:cs="Times New Roman"/>
          <w:bCs/>
          <w:sz w:val="24"/>
          <w:szCs w:val="24"/>
        </w:rPr>
        <w:t>onstatoi se:</w:t>
      </w:r>
    </w:p>
    <w:p w14:paraId="725BBCA4" w14:textId="7BBDC43B" w:rsidR="00D665BE" w:rsidRPr="00DA1676" w:rsidRDefault="00D665BE" w:rsidP="00D665B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DA1676">
        <w:rPr>
          <w:rFonts w:ascii="Garamond" w:hAnsi="Garamond" w:cs="Times New Roman"/>
          <w:b/>
          <w:bCs/>
          <w:sz w:val="24"/>
          <w:szCs w:val="24"/>
        </w:rPr>
        <w:t xml:space="preserve">1. Të dhëna mbi shoqërinë “HPG </w:t>
      </w:r>
      <w:r w:rsidR="00DE0EB2" w:rsidRPr="00DA1676">
        <w:rPr>
          <w:rFonts w:ascii="Garamond" w:hAnsi="Garamond" w:cs="Times New Roman"/>
          <w:b/>
          <w:bCs/>
          <w:sz w:val="24"/>
          <w:szCs w:val="24"/>
        </w:rPr>
        <w:t>Energy</w:t>
      </w:r>
      <w:r w:rsidRPr="00DA1676">
        <w:rPr>
          <w:rFonts w:ascii="Garamond" w:hAnsi="Garamond" w:cs="Times New Roman"/>
          <w:b/>
          <w:bCs/>
          <w:sz w:val="24"/>
          <w:szCs w:val="24"/>
        </w:rPr>
        <w:t>” sh.p.k.</w:t>
      </w:r>
    </w:p>
    <w:p w14:paraId="4460E57A" w14:textId="413EBB3B" w:rsidR="00D665BE" w:rsidRPr="00DE0EB2" w:rsidRDefault="00D665BE" w:rsidP="00D665B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DE0EB2">
        <w:rPr>
          <w:rFonts w:ascii="Garamond" w:hAnsi="Garamond"/>
          <w:sz w:val="24"/>
          <w:szCs w:val="24"/>
        </w:rPr>
        <w:t xml:space="preserve">- </w:t>
      </w:r>
      <w:r w:rsidRPr="00DE0EB2">
        <w:rPr>
          <w:rFonts w:ascii="Garamond" w:hAnsi="Garamond" w:cs="Times New Roman"/>
          <w:sz w:val="24"/>
          <w:szCs w:val="24"/>
        </w:rPr>
        <w:t xml:space="preserve">Bordi i ERE-s, me vendimin nr. 193, datë 18.9.2024, ka licencuar shoqërinë “HPG </w:t>
      </w:r>
      <w:r w:rsidR="00DE0EB2" w:rsidRPr="00DE0EB2">
        <w:rPr>
          <w:rFonts w:ascii="Garamond" w:hAnsi="Garamond" w:cs="Times New Roman"/>
          <w:sz w:val="24"/>
          <w:szCs w:val="24"/>
        </w:rPr>
        <w:t>Energy</w:t>
      </w:r>
      <w:r w:rsidRPr="00DE0EB2">
        <w:rPr>
          <w:rFonts w:ascii="Garamond" w:hAnsi="Garamond" w:cs="Times New Roman"/>
          <w:sz w:val="24"/>
          <w:szCs w:val="24"/>
        </w:rPr>
        <w:t xml:space="preserve">” sh.p.k. në veprimtarinë e prodhimit të energjisë elektrike nga centrali fotovoltaik me kapacitet të instaluar 2 </w:t>
      </w:r>
      <w:r w:rsidR="00DE0EB2">
        <w:rPr>
          <w:rFonts w:ascii="Garamond" w:hAnsi="Garamond" w:cs="Times New Roman"/>
          <w:sz w:val="24"/>
          <w:szCs w:val="24"/>
        </w:rPr>
        <w:t>mw</w:t>
      </w:r>
      <w:r w:rsidRPr="00DE0EB2">
        <w:rPr>
          <w:rFonts w:ascii="Garamond" w:hAnsi="Garamond" w:cs="Times New Roman"/>
          <w:sz w:val="24"/>
          <w:szCs w:val="24"/>
        </w:rPr>
        <w:t>, në Njësinë Administrative Topojë, Bashkia Fier, për një afat 30-vjeçar.</w:t>
      </w:r>
    </w:p>
    <w:p w14:paraId="54504393" w14:textId="3B4F9A4E" w:rsidR="00D665BE" w:rsidRPr="00DE0EB2" w:rsidRDefault="00D665BE" w:rsidP="00D665B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DE0EB2">
        <w:rPr>
          <w:rFonts w:ascii="Garamond" w:hAnsi="Garamond"/>
          <w:sz w:val="24"/>
          <w:szCs w:val="24"/>
        </w:rPr>
        <w:t xml:space="preserve">- </w:t>
      </w:r>
      <w:r w:rsidRPr="00DE0EB2">
        <w:rPr>
          <w:rFonts w:ascii="Garamond" w:hAnsi="Garamond" w:cs="Times New Roman"/>
          <w:sz w:val="24"/>
          <w:szCs w:val="24"/>
        </w:rPr>
        <w:t xml:space="preserve">Në dispozitivin e këtij vendimi, ERE ka vendosur, ndër të tjera se </w:t>
      </w:r>
      <w:r w:rsidRPr="00DE0EB2">
        <w:rPr>
          <w:rFonts w:ascii="Garamond" w:hAnsi="Garamond" w:cs="Times New Roman"/>
          <w:iCs/>
          <w:sz w:val="24"/>
          <w:szCs w:val="24"/>
        </w:rPr>
        <w:t>shoqëria duhet të fillojë ushtrimin e aktivitetit të prodhimit të energjisë elektrike nga centrali fotovoltaik, jo më vonë se data 16.10.2024</w:t>
      </w:r>
      <w:r w:rsidR="00DE0EB2">
        <w:rPr>
          <w:rFonts w:ascii="Garamond" w:hAnsi="Garamond" w:cs="Times New Roman"/>
          <w:iCs/>
          <w:sz w:val="24"/>
          <w:szCs w:val="24"/>
        </w:rPr>
        <w:t>,</w:t>
      </w:r>
      <w:r w:rsidRPr="00DE0EB2">
        <w:rPr>
          <w:rFonts w:ascii="Garamond" w:hAnsi="Garamond" w:cs="Times New Roman"/>
          <w:iCs/>
          <w:sz w:val="24"/>
          <w:szCs w:val="24"/>
        </w:rPr>
        <w:t xml:space="preserve"> si dhe shoqëria duhet të raportojë në ERE çdo 3 (tre) muaj</w:t>
      </w:r>
      <w:r w:rsidR="00DE0EB2">
        <w:rPr>
          <w:rFonts w:ascii="Garamond" w:hAnsi="Garamond" w:cs="Times New Roman"/>
          <w:iCs/>
          <w:sz w:val="24"/>
          <w:szCs w:val="24"/>
        </w:rPr>
        <w:t>,</w:t>
      </w:r>
      <w:r w:rsidRPr="00DE0EB2">
        <w:rPr>
          <w:rFonts w:ascii="Garamond" w:hAnsi="Garamond" w:cs="Times New Roman"/>
          <w:iCs/>
          <w:sz w:val="24"/>
          <w:szCs w:val="24"/>
        </w:rPr>
        <w:t xml:space="preserve"> në lidhje me fillimin e punimeve për ndërtimin e centralit fotovoltaik dhe të dokumentojë fillimin e tyre brenda afatit të fundit të vlefshmërisë së VNM-së paraprake, pra brenda datës 18.7.2026, përndryshe duhet të depozitojë në ERE VNM</w:t>
      </w:r>
      <w:r w:rsidR="00DE0EB2">
        <w:rPr>
          <w:rFonts w:ascii="Garamond" w:hAnsi="Garamond" w:cs="Times New Roman"/>
          <w:iCs/>
          <w:sz w:val="24"/>
          <w:szCs w:val="24"/>
        </w:rPr>
        <w:t>-në</w:t>
      </w:r>
      <w:r w:rsidRPr="00DE0EB2">
        <w:rPr>
          <w:rFonts w:ascii="Garamond" w:hAnsi="Garamond" w:cs="Times New Roman"/>
          <w:iCs/>
          <w:sz w:val="24"/>
          <w:szCs w:val="24"/>
        </w:rPr>
        <w:t xml:space="preserve"> </w:t>
      </w:r>
      <w:r w:rsidR="00DE0EB2">
        <w:rPr>
          <w:rFonts w:ascii="Garamond" w:hAnsi="Garamond" w:cs="Times New Roman"/>
          <w:iCs/>
          <w:sz w:val="24"/>
          <w:szCs w:val="24"/>
        </w:rPr>
        <w:t>p</w:t>
      </w:r>
      <w:r w:rsidRPr="00DE0EB2">
        <w:rPr>
          <w:rFonts w:ascii="Garamond" w:hAnsi="Garamond" w:cs="Times New Roman"/>
          <w:iCs/>
          <w:sz w:val="24"/>
          <w:szCs w:val="24"/>
        </w:rPr>
        <w:t>araprake të re.</w:t>
      </w:r>
    </w:p>
    <w:p w14:paraId="15AC13CF" w14:textId="53949D0E" w:rsidR="00D665BE" w:rsidRPr="00DA1676" w:rsidRDefault="00D665BE" w:rsidP="00D665B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DA1676">
        <w:rPr>
          <w:rFonts w:ascii="Garamond" w:hAnsi="Garamond" w:cs="Times New Roman"/>
          <w:b/>
          <w:iCs/>
          <w:sz w:val="24"/>
          <w:szCs w:val="24"/>
        </w:rPr>
        <w:t xml:space="preserve"> </w:t>
      </w:r>
      <w:r w:rsidRPr="00DA1676">
        <w:rPr>
          <w:rFonts w:ascii="Garamond" w:hAnsi="Garamond" w:cs="Times New Roman"/>
          <w:b/>
          <w:bCs/>
          <w:sz w:val="24"/>
          <w:szCs w:val="24"/>
        </w:rPr>
        <w:t xml:space="preserve">2. Korrespondenca dhe </w:t>
      </w:r>
      <w:r w:rsidR="00DE0EB2" w:rsidRPr="00DA1676">
        <w:rPr>
          <w:rFonts w:ascii="Garamond" w:hAnsi="Garamond" w:cs="Times New Roman"/>
          <w:b/>
          <w:bCs/>
          <w:sz w:val="24"/>
          <w:szCs w:val="24"/>
        </w:rPr>
        <w:t>dokumentacioni i depozituar nga shoqëria</w:t>
      </w:r>
    </w:p>
    <w:p w14:paraId="0580B93B" w14:textId="69CA2A88" w:rsidR="00D665BE" w:rsidRPr="00DE0EB2" w:rsidRDefault="00D665BE" w:rsidP="00D665B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DE0EB2">
        <w:rPr>
          <w:rFonts w:ascii="Garamond" w:hAnsi="Garamond"/>
          <w:sz w:val="24"/>
          <w:szCs w:val="24"/>
        </w:rPr>
        <w:t xml:space="preserve">- </w:t>
      </w:r>
      <w:r w:rsidRPr="00DE0EB2">
        <w:rPr>
          <w:rFonts w:ascii="Garamond" w:hAnsi="Garamond" w:cs="Times New Roman"/>
          <w:sz w:val="24"/>
          <w:szCs w:val="24"/>
        </w:rPr>
        <w:t xml:space="preserve">Me shkresën nr. 28 prot., datë 30.7.2025, protokolluar në ERE me nr. 2239 prot., datë 30.7.2025, shoqëria “HPG </w:t>
      </w:r>
      <w:r w:rsidR="00DE0EB2" w:rsidRPr="00DE0EB2">
        <w:rPr>
          <w:rFonts w:ascii="Garamond" w:hAnsi="Garamond" w:cs="Times New Roman"/>
          <w:sz w:val="24"/>
          <w:szCs w:val="24"/>
        </w:rPr>
        <w:t>Energy</w:t>
      </w:r>
      <w:r w:rsidRPr="00DE0EB2">
        <w:rPr>
          <w:rFonts w:ascii="Garamond" w:hAnsi="Garamond" w:cs="Times New Roman"/>
          <w:sz w:val="24"/>
          <w:szCs w:val="24"/>
        </w:rPr>
        <w:t xml:space="preserve">” sh.p.k. ka paraqitur kërkesën për ndryshimin e kushteve të licencës së miratuar me vendimin e </w:t>
      </w:r>
      <w:r w:rsidR="00DE0EB2" w:rsidRPr="00DE0EB2">
        <w:rPr>
          <w:rFonts w:ascii="Garamond" w:hAnsi="Garamond" w:cs="Times New Roman"/>
          <w:sz w:val="24"/>
          <w:szCs w:val="24"/>
        </w:rPr>
        <w:t xml:space="preserve">Bordit </w:t>
      </w:r>
      <w:r w:rsidRPr="00DE0EB2">
        <w:rPr>
          <w:rFonts w:ascii="Garamond" w:hAnsi="Garamond" w:cs="Times New Roman"/>
          <w:sz w:val="24"/>
          <w:szCs w:val="24"/>
        </w:rPr>
        <w:t>të ERE-s nr. 193, datë 18.9.2024, duke kërkuar shtyrjen e afatit të përcaktuar në pikën 2 të këtij vendimi për fillimin e ushtrimit të aktivitetit të prodhimit të energjisë elektrike deri më datë 16.12.2025, për shkak të vonesave të krijuara nga zgjerimi i nënstacionit elektrik “Hoxharë e Re”, Topojë, Fier dhe zbardhjen e lejes së ndërtimit nga Agjencia e Zhvillimit të Territorit (AZHT), e lëshuar më datë 29.5.2025.</w:t>
      </w:r>
    </w:p>
    <w:p w14:paraId="364EB56C" w14:textId="27272994" w:rsidR="00D665BE" w:rsidRPr="00DE0EB2" w:rsidRDefault="00D665BE" w:rsidP="00D665B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DE0EB2">
        <w:rPr>
          <w:rFonts w:ascii="Garamond" w:hAnsi="Garamond"/>
          <w:sz w:val="24"/>
          <w:szCs w:val="24"/>
        </w:rPr>
        <w:t xml:space="preserve">- </w:t>
      </w:r>
      <w:r w:rsidRPr="00DE0EB2">
        <w:rPr>
          <w:rFonts w:ascii="Garamond" w:hAnsi="Garamond" w:cs="Times New Roman"/>
          <w:sz w:val="24"/>
          <w:szCs w:val="24"/>
        </w:rPr>
        <w:t>Shoqëria ka njoftuar se punimet për ndërtimin e impiantit fotovoltaik kanë përfunduar më datë 18.7.2025 dhe se është në procesin e kolaudimit dhe testimit nga Ministria e Infrastrukturës dhe Energjisë (MIE) dhe Agjencia Kombëtare e Burimeve Natyrore (AKBN), si dhe në procesin e lidhjes së kontratës së shitblerjes së energjisë elektrike.</w:t>
      </w:r>
    </w:p>
    <w:p w14:paraId="0492B16D" w14:textId="79415EB4" w:rsidR="00D665BE" w:rsidRPr="00DE0EB2" w:rsidRDefault="00D665BE" w:rsidP="00D665B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DE0EB2">
        <w:rPr>
          <w:rFonts w:ascii="Garamond" w:hAnsi="Garamond"/>
          <w:sz w:val="24"/>
          <w:szCs w:val="24"/>
        </w:rPr>
        <w:t xml:space="preserve">- </w:t>
      </w:r>
      <w:r w:rsidRPr="00DE0EB2">
        <w:rPr>
          <w:rFonts w:ascii="Garamond" w:hAnsi="Garamond" w:cs="Times New Roman"/>
          <w:sz w:val="24"/>
          <w:szCs w:val="24"/>
        </w:rPr>
        <w:t>Në mbështetje të kërkesës, shoqëria ka depozituar kopjen e lejes së ndërtimit të zbardhur nga AZHT</w:t>
      </w:r>
      <w:r w:rsidR="00DE0EB2">
        <w:rPr>
          <w:rFonts w:ascii="Garamond" w:hAnsi="Garamond" w:cs="Times New Roman"/>
          <w:sz w:val="24"/>
          <w:szCs w:val="24"/>
        </w:rPr>
        <w:t>-ja</w:t>
      </w:r>
      <w:r w:rsidRPr="00DE0EB2">
        <w:rPr>
          <w:rFonts w:ascii="Garamond" w:hAnsi="Garamond" w:cs="Times New Roman"/>
          <w:sz w:val="24"/>
          <w:szCs w:val="24"/>
        </w:rPr>
        <w:t>, si dhe njoftimet përkatëse të përfundimit të punimeve, të përcjella institucioneve përgjegjëse.</w:t>
      </w:r>
    </w:p>
    <w:p w14:paraId="0AAD5720" w14:textId="00469CBF" w:rsidR="00D665BE" w:rsidRPr="00DA1676" w:rsidRDefault="00D665BE" w:rsidP="00D665BE">
      <w:pPr>
        <w:pStyle w:val="Heading3"/>
        <w:spacing w:before="0" w:line="240" w:lineRule="auto"/>
        <w:ind w:firstLine="284"/>
        <w:jc w:val="both"/>
        <w:rPr>
          <w:rFonts w:ascii="Garamond" w:hAnsi="Garamond"/>
          <w:b/>
          <w:bCs/>
          <w:color w:val="auto"/>
        </w:rPr>
      </w:pPr>
      <w:r w:rsidRPr="00DA1676">
        <w:rPr>
          <w:rFonts w:ascii="Garamond" w:hAnsi="Garamond"/>
          <w:b/>
          <w:bCs/>
          <w:color w:val="auto"/>
        </w:rPr>
        <w:t xml:space="preserve">3. Analiza </w:t>
      </w:r>
      <w:r w:rsidR="00DE0EB2" w:rsidRPr="00DA1676">
        <w:rPr>
          <w:rFonts w:ascii="Garamond" w:hAnsi="Garamond"/>
          <w:b/>
          <w:bCs/>
          <w:color w:val="auto"/>
        </w:rPr>
        <w:t>ligjore dhe vlerësimi</w:t>
      </w:r>
    </w:p>
    <w:p w14:paraId="36F426C4" w14:textId="781CEC27" w:rsidR="00D665BE" w:rsidRPr="00DE0EB2" w:rsidRDefault="00D665BE" w:rsidP="00D665BE">
      <w:pPr>
        <w:pStyle w:val="Heading3"/>
        <w:keepLines w:val="0"/>
        <w:spacing w:before="0" w:line="240" w:lineRule="auto"/>
        <w:ind w:firstLine="284"/>
        <w:jc w:val="both"/>
        <w:rPr>
          <w:rFonts w:ascii="Garamond" w:hAnsi="Garamond"/>
          <w:bCs/>
          <w:color w:val="auto"/>
        </w:rPr>
      </w:pPr>
      <w:r w:rsidRPr="00DE0EB2">
        <w:rPr>
          <w:rFonts w:ascii="Garamond" w:hAnsi="Garamond" w:cs="Calibri"/>
          <w:color w:val="auto"/>
        </w:rPr>
        <w:t xml:space="preserve">- </w:t>
      </w:r>
      <w:r w:rsidRPr="00DE0EB2">
        <w:rPr>
          <w:rFonts w:ascii="Garamond" w:hAnsi="Garamond"/>
          <w:color w:val="auto"/>
        </w:rPr>
        <w:t xml:space="preserve">Me shqyrtimin e kërkesës dhe dokumentacionit të paraqitur nga shoqëria “HPG </w:t>
      </w:r>
      <w:r w:rsidR="00DE0EB2" w:rsidRPr="00DE0EB2">
        <w:rPr>
          <w:rFonts w:ascii="Garamond" w:hAnsi="Garamond"/>
          <w:color w:val="auto"/>
        </w:rPr>
        <w:t>Energy</w:t>
      </w:r>
      <w:r w:rsidRPr="00DE0EB2">
        <w:rPr>
          <w:rFonts w:ascii="Garamond" w:hAnsi="Garamond"/>
          <w:color w:val="auto"/>
        </w:rPr>
        <w:t>” sh.p.k., vlerësohet se kushti i përcaktuar në pikën 2</w:t>
      </w:r>
      <w:r w:rsidR="00DE0EB2">
        <w:rPr>
          <w:rFonts w:ascii="Garamond" w:hAnsi="Garamond"/>
          <w:color w:val="auto"/>
        </w:rPr>
        <w:t>,</w:t>
      </w:r>
      <w:r w:rsidRPr="00DE0EB2">
        <w:rPr>
          <w:rFonts w:ascii="Garamond" w:hAnsi="Garamond"/>
          <w:color w:val="auto"/>
        </w:rPr>
        <w:t xml:space="preserve"> të vendimit të </w:t>
      </w:r>
      <w:r w:rsidR="00DE0EB2" w:rsidRPr="00DE0EB2">
        <w:rPr>
          <w:rFonts w:ascii="Garamond" w:hAnsi="Garamond"/>
          <w:color w:val="auto"/>
        </w:rPr>
        <w:t xml:space="preserve">Bordit </w:t>
      </w:r>
      <w:r w:rsidRPr="00DE0EB2">
        <w:rPr>
          <w:rFonts w:ascii="Garamond" w:hAnsi="Garamond"/>
          <w:color w:val="auto"/>
        </w:rPr>
        <w:t>të ERE-s nr. 193, datë 18.9.2024, është vendosur mbi bazën e deklarimit të shoqërisë në aplikim dhe nuk rrjedh nga një afat ligjor apo kontraktual që mund të ketë përfunduar. Duke qenë se leja e ndërtimit është e vlefshme deri më 28.5.2026 dhe afati i vënies në punë të centralit fotovoltaik sipas kontratës me MIE</w:t>
      </w:r>
      <w:r w:rsidR="00DE0EB2">
        <w:rPr>
          <w:rFonts w:ascii="Garamond" w:hAnsi="Garamond"/>
          <w:color w:val="auto"/>
        </w:rPr>
        <w:t>-n</w:t>
      </w:r>
      <w:r w:rsidRPr="00DE0EB2">
        <w:rPr>
          <w:rFonts w:ascii="Garamond" w:hAnsi="Garamond"/>
          <w:color w:val="auto"/>
        </w:rPr>
        <w:t xml:space="preserve"> nuk është </w:t>
      </w:r>
      <w:r w:rsidRPr="00DE0EB2">
        <w:rPr>
          <w:rFonts w:ascii="Garamond" w:hAnsi="Garamond"/>
          <w:color w:val="auto"/>
        </w:rPr>
        <w:lastRenderedPageBreak/>
        <w:t>tejkaluar, kërkesa e shoqërisë për shtyrjen e këtij afati deri më 16.12.2025 vlerësohet e bazuar dhe pika 2 duhet të ndryshohet në përputhje me këtë afat.</w:t>
      </w:r>
    </w:p>
    <w:p w14:paraId="4F7FF343" w14:textId="7757C875" w:rsidR="00D665BE" w:rsidRPr="00DE0EB2" w:rsidRDefault="00D665BE" w:rsidP="00D665BE">
      <w:pPr>
        <w:pStyle w:val="Heading3"/>
        <w:keepLines w:val="0"/>
        <w:spacing w:before="0" w:line="240" w:lineRule="auto"/>
        <w:ind w:firstLine="284"/>
        <w:jc w:val="both"/>
        <w:rPr>
          <w:rFonts w:ascii="Garamond" w:hAnsi="Garamond"/>
          <w:color w:val="auto"/>
        </w:rPr>
      </w:pPr>
      <w:r w:rsidRPr="00DE0EB2">
        <w:rPr>
          <w:rFonts w:ascii="Garamond" w:hAnsi="Garamond" w:cs="Calibri"/>
          <w:color w:val="auto"/>
        </w:rPr>
        <w:t xml:space="preserve">- </w:t>
      </w:r>
      <w:r w:rsidRPr="00DE0EB2">
        <w:rPr>
          <w:rFonts w:ascii="Garamond" w:hAnsi="Garamond"/>
          <w:color w:val="auto"/>
        </w:rPr>
        <w:t xml:space="preserve">Në kushtet kur shoqëria “HPG </w:t>
      </w:r>
      <w:r w:rsidR="00DE0EB2" w:rsidRPr="00DE0EB2">
        <w:rPr>
          <w:rFonts w:ascii="Garamond" w:hAnsi="Garamond"/>
          <w:color w:val="auto"/>
        </w:rPr>
        <w:t>Energy</w:t>
      </w:r>
      <w:r w:rsidRPr="00DE0EB2">
        <w:rPr>
          <w:rFonts w:ascii="Garamond" w:hAnsi="Garamond"/>
          <w:color w:val="auto"/>
        </w:rPr>
        <w:t>” sh.p.k. ka përfunduar punimet për ndërtimin e centralit fotovoltaik, ka njoftuar organet kompetente për testimin dhe kolaudimin e veprës dhe është në pritje të përfundimit të këtij procesi, detyrimi i parashikuar në pikën 3</w:t>
      </w:r>
      <w:r w:rsidR="00DE0EB2">
        <w:rPr>
          <w:rFonts w:ascii="Garamond" w:hAnsi="Garamond"/>
          <w:color w:val="auto"/>
        </w:rPr>
        <w:t>,</w:t>
      </w:r>
      <w:r w:rsidRPr="00DE0EB2">
        <w:rPr>
          <w:rFonts w:ascii="Garamond" w:hAnsi="Garamond"/>
          <w:color w:val="auto"/>
        </w:rPr>
        <w:t xml:space="preserve"> të vendimit të </w:t>
      </w:r>
      <w:r w:rsidR="00DE0EB2" w:rsidRPr="00DE0EB2">
        <w:rPr>
          <w:rFonts w:ascii="Garamond" w:hAnsi="Garamond"/>
          <w:color w:val="auto"/>
        </w:rPr>
        <w:t xml:space="preserve">Bordit </w:t>
      </w:r>
      <w:r w:rsidRPr="00DE0EB2">
        <w:rPr>
          <w:rFonts w:ascii="Garamond" w:hAnsi="Garamond"/>
          <w:color w:val="auto"/>
        </w:rPr>
        <w:t xml:space="preserve">të ERE-s nr. 193, datë 18.9.2024, për raportim çdo 3 (tre) muaj mbi fillimin e punimeve ka humbur objektin. Si i tillë, ky kusht vlerësohet se duhet të ndryshohet duke përcaktuar detyrimin për depozitimin në ERE të dokumentacionit të testimit të veprës nga organet përkatëse brenda 60 (gjashtëdhjetë) ditëve nga fillimi i operimit, në përputhje me praktikat e vendimeve të ngjashme të </w:t>
      </w:r>
      <w:r w:rsidR="00DE0EB2" w:rsidRPr="00DE0EB2">
        <w:rPr>
          <w:rFonts w:ascii="Garamond" w:hAnsi="Garamond"/>
          <w:color w:val="auto"/>
        </w:rPr>
        <w:t xml:space="preserve">Bordit </w:t>
      </w:r>
      <w:r w:rsidRPr="00DE0EB2">
        <w:rPr>
          <w:rFonts w:ascii="Garamond" w:hAnsi="Garamond"/>
          <w:color w:val="auto"/>
        </w:rPr>
        <w:t>të ERE-s.</w:t>
      </w:r>
    </w:p>
    <w:p w14:paraId="06250061" w14:textId="34EFC4F0" w:rsidR="00D665BE" w:rsidRPr="00DA1676" w:rsidRDefault="00D665BE" w:rsidP="00D665BE">
      <w:pPr>
        <w:pStyle w:val="Heading3"/>
        <w:spacing w:before="0" w:line="240" w:lineRule="auto"/>
        <w:ind w:firstLine="284"/>
        <w:rPr>
          <w:rFonts w:ascii="Garamond" w:hAnsi="Garamond"/>
          <w:b/>
          <w:bCs/>
          <w:color w:val="auto"/>
        </w:rPr>
      </w:pPr>
      <w:r w:rsidRPr="00DA1676">
        <w:rPr>
          <w:rFonts w:ascii="Garamond" w:hAnsi="Garamond"/>
          <w:b/>
          <w:bCs/>
          <w:color w:val="auto"/>
        </w:rPr>
        <w:t xml:space="preserve">4. Nevoja për </w:t>
      </w:r>
      <w:r w:rsidR="00DE0EB2" w:rsidRPr="00DA1676">
        <w:rPr>
          <w:rFonts w:ascii="Garamond" w:hAnsi="Garamond"/>
          <w:b/>
          <w:bCs/>
          <w:color w:val="auto"/>
        </w:rPr>
        <w:t>ndryshimin e vendimit</w:t>
      </w:r>
    </w:p>
    <w:p w14:paraId="548C415C" w14:textId="49F614AB" w:rsidR="00D665BE" w:rsidRPr="00DE0EB2" w:rsidRDefault="00D665BE" w:rsidP="00D665BE">
      <w:pPr>
        <w:pStyle w:val="Heading3"/>
        <w:keepLines w:val="0"/>
        <w:spacing w:before="0" w:line="240" w:lineRule="auto"/>
        <w:ind w:firstLine="284"/>
        <w:jc w:val="both"/>
        <w:rPr>
          <w:rFonts w:ascii="Garamond" w:hAnsi="Garamond"/>
          <w:bCs/>
          <w:color w:val="auto"/>
        </w:rPr>
      </w:pPr>
      <w:r w:rsidRPr="00DE0EB2">
        <w:rPr>
          <w:rFonts w:ascii="Garamond" w:hAnsi="Garamond" w:cs="Calibri"/>
          <w:color w:val="auto"/>
        </w:rPr>
        <w:t xml:space="preserve">- </w:t>
      </w:r>
      <w:r w:rsidRPr="00DE0EB2">
        <w:rPr>
          <w:rFonts w:ascii="Garamond" w:hAnsi="Garamond"/>
          <w:color w:val="auto"/>
        </w:rPr>
        <w:t>Në mbështetje të nenit 113</w:t>
      </w:r>
      <w:r w:rsidR="00DE0EB2">
        <w:rPr>
          <w:rFonts w:ascii="Garamond" w:hAnsi="Garamond"/>
          <w:color w:val="auto"/>
        </w:rPr>
        <w:t>,</w:t>
      </w:r>
      <w:r w:rsidRPr="00DE0EB2">
        <w:rPr>
          <w:rFonts w:ascii="Garamond" w:hAnsi="Garamond"/>
          <w:color w:val="auto"/>
        </w:rPr>
        <w:t xml:space="preserve"> të ligjit nr. 44/2015</w:t>
      </w:r>
      <w:r w:rsidR="00DE0EB2">
        <w:rPr>
          <w:rFonts w:ascii="Garamond" w:hAnsi="Garamond"/>
          <w:color w:val="auto"/>
        </w:rPr>
        <w:t>,</w:t>
      </w:r>
      <w:r w:rsidRPr="00DE0EB2">
        <w:rPr>
          <w:rFonts w:ascii="Garamond" w:hAnsi="Garamond"/>
          <w:color w:val="auto"/>
        </w:rPr>
        <w:t xml:space="preserve"> </w:t>
      </w:r>
      <w:r w:rsidRPr="00DE0EB2">
        <w:rPr>
          <w:rFonts w:ascii="Garamond" w:hAnsi="Garamond"/>
          <w:iCs/>
          <w:color w:val="auto"/>
        </w:rPr>
        <w:t>“Kodi i Procedurave Administrative të Republikës së Shqipërisë”</w:t>
      </w:r>
      <w:r w:rsidRPr="00DE0EB2">
        <w:rPr>
          <w:rFonts w:ascii="Garamond" w:hAnsi="Garamond"/>
          <w:color w:val="auto"/>
        </w:rPr>
        <w:t>, i cili parashikon se një akt administrativ mund të ndryshohet, shfuqizohet apo anulohet, kryesisht nga organi publik që ka kompetencë për ta nxjerrë atë, vlerësohet se pikat 2 dhe 3</w:t>
      </w:r>
      <w:r w:rsidR="00DE0EB2">
        <w:rPr>
          <w:rFonts w:ascii="Garamond" w:hAnsi="Garamond"/>
          <w:color w:val="auto"/>
        </w:rPr>
        <w:t>,</w:t>
      </w:r>
      <w:r w:rsidRPr="00DE0EB2">
        <w:rPr>
          <w:rFonts w:ascii="Garamond" w:hAnsi="Garamond"/>
          <w:color w:val="auto"/>
        </w:rPr>
        <w:t xml:space="preserve"> të dispozitivit të vendimit të </w:t>
      </w:r>
      <w:r w:rsidR="00DE0EB2" w:rsidRPr="00DE0EB2">
        <w:rPr>
          <w:rFonts w:ascii="Garamond" w:hAnsi="Garamond"/>
          <w:color w:val="auto"/>
        </w:rPr>
        <w:t xml:space="preserve">Bordit </w:t>
      </w:r>
      <w:r w:rsidRPr="00DE0EB2">
        <w:rPr>
          <w:rFonts w:ascii="Garamond" w:hAnsi="Garamond"/>
          <w:color w:val="auto"/>
        </w:rPr>
        <w:t xml:space="preserve">të ERE-s nr. 193, datë 18.9.2024, duhet të ndryshohen, pasi shoqëria “HPG </w:t>
      </w:r>
      <w:r w:rsidR="00DE0EB2" w:rsidRPr="00DE0EB2">
        <w:rPr>
          <w:rFonts w:ascii="Garamond" w:hAnsi="Garamond"/>
          <w:color w:val="auto"/>
        </w:rPr>
        <w:t>Energy</w:t>
      </w:r>
      <w:r w:rsidRPr="00DE0EB2">
        <w:rPr>
          <w:rFonts w:ascii="Garamond" w:hAnsi="Garamond"/>
          <w:color w:val="auto"/>
        </w:rPr>
        <w:t>” sh.p.k. ka përmbushur kushtet përkatëse dhe afatet e reja duhet të reflektojnë situatën aktuale të realizimit të projektit.</w:t>
      </w:r>
    </w:p>
    <w:p w14:paraId="23B44223" w14:textId="6243DD2A" w:rsidR="00D665BE" w:rsidRPr="00DA1676" w:rsidRDefault="00D665BE" w:rsidP="00DA1676">
      <w:pPr>
        <w:pStyle w:val="Heading3"/>
        <w:keepLines w:val="0"/>
        <w:spacing w:before="0" w:line="240" w:lineRule="auto"/>
        <w:ind w:firstLine="284"/>
        <w:jc w:val="both"/>
        <w:rPr>
          <w:rFonts w:ascii="Garamond" w:hAnsi="Garamond"/>
          <w:color w:val="auto"/>
        </w:rPr>
      </w:pPr>
      <w:r w:rsidRPr="00DE0EB2">
        <w:rPr>
          <w:rFonts w:ascii="Garamond" w:hAnsi="Garamond" w:cs="Calibri"/>
          <w:color w:val="auto"/>
        </w:rPr>
        <w:t xml:space="preserve">- </w:t>
      </w:r>
      <w:r w:rsidRPr="00DE0EB2">
        <w:rPr>
          <w:rFonts w:ascii="Garamond" w:hAnsi="Garamond"/>
          <w:color w:val="auto"/>
        </w:rPr>
        <w:t>Për sa më sipër pika 2</w:t>
      </w:r>
      <w:r w:rsidR="00DE0EB2">
        <w:rPr>
          <w:rFonts w:ascii="Garamond" w:hAnsi="Garamond"/>
          <w:color w:val="auto"/>
        </w:rPr>
        <w:t>,</w:t>
      </w:r>
      <w:r w:rsidRPr="00DE0EB2">
        <w:rPr>
          <w:rFonts w:ascii="Garamond" w:hAnsi="Garamond"/>
          <w:color w:val="auto"/>
        </w:rPr>
        <w:t xml:space="preserve"> e vendimit nr. 193/2024, vlerësohet të bëhet: “2. </w:t>
      </w:r>
      <w:r w:rsidRPr="00DE0EB2">
        <w:rPr>
          <w:rFonts w:ascii="Garamond" w:hAnsi="Garamond"/>
          <w:iCs/>
          <w:color w:val="auto"/>
        </w:rPr>
        <w:t>“Shoqëria duhet të fillojë ushtrimin e aktivitetit të prodhimit të energjisë elektrike nga centrali fotovoltaik, jo më vonë se data 16.12.2025”.</w:t>
      </w:r>
    </w:p>
    <w:p w14:paraId="5559F8C7" w14:textId="60887450" w:rsidR="00D665BE" w:rsidRPr="00DE0EB2" w:rsidRDefault="00D665BE" w:rsidP="00DA1676">
      <w:pPr>
        <w:pStyle w:val="Heading3"/>
        <w:keepLines w:val="0"/>
        <w:spacing w:before="0" w:line="240" w:lineRule="auto"/>
        <w:ind w:firstLine="284"/>
        <w:jc w:val="both"/>
        <w:rPr>
          <w:rFonts w:ascii="Garamond" w:hAnsi="Garamond"/>
          <w:color w:val="auto"/>
        </w:rPr>
      </w:pPr>
      <w:r w:rsidRPr="00DE0EB2">
        <w:rPr>
          <w:rFonts w:ascii="Garamond" w:hAnsi="Garamond" w:cs="Calibri"/>
          <w:color w:val="auto"/>
        </w:rPr>
        <w:t xml:space="preserve">- </w:t>
      </w:r>
      <w:r w:rsidRPr="00DE0EB2">
        <w:rPr>
          <w:rFonts w:ascii="Garamond" w:hAnsi="Garamond"/>
          <w:color w:val="auto"/>
        </w:rPr>
        <w:t>Ndërsa pika 3</w:t>
      </w:r>
      <w:r w:rsidR="00DE0EB2">
        <w:rPr>
          <w:rFonts w:ascii="Garamond" w:hAnsi="Garamond"/>
          <w:color w:val="auto"/>
        </w:rPr>
        <w:t>,</w:t>
      </w:r>
      <w:r w:rsidRPr="00DE0EB2">
        <w:rPr>
          <w:rFonts w:ascii="Garamond" w:hAnsi="Garamond"/>
          <w:color w:val="auto"/>
        </w:rPr>
        <w:t xml:space="preserve"> e vendimit nr. 193/2024</w:t>
      </w:r>
      <w:r w:rsidR="00DE0EB2">
        <w:rPr>
          <w:rFonts w:ascii="Garamond" w:hAnsi="Garamond"/>
          <w:color w:val="auto"/>
        </w:rPr>
        <w:t>,</w:t>
      </w:r>
      <w:r w:rsidRPr="00DE0EB2">
        <w:rPr>
          <w:rFonts w:ascii="Garamond" w:hAnsi="Garamond"/>
          <w:color w:val="auto"/>
        </w:rPr>
        <w:t xml:space="preserve"> vlerësohet të bëhet: </w:t>
      </w:r>
      <w:bookmarkStart w:id="0" w:name="_GoBack"/>
      <w:bookmarkEnd w:id="0"/>
      <w:r w:rsidR="00DE0EB2">
        <w:rPr>
          <w:rFonts w:ascii="Garamond" w:hAnsi="Garamond"/>
          <w:color w:val="auto"/>
        </w:rPr>
        <w:t>“</w:t>
      </w:r>
      <w:r w:rsidRPr="00DE0EB2">
        <w:rPr>
          <w:rFonts w:ascii="Garamond" w:hAnsi="Garamond"/>
          <w:color w:val="auto"/>
        </w:rPr>
        <w:t xml:space="preserve">3. </w:t>
      </w:r>
      <w:r w:rsidRPr="00DE0EB2">
        <w:rPr>
          <w:rFonts w:ascii="Garamond" w:hAnsi="Garamond"/>
          <w:iCs/>
          <w:color w:val="auto"/>
        </w:rPr>
        <w:t>Brenda 60 (gjashtëdhjetë) ditëve nga fillimi i operimit, shoqëria duhet të dokumentojë në ERE testimin e veprës</w:t>
      </w:r>
      <w:r w:rsidR="00DE0EB2">
        <w:rPr>
          <w:rFonts w:ascii="Garamond" w:hAnsi="Garamond"/>
          <w:iCs/>
          <w:color w:val="auto"/>
        </w:rPr>
        <w:t>.</w:t>
      </w:r>
      <w:r w:rsidRPr="00DE0EB2">
        <w:rPr>
          <w:rFonts w:ascii="Garamond" w:hAnsi="Garamond"/>
          <w:iCs/>
          <w:color w:val="auto"/>
        </w:rPr>
        <w:t>”.</w:t>
      </w:r>
    </w:p>
    <w:p w14:paraId="77A9CFBE" w14:textId="6385B1CB" w:rsidR="00D665BE" w:rsidRPr="00DE0EB2" w:rsidRDefault="00D665BE" w:rsidP="00D665B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DE0EB2">
        <w:rPr>
          <w:rFonts w:ascii="Garamond" w:hAnsi="Garamond"/>
          <w:sz w:val="24"/>
          <w:szCs w:val="24"/>
        </w:rPr>
        <w:t xml:space="preserve">- </w:t>
      </w:r>
      <w:r w:rsidRPr="00DE0EB2">
        <w:rPr>
          <w:rFonts w:ascii="Garamond" w:hAnsi="Garamond" w:cs="Times New Roman"/>
          <w:sz w:val="24"/>
          <w:szCs w:val="24"/>
        </w:rPr>
        <w:t>Me ndryshimin e pikave 2 dhe 3</w:t>
      </w:r>
      <w:r w:rsidR="00DE0EB2">
        <w:rPr>
          <w:rFonts w:ascii="Garamond" w:hAnsi="Garamond" w:cs="Times New Roman"/>
          <w:sz w:val="24"/>
          <w:szCs w:val="24"/>
        </w:rPr>
        <w:t>,</w:t>
      </w:r>
      <w:r w:rsidRPr="00DE0EB2">
        <w:rPr>
          <w:rFonts w:ascii="Garamond" w:hAnsi="Garamond" w:cs="Times New Roman"/>
          <w:sz w:val="24"/>
          <w:szCs w:val="24"/>
        </w:rPr>
        <w:t xml:space="preserve"> të vendimit nr. 193/2024, dispozitat e tjera të këtij vendimi mbeten të pandryshuara.</w:t>
      </w:r>
    </w:p>
    <w:p w14:paraId="4893A9FA" w14:textId="48E8304F" w:rsidR="00D665BE" w:rsidRPr="00DE0EB2" w:rsidRDefault="00D665BE" w:rsidP="00D665BE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DE0EB2">
        <w:rPr>
          <w:rFonts w:ascii="Garamond" w:hAnsi="Garamond"/>
          <w:sz w:val="24"/>
          <w:szCs w:val="24"/>
        </w:rPr>
        <w:t xml:space="preserve">Për gjithë sa më sipër, </w:t>
      </w:r>
      <w:r w:rsidR="00DE0EB2" w:rsidRPr="00DE0EB2">
        <w:rPr>
          <w:rFonts w:ascii="Garamond" w:hAnsi="Garamond"/>
          <w:sz w:val="24"/>
          <w:szCs w:val="24"/>
        </w:rPr>
        <w:t xml:space="preserve">Bordi </w:t>
      </w:r>
      <w:r w:rsidRPr="00DE0EB2">
        <w:rPr>
          <w:rFonts w:ascii="Garamond" w:hAnsi="Garamond"/>
          <w:sz w:val="24"/>
          <w:szCs w:val="24"/>
        </w:rPr>
        <w:t>i ERE-s</w:t>
      </w:r>
    </w:p>
    <w:p w14:paraId="119DAFEB" w14:textId="77777777" w:rsidR="00D665BE" w:rsidRPr="00D665BE" w:rsidRDefault="00D665BE" w:rsidP="00D665BE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</w:p>
    <w:p w14:paraId="63ECC2B2" w14:textId="6A1BCAF0" w:rsidR="00D665BE" w:rsidRPr="00D665BE" w:rsidRDefault="00D665BE" w:rsidP="00D665BE">
      <w:pPr>
        <w:pStyle w:val="CommentText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D665BE">
        <w:rPr>
          <w:rFonts w:ascii="Garamond" w:hAnsi="Garamond"/>
          <w:bCs/>
          <w:sz w:val="24"/>
          <w:szCs w:val="24"/>
        </w:rPr>
        <w:t>VENDOSI:</w:t>
      </w:r>
    </w:p>
    <w:p w14:paraId="0CF60F91" w14:textId="77777777" w:rsidR="00D665BE" w:rsidRPr="00D665BE" w:rsidRDefault="00D665BE" w:rsidP="00D665BE">
      <w:pPr>
        <w:pStyle w:val="CommentText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56BFEC8A" w14:textId="1E4BB84A" w:rsidR="00D665BE" w:rsidRPr="00D665BE" w:rsidRDefault="00D665BE" w:rsidP="00D665BE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D665BE">
        <w:rPr>
          <w:rFonts w:ascii="Garamond" w:hAnsi="Garamond"/>
          <w:sz w:val="24"/>
          <w:szCs w:val="24"/>
        </w:rPr>
        <w:t>1. Pika 2</w:t>
      </w:r>
      <w:r w:rsidR="00DE0EB2">
        <w:rPr>
          <w:rFonts w:ascii="Garamond" w:hAnsi="Garamond"/>
          <w:sz w:val="24"/>
          <w:szCs w:val="24"/>
        </w:rPr>
        <w:t>,</w:t>
      </w:r>
      <w:r w:rsidRPr="00D665BE">
        <w:rPr>
          <w:rFonts w:ascii="Garamond" w:hAnsi="Garamond"/>
          <w:sz w:val="24"/>
          <w:szCs w:val="24"/>
        </w:rPr>
        <w:t xml:space="preserve"> e vendimit të </w:t>
      </w:r>
      <w:r w:rsidR="00DE0EB2" w:rsidRPr="00D665BE">
        <w:rPr>
          <w:rFonts w:ascii="Garamond" w:hAnsi="Garamond"/>
          <w:sz w:val="24"/>
          <w:szCs w:val="24"/>
        </w:rPr>
        <w:t xml:space="preserve">Bordit </w:t>
      </w:r>
      <w:r w:rsidRPr="00D665BE">
        <w:rPr>
          <w:rFonts w:ascii="Garamond" w:hAnsi="Garamond"/>
          <w:sz w:val="24"/>
          <w:szCs w:val="24"/>
        </w:rPr>
        <w:t>të ERE</w:t>
      </w:r>
      <w:r w:rsidR="00DE0EB2">
        <w:rPr>
          <w:rFonts w:ascii="Garamond" w:hAnsi="Garamond"/>
          <w:sz w:val="24"/>
          <w:szCs w:val="24"/>
        </w:rPr>
        <w:t>-s</w:t>
      </w:r>
      <w:r w:rsidRPr="00D665BE">
        <w:rPr>
          <w:rFonts w:ascii="Garamond" w:hAnsi="Garamond"/>
          <w:sz w:val="24"/>
          <w:szCs w:val="24"/>
        </w:rPr>
        <w:t xml:space="preserve"> nr. 193, datë 18.9.2024, ndryshon dhe bëhet:</w:t>
      </w:r>
    </w:p>
    <w:p w14:paraId="1BE2532F" w14:textId="59E9C067" w:rsidR="00D665BE" w:rsidRPr="00DE0EB2" w:rsidRDefault="00D665BE" w:rsidP="00D665BE">
      <w:pPr>
        <w:pStyle w:val="CommentText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DE0EB2">
        <w:rPr>
          <w:rFonts w:ascii="Garamond" w:hAnsi="Garamond"/>
          <w:sz w:val="24"/>
          <w:szCs w:val="24"/>
        </w:rPr>
        <w:t>“</w:t>
      </w:r>
      <w:r w:rsidRPr="00DE0EB2">
        <w:rPr>
          <w:rFonts w:ascii="Garamond" w:hAnsi="Garamond"/>
          <w:iCs/>
          <w:sz w:val="24"/>
          <w:szCs w:val="24"/>
        </w:rPr>
        <w:t>2. Shoqëria duhet të fillojë ushtrimin e aktivitetit të prodhimit të energjisë elektrike nga centrali fotovoltaik, jo më vonë se data 16.12.2025</w:t>
      </w:r>
      <w:r w:rsidRPr="00DE0EB2">
        <w:rPr>
          <w:rFonts w:ascii="Garamond" w:hAnsi="Garamond"/>
          <w:sz w:val="24"/>
          <w:szCs w:val="24"/>
        </w:rPr>
        <w:t>.”</w:t>
      </w:r>
      <w:r w:rsidR="00DE0EB2">
        <w:rPr>
          <w:rFonts w:ascii="Garamond" w:hAnsi="Garamond"/>
          <w:sz w:val="24"/>
          <w:szCs w:val="24"/>
        </w:rPr>
        <w:t>.</w:t>
      </w:r>
    </w:p>
    <w:p w14:paraId="549DFEE0" w14:textId="437A0150" w:rsidR="00D665BE" w:rsidRPr="00DE0EB2" w:rsidRDefault="00D665BE" w:rsidP="00D665BE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DE0EB2">
        <w:rPr>
          <w:rFonts w:ascii="Garamond" w:hAnsi="Garamond"/>
          <w:sz w:val="24"/>
          <w:szCs w:val="24"/>
        </w:rPr>
        <w:t>2. Pika 3</w:t>
      </w:r>
      <w:r w:rsidR="00DE0EB2">
        <w:rPr>
          <w:rFonts w:ascii="Garamond" w:hAnsi="Garamond"/>
          <w:sz w:val="24"/>
          <w:szCs w:val="24"/>
        </w:rPr>
        <w:t>,</w:t>
      </w:r>
      <w:r w:rsidRPr="00DE0EB2">
        <w:rPr>
          <w:rFonts w:ascii="Garamond" w:hAnsi="Garamond"/>
          <w:sz w:val="24"/>
          <w:szCs w:val="24"/>
        </w:rPr>
        <w:t xml:space="preserve"> e vendimit të </w:t>
      </w:r>
      <w:r w:rsidR="00DE0EB2" w:rsidRPr="00DE0EB2">
        <w:rPr>
          <w:rFonts w:ascii="Garamond" w:hAnsi="Garamond"/>
          <w:sz w:val="24"/>
          <w:szCs w:val="24"/>
        </w:rPr>
        <w:t xml:space="preserve">Bordit </w:t>
      </w:r>
      <w:r w:rsidRPr="00DE0EB2">
        <w:rPr>
          <w:rFonts w:ascii="Garamond" w:hAnsi="Garamond"/>
          <w:sz w:val="24"/>
          <w:szCs w:val="24"/>
        </w:rPr>
        <w:t>të ERE</w:t>
      </w:r>
      <w:r w:rsidR="00DE0EB2">
        <w:rPr>
          <w:rFonts w:ascii="Garamond" w:hAnsi="Garamond"/>
          <w:sz w:val="24"/>
          <w:szCs w:val="24"/>
        </w:rPr>
        <w:t>-s</w:t>
      </w:r>
      <w:r w:rsidRPr="00DE0EB2">
        <w:rPr>
          <w:rFonts w:ascii="Garamond" w:hAnsi="Garamond"/>
          <w:sz w:val="24"/>
          <w:szCs w:val="24"/>
        </w:rPr>
        <w:t xml:space="preserve"> nr. 193, datë 18.9.2024, ndryshon dhe bëhet:</w:t>
      </w:r>
    </w:p>
    <w:p w14:paraId="4C47B82F" w14:textId="3A9143A3" w:rsidR="00D665BE" w:rsidRPr="00DE0EB2" w:rsidRDefault="00D665BE" w:rsidP="00D665BE">
      <w:pPr>
        <w:pStyle w:val="CommentText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DE0EB2">
        <w:rPr>
          <w:rFonts w:ascii="Garamond" w:hAnsi="Garamond"/>
          <w:sz w:val="24"/>
          <w:szCs w:val="24"/>
        </w:rPr>
        <w:t>“</w:t>
      </w:r>
      <w:r w:rsidRPr="00DE0EB2">
        <w:rPr>
          <w:rFonts w:ascii="Garamond" w:hAnsi="Garamond"/>
          <w:iCs/>
          <w:sz w:val="24"/>
          <w:szCs w:val="24"/>
        </w:rPr>
        <w:t>3. Brenda 60 (gjashtëdhjetë) ditëve nga fillimi i operimit, shoqëria duhet të dokumentojë në ERE testimin e veprës</w:t>
      </w:r>
      <w:r w:rsidRPr="00DE0EB2">
        <w:rPr>
          <w:rFonts w:ascii="Garamond" w:hAnsi="Garamond"/>
          <w:sz w:val="24"/>
          <w:szCs w:val="24"/>
        </w:rPr>
        <w:t>.”</w:t>
      </w:r>
      <w:r w:rsidR="00DE0EB2">
        <w:rPr>
          <w:rFonts w:ascii="Garamond" w:hAnsi="Garamond"/>
          <w:sz w:val="24"/>
          <w:szCs w:val="24"/>
        </w:rPr>
        <w:t>.</w:t>
      </w:r>
    </w:p>
    <w:p w14:paraId="7671B09F" w14:textId="594E8632" w:rsidR="00D665BE" w:rsidRPr="00D665BE" w:rsidRDefault="00D665BE" w:rsidP="00D665BE">
      <w:pPr>
        <w:pStyle w:val="CommentText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D665BE">
        <w:rPr>
          <w:rFonts w:ascii="Garamond" w:hAnsi="Garamond"/>
          <w:sz w:val="24"/>
          <w:szCs w:val="24"/>
        </w:rPr>
        <w:t>3.</w:t>
      </w:r>
      <w:r>
        <w:rPr>
          <w:rFonts w:ascii="Garamond" w:hAnsi="Garamond"/>
          <w:sz w:val="24"/>
          <w:szCs w:val="24"/>
        </w:rPr>
        <w:t xml:space="preserve"> </w:t>
      </w:r>
      <w:r w:rsidRPr="00D665BE">
        <w:rPr>
          <w:rFonts w:ascii="Garamond" w:hAnsi="Garamond"/>
          <w:sz w:val="24"/>
          <w:szCs w:val="24"/>
        </w:rPr>
        <w:t xml:space="preserve">Drejtoria e Politikave të Burimeve të Rinovueshme të njoftojë shoqërinë “HPG </w:t>
      </w:r>
      <w:r w:rsidR="00DE0EB2" w:rsidRPr="00D665BE">
        <w:rPr>
          <w:rFonts w:ascii="Garamond" w:hAnsi="Garamond"/>
          <w:sz w:val="24"/>
          <w:szCs w:val="24"/>
        </w:rPr>
        <w:t>Energy</w:t>
      </w:r>
      <w:r w:rsidRPr="00D665BE">
        <w:rPr>
          <w:rFonts w:ascii="Garamond" w:hAnsi="Garamond"/>
          <w:sz w:val="24"/>
          <w:szCs w:val="24"/>
        </w:rPr>
        <w:t xml:space="preserve">” sh.p.k., Ministrinë e Infrastrukturës dhe Energjisë, </w:t>
      </w:r>
      <w:r w:rsidR="00DE0EB2">
        <w:rPr>
          <w:rFonts w:ascii="Garamond" w:hAnsi="Garamond"/>
          <w:sz w:val="24"/>
          <w:szCs w:val="24"/>
        </w:rPr>
        <w:t>“</w:t>
      </w:r>
      <w:r w:rsidRPr="00D665BE">
        <w:rPr>
          <w:rFonts w:ascii="Garamond" w:hAnsi="Garamond"/>
          <w:sz w:val="24"/>
          <w:szCs w:val="24"/>
        </w:rPr>
        <w:t>FTL</w:t>
      </w:r>
      <w:r w:rsidR="00DE0EB2">
        <w:rPr>
          <w:rFonts w:ascii="Garamond" w:hAnsi="Garamond"/>
          <w:sz w:val="24"/>
          <w:szCs w:val="24"/>
        </w:rPr>
        <w:t>”</w:t>
      </w:r>
      <w:r w:rsidRPr="00D665BE">
        <w:rPr>
          <w:rFonts w:ascii="Garamond" w:hAnsi="Garamond"/>
          <w:sz w:val="24"/>
          <w:szCs w:val="24"/>
        </w:rPr>
        <w:t xml:space="preserve"> sh.a. dhe </w:t>
      </w:r>
      <w:r w:rsidR="00DE0EB2">
        <w:rPr>
          <w:rFonts w:ascii="Garamond" w:hAnsi="Garamond"/>
          <w:sz w:val="24"/>
          <w:szCs w:val="24"/>
        </w:rPr>
        <w:t>“</w:t>
      </w:r>
      <w:r w:rsidRPr="00D665BE">
        <w:rPr>
          <w:rFonts w:ascii="Garamond" w:hAnsi="Garamond"/>
          <w:sz w:val="24"/>
          <w:szCs w:val="24"/>
        </w:rPr>
        <w:t>OSSH</w:t>
      </w:r>
      <w:r w:rsidR="00DE0EB2">
        <w:rPr>
          <w:rFonts w:ascii="Garamond" w:hAnsi="Garamond"/>
          <w:sz w:val="24"/>
          <w:szCs w:val="24"/>
        </w:rPr>
        <w:t>”</w:t>
      </w:r>
      <w:r w:rsidRPr="00D665BE">
        <w:rPr>
          <w:rFonts w:ascii="Garamond" w:hAnsi="Garamond"/>
          <w:sz w:val="24"/>
          <w:szCs w:val="24"/>
        </w:rPr>
        <w:t xml:space="preserve"> sh.a. për vendimin e </w:t>
      </w:r>
      <w:r w:rsidR="00DE0EB2" w:rsidRPr="00D665BE">
        <w:rPr>
          <w:rFonts w:ascii="Garamond" w:hAnsi="Garamond"/>
          <w:sz w:val="24"/>
          <w:szCs w:val="24"/>
        </w:rPr>
        <w:t xml:space="preserve">Bordit </w:t>
      </w:r>
      <w:r w:rsidRPr="00D665BE">
        <w:rPr>
          <w:rFonts w:ascii="Garamond" w:hAnsi="Garamond"/>
          <w:sz w:val="24"/>
          <w:szCs w:val="24"/>
        </w:rPr>
        <w:t>të ERE-s.</w:t>
      </w:r>
    </w:p>
    <w:p w14:paraId="35F4A202" w14:textId="77777777" w:rsidR="00D665BE" w:rsidRPr="00D665BE" w:rsidRDefault="00D665BE" w:rsidP="00D665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665BE">
        <w:rPr>
          <w:rFonts w:ascii="Garamond" w:hAnsi="Garamond" w:cs="Times New Roman"/>
          <w:sz w:val="24"/>
          <w:szCs w:val="24"/>
        </w:rPr>
        <w:t>Ky vendim hyn në fuqi menjëherë.</w:t>
      </w:r>
    </w:p>
    <w:p w14:paraId="36662CF0" w14:textId="35AFBAC8" w:rsidR="00D665BE" w:rsidRPr="00D665BE" w:rsidRDefault="00D665BE" w:rsidP="00D665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665BE">
        <w:rPr>
          <w:rFonts w:ascii="Garamond" w:hAnsi="Garamond" w:cs="Times New Roman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DE0EB2" w:rsidRPr="00D665BE">
        <w:rPr>
          <w:rFonts w:ascii="Garamond" w:hAnsi="Garamond" w:cs="Times New Roman"/>
          <w:sz w:val="24"/>
          <w:szCs w:val="24"/>
        </w:rPr>
        <w:t xml:space="preserve">Bordit </w:t>
      </w:r>
      <w:r w:rsidRPr="00D665BE">
        <w:rPr>
          <w:rFonts w:ascii="Garamond" w:hAnsi="Garamond" w:cs="Times New Roman"/>
          <w:sz w:val="24"/>
          <w:szCs w:val="24"/>
        </w:rPr>
        <w:t xml:space="preserve">në rast se ka siguruar prova të reja që mund ta çojnë </w:t>
      </w:r>
      <w:r w:rsidR="00DE0EB2" w:rsidRPr="00D665BE">
        <w:rPr>
          <w:rFonts w:ascii="Garamond" w:hAnsi="Garamond" w:cs="Times New Roman"/>
          <w:sz w:val="24"/>
          <w:szCs w:val="24"/>
        </w:rPr>
        <w:t xml:space="preserve">Bordin </w:t>
      </w:r>
      <w:r w:rsidRPr="00D665BE">
        <w:rPr>
          <w:rFonts w:ascii="Garamond" w:hAnsi="Garamond" w:cs="Times New Roman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33DA9356" w14:textId="77777777" w:rsidR="00D665BE" w:rsidRPr="00D665BE" w:rsidRDefault="00D665BE" w:rsidP="00D665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665BE">
        <w:rPr>
          <w:rFonts w:ascii="Garamond" w:hAnsi="Garamond" w:cs="Times New Roman"/>
          <w:sz w:val="24"/>
          <w:szCs w:val="24"/>
        </w:rPr>
        <w:t>Ky vendim botohet në Fletoren Zyrtare.</w:t>
      </w:r>
    </w:p>
    <w:p w14:paraId="63531B17" w14:textId="77777777" w:rsidR="00D665BE" w:rsidRPr="00D665BE" w:rsidRDefault="00D665BE" w:rsidP="00D665BE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p w14:paraId="06431AD3" w14:textId="2AC76106" w:rsidR="00D665BE" w:rsidRPr="00D665BE" w:rsidRDefault="00D665BE" w:rsidP="00D665BE">
      <w:pPr>
        <w:tabs>
          <w:tab w:val="left" w:pos="7340"/>
        </w:tabs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D665BE">
        <w:rPr>
          <w:rFonts w:ascii="Garamond" w:hAnsi="Garamond" w:cs="Times New Roman"/>
          <w:bCs/>
          <w:sz w:val="24"/>
          <w:szCs w:val="24"/>
        </w:rPr>
        <w:t>KRYETAR</w:t>
      </w:r>
    </w:p>
    <w:p w14:paraId="5768BF7B" w14:textId="38FFE727" w:rsidR="00D665BE" w:rsidRPr="00D665BE" w:rsidRDefault="00D665BE" w:rsidP="00D665BE">
      <w:pPr>
        <w:tabs>
          <w:tab w:val="left" w:pos="7340"/>
        </w:tabs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D665BE">
        <w:rPr>
          <w:rFonts w:ascii="Garamond" w:hAnsi="Garamond" w:cs="Times New Roman"/>
          <w:b/>
          <w:bCs/>
          <w:sz w:val="24"/>
          <w:szCs w:val="24"/>
        </w:rPr>
        <w:t>Petrit Ahmeti</w:t>
      </w:r>
    </w:p>
    <w:p w14:paraId="64E90817" w14:textId="77777777" w:rsidR="00192B9F" w:rsidRPr="00D665BE" w:rsidRDefault="00192B9F" w:rsidP="00DE0EB2">
      <w:pPr>
        <w:spacing w:after="0" w:line="240" w:lineRule="auto"/>
        <w:rPr>
          <w:rFonts w:ascii="Garamond" w:hAnsi="Garamond"/>
          <w:sz w:val="24"/>
          <w:szCs w:val="24"/>
        </w:rPr>
      </w:pPr>
    </w:p>
    <w:sectPr w:rsidR="00192B9F" w:rsidRPr="00D665BE">
      <w:footerReference w:type="default" r:id="rId12"/>
      <w:pgSz w:w="12240" w:h="15840"/>
      <w:pgMar w:top="1260" w:right="1440" w:bottom="1440" w:left="1440" w:header="708" w:footer="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DF47B8" w14:textId="77777777" w:rsidR="00E33E43" w:rsidRDefault="00E33E43">
      <w:pPr>
        <w:spacing w:after="0" w:line="240" w:lineRule="auto"/>
      </w:pPr>
      <w:r>
        <w:separator/>
      </w:r>
    </w:p>
  </w:endnote>
  <w:endnote w:type="continuationSeparator" w:id="0">
    <w:p w14:paraId="123EEA42" w14:textId="77777777" w:rsidR="00E33E43" w:rsidRDefault="00E33E43">
      <w:pPr>
        <w:spacing w:after="0" w:line="240" w:lineRule="auto"/>
      </w:pPr>
      <w:r>
        <w:continuationSeparator/>
      </w:r>
    </w:p>
  </w:endnote>
  <w:endnote w:type="continuationNotice" w:id="1">
    <w:p w14:paraId="2ABC339B" w14:textId="77777777" w:rsidR="00E33E43" w:rsidRDefault="00E33E4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44BDCA" w14:textId="51581AB4" w:rsidR="00E33E43" w:rsidRDefault="00E33E43">
    <w:pPr>
      <w:tabs>
        <w:tab w:val="center" w:pos="4680"/>
        <w:tab w:val="right" w:pos="9360"/>
      </w:tabs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643154" w14:textId="77777777" w:rsidR="00E33E43" w:rsidRDefault="00E33E43">
      <w:pPr>
        <w:spacing w:after="0" w:line="240" w:lineRule="auto"/>
      </w:pPr>
      <w:r>
        <w:separator/>
      </w:r>
    </w:p>
  </w:footnote>
  <w:footnote w:type="continuationSeparator" w:id="0">
    <w:p w14:paraId="52C13E60" w14:textId="77777777" w:rsidR="00E33E43" w:rsidRDefault="00E33E43">
      <w:pPr>
        <w:spacing w:after="0" w:line="240" w:lineRule="auto"/>
      </w:pPr>
      <w:r>
        <w:continuationSeparator/>
      </w:r>
    </w:p>
  </w:footnote>
  <w:footnote w:type="continuationNotice" w:id="1">
    <w:p w14:paraId="6879F55D" w14:textId="77777777" w:rsidR="00E33E43" w:rsidRDefault="00E33E4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903E0898"/>
    <w:lvl w:ilvl="0" w:tplc="268C37B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" w15:restartNumberingAfterBreak="0">
    <w:nsid w:val="00000002"/>
    <w:multiLevelType w:val="hybridMultilevel"/>
    <w:tmpl w:val="871E232E"/>
    <w:lvl w:ilvl="0" w:tplc="AEA0A880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DDEE8ED6"/>
    <w:lvl w:ilvl="0" w:tplc="AEA0A880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375452E"/>
    <w:multiLevelType w:val="hybridMultilevel"/>
    <w:tmpl w:val="87124C44"/>
    <w:lvl w:ilvl="0" w:tplc="58CCDC0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B9F"/>
    <w:rsid w:val="000375F6"/>
    <w:rsid w:val="00192B9F"/>
    <w:rsid w:val="00202106"/>
    <w:rsid w:val="00414760"/>
    <w:rsid w:val="004350C2"/>
    <w:rsid w:val="004451B0"/>
    <w:rsid w:val="00605AF4"/>
    <w:rsid w:val="006521FD"/>
    <w:rsid w:val="0068175C"/>
    <w:rsid w:val="00917840"/>
    <w:rsid w:val="009C3F04"/>
    <w:rsid w:val="00D665BE"/>
    <w:rsid w:val="00DA1676"/>
    <w:rsid w:val="00DE0EB2"/>
    <w:rsid w:val="00E32FB5"/>
    <w:rsid w:val="00E33E43"/>
    <w:rsid w:val="00FB6265"/>
    <w:rsid w:val="00FE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23582"/>
  <w15:docId w15:val="{393793E5-64C3-472A-8A40-388BE8B57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after="0" w:line="240" w:lineRule="auto"/>
      <w:jc w:val="center"/>
      <w:outlineLvl w:val="0"/>
    </w:pPr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="Calibri Light" w:eastAsia="SimSun" w:hAnsi="Calibri Light"/>
      <w:color w:val="1F376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link w:val="ListParagraphChar"/>
    <w:uiPriority w:val="99"/>
    <w:qFormat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SimSu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character" w:customStyle="1" w:styleId="ListParagraphChar">
    <w:name w:val="List Paragraph Char"/>
    <w:link w:val="ListParagraph"/>
    <w:qFormat/>
    <w:rPr>
      <w:rFonts w:ascii="Calibri" w:eastAsia="Calibri" w:hAnsi="Calibri" w:cs="SimSun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pPr>
      <w:spacing w:after="160"/>
    </w:pPr>
    <w:rPr>
      <w:rFonts w:ascii="Calibri" w:eastAsia="Calibri" w:hAnsi="Calibri" w:cs="SimSu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Calibri" w:eastAsia="Calibri" w:hAnsi="Calibri" w:cs="SimSu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character" w:customStyle="1" w:styleId="BodyText1">
    <w:name w:val="Body Text1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character" w:customStyle="1" w:styleId="fontstyle01">
    <w:name w:val="fontstyle01"/>
    <w:basedOn w:val="DefaultParagraphFont"/>
    <w:rPr>
      <w:rFonts w:ascii="Calibri" w:hAnsi="Calibri" w:cs="Calibri" w:hint="default"/>
      <w:b w:val="0"/>
      <w:bCs w:val="0"/>
      <w:i w:val="0"/>
      <w:iCs w:val="0"/>
      <w:color w:val="000000"/>
      <w:sz w:val="18"/>
      <w:szCs w:val="18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Calibri Light" w:eastAsia="SimSun" w:hAnsi="Calibri Light" w:cs="SimSun"/>
      <w:color w:val="1F3763"/>
      <w:sz w:val="24"/>
      <w:szCs w:val="24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r-only">
    <w:name w:val="sr-only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196</Nr_x002e__x0020_akti>
    <Data_x0020_e_x0020_Krijimit xmlns="0e656187-b300-4fb0-8bf4-3a50f872073c">2025-09-09T14:33:16Z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2025-09-09T00:00:00Z</Date_x0020_protokolli>
    <Titulli xmlns="0e656187-b300-4fb0-8bf4-3a50f872073c">Mbi disa ndryshime në vendimin e Bordit të ERE-s nr. 193, datë 18.09.2024 "Mbi licencimin e shoqërisë "HPG ENERGY" sh.p.k. në veprimtarinë e prodhimit të energjisë elektrike"</Titulli>
    <Modifikuesi xmlns="0e656187-b300-4fb0-8bf4-3a50f872073c">Fjora.Cahani</Modifikuesi>
    <Nr_x002e__x0020_prot_x0020_QBZ xmlns="0e656187-b300-4fb0-8bf4-3a50f872073c">1455/1</Nr_x002e__x0020_prot_x0020_QBZ>
    <Data_x0020_e_x0020_Modifikimit xmlns="0e656187-b300-4fb0-8bf4-3a50f872073c">2025-09-10T11:11:31Z</Data_x0020_e_x0020_Modifikimit>
    <Dekretuar xmlns="0e656187-b300-4fb0-8bf4-3a50f872073c">false</Dekretuar>
    <Data xmlns="0e656187-b300-4fb0-8bf4-3a50f872073c">2025-08-15T00:00:00Z</Data>
    <Nr_x002e__x0020_protokolli_x0020_i_x0020_aktit xmlns="0e656187-b300-4fb0-8bf4-3a50f872073c">2422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D8E7454B0D45FAB74E11778F7D6F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D8E7454B0D45FAB74E11778F7D6F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86BC3D4-14C7-4AFD-AE19-79B3BFDA52D3}">
  <ds:schemaRefs>
    <ds:schemaRef ds:uri="http://purl.org/dc/dcmitype/"/>
    <ds:schemaRef ds:uri="0e656187-b300-4fb0-8bf4-3a50f872073c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4D6C514-E9C5-4F0C-9422-F7DDEECDA4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69EE6F-6BC2-469C-8738-C997A86EA4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A31C663-F7B4-4F44-9596-513967A3F80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69C7B9F-7F51-42CC-BF91-816414FD39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1011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disa ndryshime në vendimin e Bordit të ERE-s nr. 193, datë 18.09.2024 "Mbi licencimin e shoqërisë "HPG ENERGY" sh.p.k. në veprimtarinë e prodhimit të energjisë elektrike"</vt:lpstr>
    </vt:vector>
  </TitlesOfParts>
  <Company/>
  <LinksUpToDate>false</LinksUpToDate>
  <CharactersWithSpaces>6767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disa ndryshime në vendimin e Bordit të ERE-s nr. 193, datë 18.09.2024 "Mbi licencimin e shoqërisë "HPG ENERGY" sh.p.k. në veprimtarinë e prodhimit të energjisë elektrike"</dc:title>
  <dc:creator>Rovalda Mema</dc:creator>
  <cp:lastModifiedBy>Valeta Kaftalli</cp:lastModifiedBy>
  <cp:revision>6</cp:revision>
  <cp:lastPrinted>2025-03-05T13:38:00Z</cp:lastPrinted>
  <dcterms:created xsi:type="dcterms:W3CDTF">2025-08-29T13:24:00Z</dcterms:created>
  <dcterms:modified xsi:type="dcterms:W3CDTF">2025-09-11T08:09:00Z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984c34e99ca04e778c3576bafb6f1afd</vt:lpwstr>
  </property>
</Properties>
</file>