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933DA31" w14:textId="77777777" w:rsidR="00FC7D5C" w:rsidRPr="00BD6C39" w:rsidRDefault="00FC7D5C" w:rsidP="0076583B">
      <w:pPr>
        <w:pStyle w:val="Heading2"/>
        <w:spacing w:before="0" w:after="0"/>
        <w:jc w:val="center"/>
        <w:rPr>
          <w:rFonts w:ascii="Garamond" w:hAnsi="Garamond"/>
          <w:i w:val="0"/>
          <w:iCs w:val="0"/>
          <w:sz w:val="24"/>
          <w:szCs w:val="24"/>
        </w:rPr>
      </w:pPr>
      <w:r w:rsidRPr="00BD6C39">
        <w:rPr>
          <w:rFonts w:ascii="Garamond" w:hAnsi="Garamond"/>
          <w:i w:val="0"/>
          <w:iCs w:val="0"/>
          <w:sz w:val="24"/>
          <w:szCs w:val="24"/>
        </w:rPr>
        <w:t>VENDIM</w:t>
      </w:r>
    </w:p>
    <w:p w14:paraId="154664EB" w14:textId="47F8285B" w:rsidR="00FC7D5C" w:rsidRPr="00BD6C39" w:rsidRDefault="00FC7D5C" w:rsidP="0076583B">
      <w:pPr>
        <w:pStyle w:val="Heading2"/>
        <w:spacing w:before="0" w:after="0"/>
        <w:jc w:val="center"/>
        <w:rPr>
          <w:rFonts w:ascii="Garamond" w:hAnsi="Garamond"/>
          <w:i w:val="0"/>
          <w:iCs w:val="0"/>
          <w:sz w:val="24"/>
          <w:szCs w:val="24"/>
        </w:rPr>
      </w:pPr>
      <w:r w:rsidRPr="00BD6C39">
        <w:rPr>
          <w:rFonts w:ascii="Garamond" w:hAnsi="Garamond"/>
          <w:i w:val="0"/>
          <w:iCs w:val="0"/>
          <w:sz w:val="24"/>
          <w:szCs w:val="24"/>
        </w:rPr>
        <w:t xml:space="preserve">Nr. 279, </w:t>
      </w:r>
      <w:r w:rsidR="0076583B" w:rsidRPr="00BD6C39">
        <w:rPr>
          <w:rFonts w:ascii="Garamond" w:hAnsi="Garamond"/>
          <w:i w:val="0"/>
          <w:iCs w:val="0"/>
          <w:sz w:val="24"/>
          <w:szCs w:val="24"/>
        </w:rPr>
        <w:t xml:space="preserve">datë </w:t>
      </w:r>
      <w:r w:rsidRPr="00BD6C39">
        <w:rPr>
          <w:rFonts w:ascii="Garamond" w:hAnsi="Garamond"/>
          <w:i w:val="0"/>
          <w:iCs w:val="0"/>
          <w:sz w:val="24"/>
          <w:szCs w:val="24"/>
        </w:rPr>
        <w:t>6.11.2025</w:t>
      </w:r>
    </w:p>
    <w:p w14:paraId="489A3A0D" w14:textId="77777777" w:rsidR="00FC7D5C" w:rsidRPr="00BD6C39" w:rsidRDefault="00FC7D5C" w:rsidP="0076583B">
      <w:pPr>
        <w:spacing w:after="0" w:line="240" w:lineRule="auto"/>
        <w:jc w:val="both"/>
        <w:rPr>
          <w:rFonts w:ascii="Garamond" w:hAnsi="Garamond"/>
          <w:sz w:val="24"/>
          <w:szCs w:val="24"/>
        </w:rPr>
      </w:pPr>
    </w:p>
    <w:p w14:paraId="46A2A140" w14:textId="77AC9231" w:rsidR="00FC7D5C" w:rsidRPr="00BD6C39" w:rsidRDefault="00FC7D5C" w:rsidP="0076583B">
      <w:pPr>
        <w:tabs>
          <w:tab w:val="center" w:pos="4800"/>
          <w:tab w:val="left" w:pos="5820"/>
        </w:tabs>
        <w:spacing w:after="0" w:line="240" w:lineRule="auto"/>
        <w:jc w:val="center"/>
        <w:rPr>
          <w:rFonts w:ascii="Garamond" w:hAnsi="Garamond"/>
          <w:i/>
          <w:iCs/>
          <w:sz w:val="24"/>
          <w:szCs w:val="24"/>
        </w:rPr>
      </w:pPr>
      <w:r w:rsidRPr="00BD6C39">
        <w:rPr>
          <w:rFonts w:ascii="Garamond" w:hAnsi="Garamond"/>
          <w:b/>
          <w:bCs/>
          <w:sz w:val="24"/>
          <w:szCs w:val="24"/>
        </w:rPr>
        <w:t>MBI</w:t>
      </w:r>
      <w:r w:rsidR="0076583B" w:rsidRPr="00BD6C39">
        <w:rPr>
          <w:rFonts w:ascii="Garamond" w:hAnsi="Garamond"/>
          <w:b/>
          <w:bCs/>
          <w:sz w:val="24"/>
          <w:szCs w:val="24"/>
        </w:rPr>
        <w:t xml:space="preserve"> </w:t>
      </w:r>
      <w:r w:rsidRPr="00BD6C39">
        <w:rPr>
          <w:rFonts w:ascii="Garamond" w:hAnsi="Garamond"/>
          <w:b/>
          <w:bCs/>
          <w:sz w:val="24"/>
          <w:szCs w:val="24"/>
        </w:rPr>
        <w:t>MIRATIMIN E METODOLOGJISË PËR VLERËSIMIN E GATISHMËRISË SË TREGUT SHQIPTAR TË ENERGJIS</w:t>
      </w:r>
      <w:r w:rsidR="00ED76AE" w:rsidRPr="00ED76AE">
        <w:rPr>
          <w:rFonts w:ascii="Garamond" w:hAnsi="Garamond"/>
          <w:b/>
          <w:bCs/>
          <w:sz w:val="24"/>
          <w:szCs w:val="24"/>
        </w:rPr>
        <w:t>Ë</w:t>
      </w:r>
      <w:r w:rsidRPr="00BD6C39">
        <w:rPr>
          <w:rFonts w:ascii="Garamond" w:hAnsi="Garamond"/>
          <w:b/>
          <w:bCs/>
          <w:sz w:val="24"/>
          <w:szCs w:val="24"/>
        </w:rPr>
        <w:t xml:space="preserve"> ELEKTRIKE </w:t>
      </w:r>
      <w:bookmarkStart w:id="0" w:name="_GoBack"/>
      <w:bookmarkEnd w:id="0"/>
      <w:r w:rsidRPr="00BD6C39">
        <w:rPr>
          <w:rFonts w:ascii="Garamond" w:hAnsi="Garamond"/>
          <w:b/>
          <w:bCs/>
          <w:sz w:val="24"/>
          <w:szCs w:val="24"/>
        </w:rPr>
        <w:t>TË DITËS NË AVANCË</w:t>
      </w:r>
      <w:r w:rsidRPr="00BD6C39">
        <w:rPr>
          <w:rFonts w:ascii="Garamond" w:hAnsi="Garamond"/>
          <w:i/>
          <w:iCs/>
          <w:sz w:val="24"/>
          <w:szCs w:val="24"/>
        </w:rPr>
        <w:t xml:space="preserve"> </w:t>
      </w:r>
    </w:p>
    <w:p w14:paraId="0DCA3635" w14:textId="77777777" w:rsidR="0076583B" w:rsidRPr="00BD6C39" w:rsidRDefault="0076583B" w:rsidP="0076583B">
      <w:pPr>
        <w:tabs>
          <w:tab w:val="center" w:pos="4800"/>
          <w:tab w:val="left" w:pos="5820"/>
        </w:tabs>
        <w:spacing w:after="0" w:line="240" w:lineRule="auto"/>
        <w:jc w:val="center"/>
        <w:rPr>
          <w:rFonts w:ascii="Garamond" w:hAnsi="Garamond"/>
          <w:b/>
          <w:bCs/>
          <w:sz w:val="24"/>
          <w:szCs w:val="24"/>
        </w:rPr>
      </w:pPr>
    </w:p>
    <w:p w14:paraId="6810F0DC" w14:textId="7AC1221D" w:rsidR="00FC7D5C" w:rsidRPr="00BD6C39" w:rsidRDefault="00FC7D5C" w:rsidP="003F2DEF">
      <w:pPr>
        <w:spacing w:after="0" w:line="240" w:lineRule="auto"/>
        <w:ind w:firstLine="288"/>
        <w:jc w:val="both"/>
        <w:rPr>
          <w:rFonts w:ascii="Garamond" w:hAnsi="Garamond"/>
          <w:sz w:val="24"/>
          <w:szCs w:val="24"/>
        </w:rPr>
      </w:pPr>
      <w:r w:rsidRPr="00BD6C39">
        <w:rPr>
          <w:rFonts w:ascii="Garamond" w:hAnsi="Garamond"/>
          <w:sz w:val="24"/>
          <w:szCs w:val="24"/>
        </w:rPr>
        <w:t>Në mbështetje të nenit 16</w:t>
      </w:r>
      <w:r w:rsidR="00BD6C39">
        <w:rPr>
          <w:rFonts w:ascii="Garamond" w:hAnsi="Garamond"/>
          <w:sz w:val="24"/>
          <w:szCs w:val="24"/>
        </w:rPr>
        <w:t>,</w:t>
      </w:r>
      <w:r w:rsidRPr="00BD6C39">
        <w:rPr>
          <w:rFonts w:ascii="Garamond" w:hAnsi="Garamond"/>
          <w:sz w:val="24"/>
          <w:szCs w:val="24"/>
        </w:rPr>
        <w:t xml:space="preserve"> të ligjit nr. 43/2015</w:t>
      </w:r>
      <w:r w:rsidR="00BD6C39">
        <w:rPr>
          <w:rFonts w:ascii="Garamond" w:hAnsi="Garamond"/>
          <w:sz w:val="24"/>
          <w:szCs w:val="24"/>
        </w:rPr>
        <w:t>,</w:t>
      </w:r>
      <w:r w:rsidRPr="00BD6C39">
        <w:rPr>
          <w:rFonts w:ascii="Garamond" w:hAnsi="Garamond"/>
          <w:sz w:val="24"/>
          <w:szCs w:val="24"/>
        </w:rPr>
        <w:t xml:space="preserve"> “</w:t>
      </w:r>
      <w:r w:rsidRPr="00BD6C39">
        <w:rPr>
          <w:rFonts w:ascii="Garamond" w:hAnsi="Garamond"/>
          <w:iCs/>
          <w:sz w:val="24"/>
          <w:szCs w:val="24"/>
        </w:rPr>
        <w:t>Për sektorin e energjisë elektrike</w:t>
      </w:r>
      <w:r w:rsidRPr="00BD6C39">
        <w:rPr>
          <w:rFonts w:ascii="Garamond" w:hAnsi="Garamond"/>
          <w:sz w:val="24"/>
          <w:szCs w:val="24"/>
        </w:rPr>
        <w:t xml:space="preserve">”, të ndryshuar; </w:t>
      </w:r>
      <w:r w:rsidR="00BD6C39" w:rsidRPr="00BD6C39">
        <w:rPr>
          <w:rFonts w:ascii="Garamond" w:hAnsi="Garamond"/>
          <w:sz w:val="24"/>
          <w:szCs w:val="24"/>
        </w:rPr>
        <w:t xml:space="preserve">të </w:t>
      </w:r>
      <w:r w:rsidRPr="00BD6C39">
        <w:rPr>
          <w:rFonts w:ascii="Garamond" w:hAnsi="Garamond"/>
          <w:sz w:val="24"/>
          <w:szCs w:val="24"/>
        </w:rPr>
        <w:t>nenit 30, pika 5, të ligjit nr. 24/2023, “</w:t>
      </w:r>
      <w:r w:rsidRPr="00BD6C39">
        <w:rPr>
          <w:rFonts w:ascii="Garamond" w:hAnsi="Garamond"/>
          <w:iCs/>
          <w:sz w:val="24"/>
          <w:szCs w:val="24"/>
        </w:rPr>
        <w:t>Për nxitjen e përdorimit të energjisë nga burimet e rinovueshme</w:t>
      </w:r>
      <w:r w:rsidRPr="00BD6C39">
        <w:rPr>
          <w:rFonts w:ascii="Garamond" w:hAnsi="Garamond"/>
          <w:sz w:val="24"/>
          <w:szCs w:val="24"/>
        </w:rPr>
        <w:t>”; si dhe</w:t>
      </w:r>
      <w:r w:rsidR="00BD6C39" w:rsidRPr="00BD6C39">
        <w:rPr>
          <w:rFonts w:ascii="Garamond" w:hAnsi="Garamond"/>
          <w:sz w:val="24"/>
          <w:szCs w:val="24"/>
        </w:rPr>
        <w:t xml:space="preserve"> të</w:t>
      </w:r>
      <w:r w:rsidRPr="00BD6C39">
        <w:rPr>
          <w:rFonts w:ascii="Garamond" w:hAnsi="Garamond"/>
          <w:sz w:val="24"/>
          <w:szCs w:val="24"/>
        </w:rPr>
        <w:t xml:space="preserve"> neneve 15 dhe 26</w:t>
      </w:r>
      <w:r w:rsidR="00BD6C39">
        <w:rPr>
          <w:rFonts w:ascii="Garamond" w:hAnsi="Garamond"/>
          <w:sz w:val="24"/>
          <w:szCs w:val="24"/>
        </w:rPr>
        <w:t>,</w:t>
      </w:r>
      <w:r w:rsidRPr="00BD6C39">
        <w:rPr>
          <w:rFonts w:ascii="Garamond" w:hAnsi="Garamond"/>
          <w:sz w:val="24"/>
          <w:szCs w:val="24"/>
        </w:rPr>
        <w:t xml:space="preserve"> të </w:t>
      </w:r>
      <w:r w:rsidR="00BD6C39">
        <w:rPr>
          <w:rFonts w:ascii="Garamond" w:hAnsi="Garamond"/>
          <w:sz w:val="24"/>
          <w:szCs w:val="24"/>
        </w:rPr>
        <w:t>“</w:t>
      </w:r>
      <w:r w:rsidRPr="00BD6C39">
        <w:rPr>
          <w:rFonts w:ascii="Garamond" w:hAnsi="Garamond"/>
          <w:iCs/>
          <w:sz w:val="24"/>
          <w:szCs w:val="24"/>
        </w:rPr>
        <w:t>Rregullores për organizimin, funksionimin dhe procedurat e ERE-s</w:t>
      </w:r>
      <w:r w:rsidR="00BD6C39">
        <w:rPr>
          <w:rFonts w:ascii="Garamond" w:hAnsi="Garamond"/>
          <w:iCs/>
          <w:sz w:val="24"/>
          <w:szCs w:val="24"/>
        </w:rPr>
        <w:t>”</w:t>
      </w:r>
      <w:r w:rsidRPr="00BD6C39">
        <w:rPr>
          <w:rFonts w:ascii="Garamond" w:hAnsi="Garamond"/>
          <w:sz w:val="24"/>
          <w:szCs w:val="24"/>
        </w:rPr>
        <w:t xml:space="preserve">, miratuar me vendimin e </w:t>
      </w:r>
      <w:r w:rsidR="00BD6C39" w:rsidRPr="00BD6C39">
        <w:rPr>
          <w:rFonts w:ascii="Garamond" w:hAnsi="Garamond"/>
          <w:sz w:val="24"/>
          <w:szCs w:val="24"/>
        </w:rPr>
        <w:t xml:space="preserve">Bordit </w:t>
      </w:r>
      <w:r w:rsidRPr="00BD6C39">
        <w:rPr>
          <w:rFonts w:ascii="Garamond" w:hAnsi="Garamond"/>
          <w:sz w:val="24"/>
          <w:szCs w:val="24"/>
        </w:rPr>
        <w:t>të Entit Rregullator të En</w:t>
      </w:r>
      <w:r w:rsidR="00BD6C39">
        <w:rPr>
          <w:rFonts w:ascii="Garamond" w:hAnsi="Garamond"/>
          <w:sz w:val="24"/>
          <w:szCs w:val="24"/>
        </w:rPr>
        <w:t>ergjisë (ERE) nr. 96, datë 17.</w:t>
      </w:r>
      <w:r w:rsidRPr="00BD6C39">
        <w:rPr>
          <w:rFonts w:ascii="Garamond" w:hAnsi="Garamond"/>
          <w:sz w:val="24"/>
          <w:szCs w:val="24"/>
        </w:rPr>
        <w:t>6.2016; Bordi i ERE-</w:t>
      </w:r>
      <w:r w:rsidR="00BD6C39">
        <w:rPr>
          <w:rFonts w:ascii="Garamond" w:hAnsi="Garamond"/>
          <w:sz w:val="24"/>
          <w:szCs w:val="24"/>
        </w:rPr>
        <w:t xml:space="preserve">s, në mbledhjen e tij të datës </w:t>
      </w:r>
      <w:r w:rsidRPr="00BD6C39">
        <w:rPr>
          <w:rFonts w:ascii="Garamond" w:hAnsi="Garamond"/>
          <w:sz w:val="24"/>
          <w:szCs w:val="24"/>
        </w:rPr>
        <w:t>6.11.2025, mbasi shqyrtoi rela</w:t>
      </w:r>
      <w:r w:rsidR="00BD6C39">
        <w:rPr>
          <w:rFonts w:ascii="Garamond" w:hAnsi="Garamond"/>
          <w:sz w:val="24"/>
          <w:szCs w:val="24"/>
        </w:rPr>
        <w:t xml:space="preserve">cionin me nr. 2777 prot., datë </w:t>
      </w:r>
      <w:r w:rsidRPr="00BD6C39">
        <w:rPr>
          <w:rFonts w:ascii="Garamond" w:hAnsi="Garamond"/>
          <w:sz w:val="24"/>
          <w:szCs w:val="24"/>
        </w:rPr>
        <w:t>4.11.2025, të Drejtorisë së Politikave të Burimeve të Rinovueshme dhe Drejtorisë së Tarifave dhe Çmimeve, “</w:t>
      </w:r>
      <w:r w:rsidRPr="00BD6C39">
        <w:rPr>
          <w:rFonts w:ascii="Garamond" w:hAnsi="Garamond"/>
          <w:iCs/>
          <w:sz w:val="24"/>
          <w:szCs w:val="24"/>
        </w:rPr>
        <w:t xml:space="preserve">Mbi miratimin e </w:t>
      </w:r>
      <w:r w:rsidR="00BD6C39" w:rsidRPr="00BD6C39">
        <w:rPr>
          <w:rFonts w:ascii="Garamond" w:hAnsi="Garamond"/>
          <w:iCs/>
          <w:sz w:val="24"/>
          <w:szCs w:val="24"/>
        </w:rPr>
        <w:t xml:space="preserve">metodologjisë </w:t>
      </w:r>
      <w:r w:rsidRPr="00BD6C39">
        <w:rPr>
          <w:rFonts w:ascii="Garamond" w:hAnsi="Garamond"/>
          <w:iCs/>
          <w:sz w:val="24"/>
          <w:szCs w:val="24"/>
        </w:rPr>
        <w:t>për vlerësimin e gatishmërisë së tregut shqiptar të energjisë së ditës në avancë.</w:t>
      </w:r>
      <w:r w:rsidRPr="00BD6C39">
        <w:rPr>
          <w:rFonts w:ascii="Garamond" w:hAnsi="Garamond"/>
          <w:sz w:val="24"/>
          <w:szCs w:val="24"/>
        </w:rPr>
        <w:t>”,</w:t>
      </w:r>
    </w:p>
    <w:p w14:paraId="113CC5E4" w14:textId="76A2E1E4" w:rsidR="00FC7D5C" w:rsidRPr="00BD6C39" w:rsidRDefault="00BD6C39" w:rsidP="003F2DEF">
      <w:pPr>
        <w:spacing w:after="0" w:line="240" w:lineRule="auto"/>
        <w:ind w:firstLine="288"/>
        <w:jc w:val="both"/>
        <w:rPr>
          <w:rFonts w:ascii="Garamond" w:hAnsi="Garamond"/>
          <w:bCs/>
          <w:sz w:val="24"/>
          <w:szCs w:val="24"/>
        </w:rPr>
      </w:pPr>
      <w:r w:rsidRPr="00BD6C39">
        <w:rPr>
          <w:rFonts w:ascii="Garamond" w:hAnsi="Garamond"/>
          <w:bCs/>
          <w:sz w:val="24"/>
          <w:szCs w:val="24"/>
        </w:rPr>
        <w:t xml:space="preserve">konstatoi </w:t>
      </w:r>
      <w:r w:rsidR="00FC7D5C" w:rsidRPr="00BD6C39">
        <w:rPr>
          <w:rFonts w:ascii="Garamond" w:hAnsi="Garamond"/>
          <w:bCs/>
          <w:sz w:val="24"/>
          <w:szCs w:val="24"/>
        </w:rPr>
        <w:t xml:space="preserve">se: </w:t>
      </w:r>
    </w:p>
    <w:p w14:paraId="5196D0DE" w14:textId="77777777" w:rsidR="00FC7D5C" w:rsidRPr="00BD6C39" w:rsidRDefault="00FC7D5C" w:rsidP="003F2DEF">
      <w:pPr>
        <w:spacing w:after="0" w:line="240" w:lineRule="auto"/>
        <w:ind w:firstLine="288"/>
        <w:jc w:val="both"/>
        <w:rPr>
          <w:rFonts w:ascii="Garamond" w:hAnsi="Garamond"/>
          <w:bCs/>
          <w:sz w:val="24"/>
          <w:szCs w:val="24"/>
        </w:rPr>
      </w:pPr>
      <w:r w:rsidRPr="00BD6C39">
        <w:rPr>
          <w:rFonts w:ascii="Garamond" w:hAnsi="Garamond"/>
          <w:bCs/>
          <w:sz w:val="24"/>
          <w:szCs w:val="24"/>
        </w:rPr>
        <w:t>1. Fillimi i procedurës për miratimin e metodologjisë</w:t>
      </w:r>
    </w:p>
    <w:p w14:paraId="21D7C39F" w14:textId="3CE656DE" w:rsidR="00FC7D5C" w:rsidRPr="00BD6C39" w:rsidRDefault="00FC7D5C" w:rsidP="003F2DEF">
      <w:pPr>
        <w:spacing w:after="0" w:line="240" w:lineRule="auto"/>
        <w:ind w:firstLine="288"/>
        <w:jc w:val="both"/>
        <w:rPr>
          <w:rFonts w:ascii="Garamond" w:hAnsi="Garamond"/>
          <w:sz w:val="24"/>
          <w:szCs w:val="24"/>
        </w:rPr>
      </w:pPr>
      <w:r w:rsidRPr="00BD6C39">
        <w:rPr>
          <w:rFonts w:ascii="Garamond" w:hAnsi="Garamond"/>
          <w:sz w:val="24"/>
          <w:szCs w:val="24"/>
        </w:rPr>
        <w:t>-</w:t>
      </w:r>
      <w:r w:rsidR="0076583B" w:rsidRPr="00BD6C39">
        <w:rPr>
          <w:rFonts w:ascii="Garamond" w:hAnsi="Garamond"/>
          <w:sz w:val="24"/>
          <w:szCs w:val="24"/>
        </w:rPr>
        <w:t xml:space="preserve"> </w:t>
      </w:r>
      <w:r w:rsidRPr="00BD6C39">
        <w:rPr>
          <w:rFonts w:ascii="Garamond" w:hAnsi="Garamond"/>
          <w:sz w:val="24"/>
          <w:szCs w:val="24"/>
        </w:rPr>
        <w:t>Bordi i ER</w:t>
      </w:r>
      <w:r w:rsidR="00BD6C39">
        <w:rPr>
          <w:rFonts w:ascii="Garamond" w:hAnsi="Garamond"/>
          <w:sz w:val="24"/>
          <w:szCs w:val="24"/>
        </w:rPr>
        <w:t xml:space="preserve">E-s, me vendimin nr. 256, datë </w:t>
      </w:r>
      <w:r w:rsidRPr="00BD6C39">
        <w:rPr>
          <w:rFonts w:ascii="Garamond" w:hAnsi="Garamond"/>
          <w:sz w:val="24"/>
          <w:szCs w:val="24"/>
        </w:rPr>
        <w:t>2.12.2024, vendosi fillimin e procedurës për miratimin e “Metodologjisë për vlerësimin e gatishmërisë së tregut shqiptar të energjisë së ditës në avancë (DAM)”, në funksion të konvertimit të marrëveshjeve për blerjen e energjisë (MBE) në kontrata për diferencë (KpD), sipas ligjit nr. 24/2023.</w:t>
      </w:r>
    </w:p>
    <w:p w14:paraId="3DD27B30" w14:textId="77777777" w:rsidR="00FC7D5C" w:rsidRPr="00BD6C39" w:rsidRDefault="00FC7D5C" w:rsidP="003F2DEF">
      <w:pPr>
        <w:spacing w:after="0" w:line="240" w:lineRule="auto"/>
        <w:ind w:firstLine="288"/>
        <w:jc w:val="both"/>
        <w:rPr>
          <w:rFonts w:ascii="Garamond" w:hAnsi="Garamond"/>
          <w:bCs/>
          <w:sz w:val="24"/>
          <w:szCs w:val="24"/>
        </w:rPr>
      </w:pPr>
      <w:r w:rsidRPr="00BD6C39">
        <w:rPr>
          <w:rFonts w:ascii="Garamond" w:hAnsi="Garamond"/>
          <w:bCs/>
          <w:sz w:val="24"/>
          <w:szCs w:val="24"/>
        </w:rPr>
        <w:t>2. Konsultimi publik dhe njoftimi i palëve</w:t>
      </w:r>
    </w:p>
    <w:p w14:paraId="4ECCA54C" w14:textId="54A41C69" w:rsidR="00FC7D5C" w:rsidRPr="00BD6C39" w:rsidRDefault="00FC7D5C" w:rsidP="003F2DEF">
      <w:pPr>
        <w:spacing w:after="0" w:line="240" w:lineRule="auto"/>
        <w:ind w:firstLine="288"/>
        <w:jc w:val="both"/>
        <w:rPr>
          <w:rFonts w:ascii="Garamond" w:hAnsi="Garamond"/>
          <w:b/>
          <w:bCs/>
          <w:sz w:val="24"/>
          <w:szCs w:val="24"/>
        </w:rPr>
      </w:pPr>
      <w:r w:rsidRPr="00BD6C39">
        <w:rPr>
          <w:rFonts w:ascii="Garamond" w:hAnsi="Garamond"/>
          <w:sz w:val="24"/>
          <w:szCs w:val="24"/>
        </w:rPr>
        <w:t>-</w:t>
      </w:r>
      <w:r w:rsidR="0076583B" w:rsidRPr="00BD6C39">
        <w:rPr>
          <w:rFonts w:ascii="Garamond" w:hAnsi="Garamond"/>
          <w:sz w:val="24"/>
          <w:szCs w:val="24"/>
        </w:rPr>
        <w:t xml:space="preserve"> </w:t>
      </w:r>
      <w:r w:rsidR="00BD6C39">
        <w:rPr>
          <w:rFonts w:ascii="Garamond" w:hAnsi="Garamond"/>
          <w:sz w:val="24"/>
          <w:szCs w:val="24"/>
        </w:rPr>
        <w:t xml:space="preserve">Draftmetodologjia, më datë </w:t>
      </w:r>
      <w:r w:rsidRPr="00BD6C39">
        <w:rPr>
          <w:rFonts w:ascii="Garamond" w:hAnsi="Garamond"/>
          <w:sz w:val="24"/>
          <w:szCs w:val="24"/>
        </w:rPr>
        <w:t>3.12.2024</w:t>
      </w:r>
      <w:r w:rsidR="00BD6C39">
        <w:rPr>
          <w:rFonts w:ascii="Garamond" w:hAnsi="Garamond"/>
          <w:sz w:val="24"/>
          <w:szCs w:val="24"/>
        </w:rPr>
        <w:t>,</w:t>
      </w:r>
      <w:r w:rsidRPr="00BD6C39">
        <w:rPr>
          <w:rFonts w:ascii="Garamond" w:hAnsi="Garamond"/>
          <w:sz w:val="24"/>
          <w:szCs w:val="24"/>
        </w:rPr>
        <w:t xml:space="preserve"> është publikuar në faqen zyrtare të ERE-s, në seksionin “Konsultime”, me qëllim mbledhjen e komenteve nga palët e interesit.</w:t>
      </w:r>
    </w:p>
    <w:p w14:paraId="1BEE2BAE" w14:textId="731C8179" w:rsidR="00FC7D5C" w:rsidRPr="00BD6C39" w:rsidRDefault="00FC7D5C" w:rsidP="003F2DEF">
      <w:pPr>
        <w:spacing w:after="0" w:line="240" w:lineRule="auto"/>
        <w:ind w:firstLine="288"/>
        <w:jc w:val="both"/>
        <w:rPr>
          <w:rFonts w:ascii="Garamond" w:hAnsi="Garamond"/>
          <w:b/>
          <w:bCs/>
          <w:sz w:val="24"/>
          <w:szCs w:val="24"/>
        </w:rPr>
      </w:pPr>
      <w:r w:rsidRPr="00BD6C39">
        <w:rPr>
          <w:rFonts w:ascii="Garamond" w:hAnsi="Garamond"/>
          <w:sz w:val="24"/>
          <w:szCs w:val="24"/>
        </w:rPr>
        <w:t>-</w:t>
      </w:r>
      <w:r w:rsidR="0076583B" w:rsidRPr="00BD6C39">
        <w:rPr>
          <w:rFonts w:ascii="Garamond" w:hAnsi="Garamond"/>
          <w:sz w:val="24"/>
          <w:szCs w:val="24"/>
        </w:rPr>
        <w:t xml:space="preserve"> </w:t>
      </w:r>
      <w:r w:rsidRPr="00BD6C39">
        <w:rPr>
          <w:rFonts w:ascii="Garamond" w:hAnsi="Garamond"/>
          <w:sz w:val="24"/>
          <w:szCs w:val="24"/>
        </w:rPr>
        <w:t xml:space="preserve">Me shkresën nr. 2473/1 prot., datë 11.12.2024, janë njoftuar: Ministria e Infrastrukturës dhe Energjisë (MIE), Bursa shqiptare e Energjisë Elektrike </w:t>
      </w:r>
      <w:r w:rsidR="00BD6C39">
        <w:rPr>
          <w:rFonts w:ascii="Garamond" w:hAnsi="Garamond"/>
          <w:sz w:val="24"/>
          <w:szCs w:val="24"/>
        </w:rPr>
        <w:t>“</w:t>
      </w:r>
      <w:r w:rsidRPr="00BD6C39">
        <w:rPr>
          <w:rFonts w:ascii="Garamond" w:hAnsi="Garamond"/>
          <w:sz w:val="24"/>
          <w:szCs w:val="24"/>
        </w:rPr>
        <w:t>ALPEX</w:t>
      </w:r>
      <w:r w:rsidR="00BD6C39">
        <w:rPr>
          <w:rFonts w:ascii="Garamond" w:hAnsi="Garamond"/>
          <w:sz w:val="24"/>
          <w:szCs w:val="24"/>
        </w:rPr>
        <w:t>”</w:t>
      </w:r>
      <w:r w:rsidRPr="00BD6C39">
        <w:rPr>
          <w:rFonts w:ascii="Garamond" w:hAnsi="Garamond"/>
          <w:sz w:val="24"/>
          <w:szCs w:val="24"/>
        </w:rPr>
        <w:t xml:space="preserve"> sh.a., Shoqata Shqiptare e Energjisë së Rinovueshme (AREA), Shoqata Shqiptare e Furnizuesve të Energjisë Elektrike (AAES), Furnizuesi i Tregut të Lirë (FTL) sh.a., si dhe palë të tjera të interesuara, </w:t>
      </w:r>
      <w:r w:rsidR="00BD6C39">
        <w:rPr>
          <w:rFonts w:ascii="Garamond" w:hAnsi="Garamond"/>
          <w:sz w:val="24"/>
          <w:szCs w:val="24"/>
        </w:rPr>
        <w:t>në lidhje me publikimin e draft</w:t>
      </w:r>
      <w:r w:rsidRPr="00BD6C39">
        <w:rPr>
          <w:rFonts w:ascii="Garamond" w:hAnsi="Garamond"/>
          <w:sz w:val="24"/>
          <w:szCs w:val="24"/>
        </w:rPr>
        <w:t>metodologjisë në faqen zyrtare të ERE-s për konsultim publik dhe me qëllim mbledhjen e komenteve dhe sugjerimeve të tyre</w:t>
      </w:r>
      <w:r w:rsidR="00BD6C39">
        <w:rPr>
          <w:rFonts w:ascii="Garamond" w:hAnsi="Garamond"/>
          <w:sz w:val="24"/>
          <w:szCs w:val="24"/>
        </w:rPr>
        <w:t>,</w:t>
      </w:r>
      <w:r w:rsidRPr="00BD6C39">
        <w:rPr>
          <w:rFonts w:ascii="Garamond" w:hAnsi="Garamond"/>
          <w:sz w:val="24"/>
          <w:szCs w:val="24"/>
        </w:rPr>
        <w:t xml:space="preserve"> në kuadër të procesit të miratimit të dokumentit.</w:t>
      </w:r>
    </w:p>
    <w:p w14:paraId="1B0E683D" w14:textId="40C1B192" w:rsidR="00FC7D5C" w:rsidRPr="00BD6C39" w:rsidRDefault="00FC7D5C" w:rsidP="003F2DEF">
      <w:pPr>
        <w:spacing w:after="0" w:line="240" w:lineRule="auto"/>
        <w:ind w:firstLine="288"/>
        <w:jc w:val="both"/>
        <w:rPr>
          <w:rFonts w:ascii="Garamond" w:hAnsi="Garamond"/>
          <w:sz w:val="24"/>
          <w:szCs w:val="24"/>
        </w:rPr>
      </w:pPr>
      <w:r w:rsidRPr="00BD6C39">
        <w:rPr>
          <w:rFonts w:ascii="Garamond" w:hAnsi="Garamond"/>
          <w:sz w:val="24"/>
          <w:szCs w:val="24"/>
        </w:rPr>
        <w:t>-</w:t>
      </w:r>
      <w:r w:rsidR="0076583B" w:rsidRPr="00BD6C39">
        <w:rPr>
          <w:rFonts w:ascii="Garamond" w:hAnsi="Garamond"/>
          <w:sz w:val="24"/>
          <w:szCs w:val="24"/>
        </w:rPr>
        <w:t xml:space="preserve"> </w:t>
      </w:r>
      <w:r w:rsidR="00BD6C39">
        <w:rPr>
          <w:rFonts w:ascii="Garamond" w:hAnsi="Garamond"/>
          <w:sz w:val="24"/>
          <w:szCs w:val="24"/>
        </w:rPr>
        <w:t xml:space="preserve">Drafti i është përcjellë me </w:t>
      </w:r>
      <w:r w:rsidR="00BD6C39" w:rsidRPr="00BD6C39">
        <w:rPr>
          <w:rFonts w:ascii="Garamond" w:hAnsi="Garamond"/>
          <w:i/>
          <w:sz w:val="24"/>
          <w:szCs w:val="24"/>
        </w:rPr>
        <w:t>e</w:t>
      </w:r>
      <w:r w:rsidRPr="00BD6C39">
        <w:rPr>
          <w:rFonts w:ascii="Garamond" w:hAnsi="Garamond"/>
          <w:i/>
          <w:sz w:val="24"/>
          <w:szCs w:val="24"/>
        </w:rPr>
        <w:t>mail</w:t>
      </w:r>
      <w:r w:rsidRPr="00BD6C39">
        <w:rPr>
          <w:rFonts w:ascii="Garamond" w:hAnsi="Garamond"/>
          <w:sz w:val="24"/>
          <w:szCs w:val="24"/>
        </w:rPr>
        <w:t xml:space="preserve"> edhe Sekretariatit të Komunitetit të Energjisë për komente, në kuadër të përfshirjes së tij si palë e interesuar në procesin e konsultimit ndërinstitucional.</w:t>
      </w:r>
    </w:p>
    <w:p w14:paraId="28DF6458" w14:textId="77777777" w:rsidR="00FC7D5C" w:rsidRPr="00BD6C39" w:rsidRDefault="00FC7D5C" w:rsidP="003F2DEF">
      <w:pPr>
        <w:spacing w:after="0" w:line="240" w:lineRule="auto"/>
        <w:ind w:firstLine="288"/>
        <w:jc w:val="both"/>
        <w:rPr>
          <w:rFonts w:ascii="Garamond" w:hAnsi="Garamond"/>
          <w:bCs/>
          <w:sz w:val="24"/>
          <w:szCs w:val="24"/>
        </w:rPr>
      </w:pPr>
      <w:r w:rsidRPr="00BD6C39">
        <w:rPr>
          <w:rFonts w:ascii="Garamond" w:hAnsi="Garamond"/>
          <w:bCs/>
          <w:sz w:val="24"/>
          <w:szCs w:val="24"/>
        </w:rPr>
        <w:t>3. Seanca dëgjimore</w:t>
      </w:r>
    </w:p>
    <w:p w14:paraId="1D195EEF" w14:textId="77CD91B8" w:rsidR="00FC7D5C" w:rsidRPr="00BD6C39" w:rsidRDefault="00FC7D5C" w:rsidP="003F2DEF">
      <w:pPr>
        <w:spacing w:after="0" w:line="240" w:lineRule="auto"/>
        <w:ind w:firstLine="288"/>
        <w:jc w:val="both"/>
        <w:rPr>
          <w:rFonts w:ascii="Garamond" w:hAnsi="Garamond"/>
          <w:b/>
          <w:bCs/>
          <w:sz w:val="24"/>
          <w:szCs w:val="24"/>
        </w:rPr>
      </w:pPr>
      <w:r w:rsidRPr="00BD6C39">
        <w:rPr>
          <w:rFonts w:ascii="Garamond" w:hAnsi="Garamond"/>
          <w:sz w:val="24"/>
          <w:szCs w:val="24"/>
        </w:rPr>
        <w:t>-</w:t>
      </w:r>
      <w:r w:rsidR="0076583B" w:rsidRPr="00BD6C39">
        <w:rPr>
          <w:rFonts w:ascii="Garamond" w:hAnsi="Garamond"/>
          <w:sz w:val="24"/>
          <w:szCs w:val="24"/>
        </w:rPr>
        <w:t xml:space="preserve"> </w:t>
      </w:r>
      <w:r w:rsidRPr="00BD6C39">
        <w:rPr>
          <w:rFonts w:ascii="Garamond" w:hAnsi="Garamond"/>
          <w:sz w:val="24"/>
          <w:szCs w:val="24"/>
        </w:rPr>
        <w:t xml:space="preserve">Në zbatim të urdhrit të </w:t>
      </w:r>
      <w:r w:rsidR="00BD6C39" w:rsidRPr="00BD6C39">
        <w:rPr>
          <w:rFonts w:ascii="Garamond" w:hAnsi="Garamond"/>
          <w:sz w:val="24"/>
          <w:szCs w:val="24"/>
        </w:rPr>
        <w:t xml:space="preserve">kryetarit </w:t>
      </w:r>
      <w:r w:rsidR="00BD6C39">
        <w:rPr>
          <w:rFonts w:ascii="Garamond" w:hAnsi="Garamond"/>
          <w:sz w:val="24"/>
          <w:szCs w:val="24"/>
        </w:rPr>
        <w:t>të ERE-s nr. 96, datë 26.6.2025, më datë 3.</w:t>
      </w:r>
      <w:r w:rsidRPr="00BD6C39">
        <w:rPr>
          <w:rFonts w:ascii="Garamond" w:hAnsi="Garamond"/>
          <w:sz w:val="24"/>
          <w:szCs w:val="24"/>
        </w:rPr>
        <w:t>7.2025</w:t>
      </w:r>
      <w:r w:rsidR="00BD6C39">
        <w:rPr>
          <w:rFonts w:ascii="Garamond" w:hAnsi="Garamond"/>
          <w:sz w:val="24"/>
          <w:szCs w:val="24"/>
        </w:rPr>
        <w:t>,</w:t>
      </w:r>
      <w:r w:rsidRPr="00BD6C39">
        <w:rPr>
          <w:rFonts w:ascii="Garamond" w:hAnsi="Garamond"/>
          <w:sz w:val="24"/>
          <w:szCs w:val="24"/>
        </w:rPr>
        <w:t xml:space="preserve"> u zhvillua një seancë dëgjimore me pjesëmarrjen e përfaqësuesve të </w:t>
      </w:r>
      <w:r w:rsidR="00BD6C39">
        <w:rPr>
          <w:rFonts w:ascii="Garamond" w:hAnsi="Garamond"/>
          <w:sz w:val="24"/>
          <w:szCs w:val="24"/>
        </w:rPr>
        <w:t>“</w:t>
      </w:r>
      <w:r w:rsidRPr="00BD6C39">
        <w:rPr>
          <w:rFonts w:ascii="Garamond" w:hAnsi="Garamond"/>
          <w:sz w:val="24"/>
          <w:szCs w:val="24"/>
        </w:rPr>
        <w:t>ALPEX</w:t>
      </w:r>
      <w:r w:rsidR="00BD6C39">
        <w:rPr>
          <w:rFonts w:ascii="Garamond" w:hAnsi="Garamond"/>
          <w:sz w:val="24"/>
          <w:szCs w:val="24"/>
        </w:rPr>
        <w:t>”</w:t>
      </w:r>
      <w:r w:rsidRPr="00BD6C39">
        <w:rPr>
          <w:rFonts w:ascii="Garamond" w:hAnsi="Garamond"/>
          <w:sz w:val="24"/>
          <w:szCs w:val="24"/>
        </w:rPr>
        <w:t xml:space="preserve"> sh.a., </w:t>
      </w:r>
      <w:r w:rsidR="00BD6C39">
        <w:rPr>
          <w:rFonts w:ascii="Garamond" w:hAnsi="Garamond"/>
          <w:sz w:val="24"/>
          <w:szCs w:val="24"/>
        </w:rPr>
        <w:t>“</w:t>
      </w:r>
      <w:r w:rsidRPr="00BD6C39">
        <w:rPr>
          <w:rFonts w:ascii="Garamond" w:hAnsi="Garamond"/>
          <w:sz w:val="24"/>
          <w:szCs w:val="24"/>
        </w:rPr>
        <w:t>FTL</w:t>
      </w:r>
      <w:r w:rsidR="00BD6C39">
        <w:rPr>
          <w:rFonts w:ascii="Garamond" w:hAnsi="Garamond"/>
          <w:sz w:val="24"/>
          <w:szCs w:val="24"/>
        </w:rPr>
        <w:t>”</w:t>
      </w:r>
      <w:r w:rsidRPr="00BD6C39">
        <w:rPr>
          <w:rFonts w:ascii="Garamond" w:hAnsi="Garamond"/>
          <w:sz w:val="24"/>
          <w:szCs w:val="24"/>
        </w:rPr>
        <w:t xml:space="preserve"> sh.a., </w:t>
      </w:r>
      <w:r w:rsidR="00BD6C39">
        <w:rPr>
          <w:rFonts w:ascii="Garamond" w:hAnsi="Garamond"/>
          <w:sz w:val="24"/>
          <w:szCs w:val="24"/>
        </w:rPr>
        <w:t>“</w:t>
      </w:r>
      <w:r w:rsidRPr="00BD6C39">
        <w:rPr>
          <w:rFonts w:ascii="Garamond" w:hAnsi="Garamond"/>
          <w:sz w:val="24"/>
          <w:szCs w:val="24"/>
        </w:rPr>
        <w:t>AAES</w:t>
      </w:r>
      <w:r w:rsidR="00BD6C39">
        <w:rPr>
          <w:rFonts w:ascii="Garamond" w:hAnsi="Garamond"/>
          <w:sz w:val="24"/>
          <w:szCs w:val="24"/>
        </w:rPr>
        <w:t>”</w:t>
      </w:r>
      <w:r w:rsidRPr="00BD6C39">
        <w:rPr>
          <w:rFonts w:ascii="Garamond" w:hAnsi="Garamond"/>
          <w:sz w:val="24"/>
          <w:szCs w:val="24"/>
        </w:rPr>
        <w:t xml:space="preserve"> dhe </w:t>
      </w:r>
      <w:r w:rsidR="00BD6C39" w:rsidRPr="00BD6C39">
        <w:rPr>
          <w:rFonts w:ascii="Garamond" w:hAnsi="Garamond"/>
          <w:sz w:val="24"/>
          <w:szCs w:val="24"/>
        </w:rPr>
        <w:t>drejtorive t</w:t>
      </w:r>
      <w:r w:rsidRPr="00BD6C39">
        <w:rPr>
          <w:rFonts w:ascii="Garamond" w:hAnsi="Garamond"/>
          <w:sz w:val="24"/>
          <w:szCs w:val="24"/>
        </w:rPr>
        <w:t>eknike të ERE-s (palë të tjera të ftuara që nuk u paraqitën: MIE dhe AREA).</w:t>
      </w:r>
    </w:p>
    <w:p w14:paraId="715BBDEE" w14:textId="09134465" w:rsidR="00FC7D5C" w:rsidRPr="00BD6C39" w:rsidRDefault="00FC7D5C" w:rsidP="003F2DEF">
      <w:pPr>
        <w:spacing w:after="0" w:line="240" w:lineRule="auto"/>
        <w:ind w:firstLine="288"/>
        <w:jc w:val="both"/>
        <w:rPr>
          <w:rFonts w:ascii="Garamond" w:hAnsi="Garamond"/>
          <w:sz w:val="24"/>
          <w:szCs w:val="24"/>
        </w:rPr>
      </w:pPr>
      <w:r w:rsidRPr="00BD6C39">
        <w:rPr>
          <w:rFonts w:ascii="Garamond" w:hAnsi="Garamond"/>
          <w:sz w:val="24"/>
          <w:szCs w:val="24"/>
        </w:rPr>
        <w:t>-</w:t>
      </w:r>
      <w:r w:rsidR="0076583B" w:rsidRPr="00BD6C39">
        <w:rPr>
          <w:rFonts w:ascii="Garamond" w:hAnsi="Garamond"/>
          <w:sz w:val="24"/>
          <w:szCs w:val="24"/>
        </w:rPr>
        <w:t xml:space="preserve"> </w:t>
      </w:r>
      <w:r w:rsidRPr="00BD6C39">
        <w:rPr>
          <w:rFonts w:ascii="Garamond" w:hAnsi="Garamond"/>
          <w:sz w:val="24"/>
          <w:szCs w:val="24"/>
        </w:rPr>
        <w:t xml:space="preserve">Gjatë seancës u diskutuan dy propozime të paraqitura nga </w:t>
      </w:r>
      <w:r w:rsidR="00BD6C39">
        <w:rPr>
          <w:rFonts w:ascii="Garamond" w:hAnsi="Garamond"/>
          <w:sz w:val="24"/>
          <w:szCs w:val="24"/>
        </w:rPr>
        <w:t>“</w:t>
      </w:r>
      <w:r w:rsidRPr="00BD6C39">
        <w:rPr>
          <w:rFonts w:ascii="Garamond" w:hAnsi="Garamond"/>
          <w:sz w:val="24"/>
          <w:szCs w:val="24"/>
        </w:rPr>
        <w:t>ALPEX</w:t>
      </w:r>
      <w:r w:rsidR="00BD6C39">
        <w:rPr>
          <w:rFonts w:ascii="Garamond" w:hAnsi="Garamond"/>
          <w:sz w:val="24"/>
          <w:szCs w:val="24"/>
        </w:rPr>
        <w:t>” sh.a. lidhur me draft</w:t>
      </w:r>
      <w:r w:rsidRPr="00BD6C39">
        <w:rPr>
          <w:rFonts w:ascii="Garamond" w:hAnsi="Garamond"/>
          <w:sz w:val="24"/>
          <w:szCs w:val="24"/>
        </w:rPr>
        <w:t>metodologjinë:</w:t>
      </w:r>
    </w:p>
    <w:p w14:paraId="67923BC2" w14:textId="2D2E2F70" w:rsidR="00FC7D5C" w:rsidRPr="00BD6C39" w:rsidRDefault="00FC7D5C" w:rsidP="003F2DEF">
      <w:pPr>
        <w:spacing w:after="0" w:line="240" w:lineRule="auto"/>
        <w:ind w:firstLine="288"/>
        <w:jc w:val="both"/>
        <w:rPr>
          <w:rFonts w:ascii="Garamond" w:hAnsi="Garamond"/>
          <w:sz w:val="24"/>
          <w:szCs w:val="24"/>
        </w:rPr>
      </w:pPr>
      <w:r w:rsidRPr="00BD6C39">
        <w:rPr>
          <w:rFonts w:ascii="Garamond" w:hAnsi="Garamond"/>
          <w:sz w:val="24"/>
          <w:szCs w:val="24"/>
        </w:rPr>
        <w:t>-</w:t>
      </w:r>
      <w:r w:rsidR="0076583B" w:rsidRPr="00BD6C39">
        <w:rPr>
          <w:rFonts w:ascii="Garamond" w:hAnsi="Garamond"/>
          <w:sz w:val="24"/>
          <w:szCs w:val="24"/>
        </w:rPr>
        <w:t xml:space="preserve"> </w:t>
      </w:r>
      <w:r w:rsidRPr="00BD6C39">
        <w:rPr>
          <w:rFonts w:ascii="Garamond" w:hAnsi="Garamond"/>
          <w:sz w:val="24"/>
          <w:szCs w:val="24"/>
        </w:rPr>
        <w:t>ALPEX</w:t>
      </w:r>
      <w:r w:rsidR="00BD6C39">
        <w:rPr>
          <w:rFonts w:ascii="Garamond" w:hAnsi="Garamond"/>
          <w:sz w:val="24"/>
          <w:szCs w:val="24"/>
        </w:rPr>
        <w:t>-i</w:t>
      </w:r>
      <w:r w:rsidRPr="00BD6C39">
        <w:rPr>
          <w:rFonts w:ascii="Garamond" w:hAnsi="Garamond"/>
          <w:sz w:val="24"/>
          <w:szCs w:val="24"/>
        </w:rPr>
        <w:t xml:space="preserve"> kërkoi të qartësohej nëse raporti 6-mujor mbi gatishmërinë do të hartohet vazhdimisht, apo vetëm gjatë periudhës kur tregu vlerësohet jo i gatshëm nga ERE. U sqarua nga ERE se raportimi 6-mujor zbatohet vetëm në periudhën kur vlerësimi rezulton negativ dhe ky sqarim do të reflektohet në dokument.</w:t>
      </w:r>
    </w:p>
    <w:p w14:paraId="700B7BAF" w14:textId="6928509F" w:rsidR="00FC7D5C" w:rsidRPr="00BD6C39" w:rsidRDefault="00FC7D5C" w:rsidP="003F2DEF">
      <w:pPr>
        <w:spacing w:after="0" w:line="240" w:lineRule="auto"/>
        <w:ind w:firstLine="288"/>
        <w:jc w:val="both"/>
        <w:rPr>
          <w:rFonts w:ascii="Garamond" w:hAnsi="Garamond"/>
          <w:sz w:val="24"/>
          <w:szCs w:val="24"/>
        </w:rPr>
      </w:pPr>
      <w:r w:rsidRPr="00BD6C39">
        <w:rPr>
          <w:rFonts w:ascii="Garamond" w:hAnsi="Garamond"/>
          <w:sz w:val="24"/>
          <w:szCs w:val="24"/>
        </w:rPr>
        <w:t>-</w:t>
      </w:r>
      <w:r w:rsidR="0076583B" w:rsidRPr="00BD6C39">
        <w:rPr>
          <w:rFonts w:ascii="Garamond" w:hAnsi="Garamond"/>
          <w:sz w:val="24"/>
          <w:szCs w:val="24"/>
        </w:rPr>
        <w:t xml:space="preserve"> </w:t>
      </w:r>
      <w:r w:rsidRPr="00BD6C39">
        <w:rPr>
          <w:rFonts w:ascii="Garamond" w:hAnsi="Garamond"/>
          <w:sz w:val="24"/>
          <w:szCs w:val="24"/>
        </w:rPr>
        <w:t>ALPEX</w:t>
      </w:r>
      <w:r w:rsidR="00BD6C39">
        <w:rPr>
          <w:rFonts w:ascii="Garamond" w:hAnsi="Garamond"/>
          <w:sz w:val="24"/>
          <w:szCs w:val="24"/>
        </w:rPr>
        <w:t>-i</w:t>
      </w:r>
      <w:r w:rsidRPr="00BD6C39">
        <w:rPr>
          <w:rFonts w:ascii="Garamond" w:hAnsi="Garamond"/>
          <w:sz w:val="24"/>
          <w:szCs w:val="24"/>
        </w:rPr>
        <w:t xml:space="preserve"> propozoi që emërues në formulë të merret vetëm konsumi i tregut të liberalizuar, duke përjashtuar klientët në tension të ulët që furnizohen nga Furnizuesi i Shërbimit Universal. Pas shqyrtimit me konsulentin, u vlerësua se ky propozim nuk mund të pranohej, pasi përllogaritja e faktorit të qarkullimit duhet të bëhet sipas metodologjisë së ACER</w:t>
      </w:r>
      <w:r w:rsidR="00BD6C39">
        <w:rPr>
          <w:rFonts w:ascii="Garamond" w:hAnsi="Garamond"/>
          <w:sz w:val="24"/>
          <w:szCs w:val="24"/>
        </w:rPr>
        <w:t>-it</w:t>
      </w:r>
      <w:r w:rsidRPr="00BD6C39">
        <w:rPr>
          <w:rFonts w:ascii="Garamond" w:hAnsi="Garamond"/>
          <w:sz w:val="24"/>
          <w:szCs w:val="24"/>
        </w:rPr>
        <w:t>, e përdorur nga të gjitha vendet anëtare të BE-së, për të siguruar krahasueshmëri ndërkombëtare. U theksua se analiza e likuiditetit të tregut DAM bazohet në një qasje holistike të treguesve dhe nuk mbështetet vetëm në një parametër të vetëm për përcaktimin e gatishmërisë për CfD.</w:t>
      </w:r>
    </w:p>
    <w:p w14:paraId="0394CC3C" w14:textId="77777777" w:rsidR="00FC7D5C" w:rsidRPr="00BD6C39" w:rsidRDefault="00FC7D5C" w:rsidP="003F2DEF">
      <w:pPr>
        <w:spacing w:after="0" w:line="240" w:lineRule="auto"/>
        <w:ind w:firstLine="288"/>
        <w:jc w:val="both"/>
        <w:rPr>
          <w:rFonts w:ascii="Garamond" w:hAnsi="Garamond"/>
          <w:sz w:val="24"/>
          <w:szCs w:val="24"/>
        </w:rPr>
      </w:pPr>
    </w:p>
    <w:p w14:paraId="7E6BBD62" w14:textId="6DEE6ED6" w:rsidR="00FC7D5C" w:rsidRPr="00BD6C39" w:rsidRDefault="00FC7D5C" w:rsidP="003F2DEF">
      <w:pPr>
        <w:spacing w:after="0" w:line="240" w:lineRule="auto"/>
        <w:ind w:firstLine="288"/>
        <w:jc w:val="both"/>
        <w:rPr>
          <w:rFonts w:ascii="Garamond" w:hAnsi="Garamond"/>
          <w:sz w:val="24"/>
          <w:szCs w:val="24"/>
        </w:rPr>
      </w:pPr>
      <w:r w:rsidRPr="00BD6C39">
        <w:rPr>
          <w:rFonts w:ascii="Garamond" w:hAnsi="Garamond"/>
          <w:bCs/>
          <w:sz w:val="24"/>
          <w:szCs w:val="24"/>
        </w:rPr>
        <w:t>4.</w:t>
      </w:r>
      <w:r w:rsidR="0076583B" w:rsidRPr="00BD6C39">
        <w:rPr>
          <w:rFonts w:ascii="Garamond" w:hAnsi="Garamond"/>
          <w:bCs/>
          <w:sz w:val="24"/>
          <w:szCs w:val="24"/>
        </w:rPr>
        <w:t xml:space="preserve"> </w:t>
      </w:r>
      <w:r w:rsidRPr="00BD6C39">
        <w:rPr>
          <w:rFonts w:ascii="Garamond" w:hAnsi="Garamond"/>
          <w:bCs/>
          <w:sz w:val="24"/>
          <w:szCs w:val="24"/>
        </w:rPr>
        <w:t>Rekomandime/komente të Sekretariatit të Komunitetit të Energjisë dhe sqarimet e konsulentit</w:t>
      </w:r>
    </w:p>
    <w:p w14:paraId="064D6386" w14:textId="158CB58F" w:rsidR="00FC7D5C" w:rsidRPr="00BD6C39" w:rsidRDefault="00FC7D5C" w:rsidP="003F2DEF">
      <w:pPr>
        <w:spacing w:after="0" w:line="240" w:lineRule="auto"/>
        <w:ind w:firstLine="288"/>
        <w:jc w:val="both"/>
        <w:rPr>
          <w:rFonts w:ascii="Garamond" w:hAnsi="Garamond"/>
          <w:sz w:val="24"/>
          <w:szCs w:val="24"/>
        </w:rPr>
      </w:pPr>
      <w:r w:rsidRPr="00BD6C39">
        <w:rPr>
          <w:rFonts w:ascii="Garamond" w:hAnsi="Garamond"/>
          <w:sz w:val="24"/>
          <w:szCs w:val="24"/>
        </w:rPr>
        <w:t>-</w:t>
      </w:r>
      <w:r w:rsidR="0076583B" w:rsidRPr="00BD6C39">
        <w:rPr>
          <w:rFonts w:ascii="Garamond" w:hAnsi="Garamond"/>
          <w:sz w:val="24"/>
          <w:szCs w:val="24"/>
        </w:rPr>
        <w:t xml:space="preserve"> </w:t>
      </w:r>
      <w:r w:rsidRPr="00BD6C39">
        <w:rPr>
          <w:rFonts w:ascii="Garamond" w:hAnsi="Garamond"/>
          <w:sz w:val="24"/>
          <w:szCs w:val="24"/>
        </w:rPr>
        <w:t>Sekretariati i Kom</w:t>
      </w:r>
      <w:r w:rsidR="00BD6C39">
        <w:rPr>
          <w:rFonts w:ascii="Garamond" w:hAnsi="Garamond"/>
          <w:sz w:val="24"/>
          <w:szCs w:val="24"/>
        </w:rPr>
        <w:t xml:space="preserve">unitetit të Energjisë, përmes </w:t>
      </w:r>
      <w:r w:rsidR="00BD6C39" w:rsidRPr="00BD6C39">
        <w:rPr>
          <w:rFonts w:ascii="Garamond" w:hAnsi="Garamond"/>
          <w:i/>
          <w:sz w:val="24"/>
          <w:szCs w:val="24"/>
        </w:rPr>
        <w:t>e</w:t>
      </w:r>
      <w:r w:rsidRPr="00BD6C39">
        <w:rPr>
          <w:rFonts w:ascii="Garamond" w:hAnsi="Garamond"/>
          <w:i/>
          <w:sz w:val="24"/>
          <w:szCs w:val="24"/>
        </w:rPr>
        <w:t>mail</w:t>
      </w:r>
      <w:r w:rsidR="00BD6C39">
        <w:rPr>
          <w:rFonts w:ascii="Garamond" w:hAnsi="Garamond"/>
          <w:sz w:val="24"/>
          <w:szCs w:val="24"/>
        </w:rPr>
        <w:t>-</w:t>
      </w:r>
      <w:r w:rsidRPr="00BD6C39">
        <w:rPr>
          <w:rFonts w:ascii="Garamond" w:hAnsi="Garamond"/>
          <w:sz w:val="24"/>
          <w:szCs w:val="24"/>
        </w:rPr>
        <w:t>it të datë</w:t>
      </w:r>
      <w:r w:rsidR="00BD6C39">
        <w:rPr>
          <w:rFonts w:ascii="Garamond" w:hAnsi="Garamond"/>
          <w:sz w:val="24"/>
          <w:szCs w:val="24"/>
        </w:rPr>
        <w:t>s 22.10.2025, vlerësoi se draft</w:t>
      </w:r>
      <w:r w:rsidRPr="00BD6C39">
        <w:rPr>
          <w:rFonts w:ascii="Garamond" w:hAnsi="Garamond"/>
          <w:sz w:val="24"/>
          <w:szCs w:val="24"/>
        </w:rPr>
        <w:t>metodologjia i referohej nenit 30, pika 5</w:t>
      </w:r>
      <w:r w:rsidR="00BD6C39">
        <w:rPr>
          <w:rFonts w:ascii="Garamond" w:hAnsi="Garamond"/>
          <w:sz w:val="24"/>
          <w:szCs w:val="24"/>
        </w:rPr>
        <w:t>,</w:t>
      </w:r>
      <w:r w:rsidRPr="00BD6C39">
        <w:rPr>
          <w:rFonts w:ascii="Garamond" w:hAnsi="Garamond"/>
          <w:sz w:val="24"/>
          <w:szCs w:val="24"/>
        </w:rPr>
        <w:t xml:space="preserve"> të ligjit nr. 24/2023, ndërkohë që referenca më e saktë ishte pika 4 e të njëjtit nen, pasi ajo lidhet drejtpërdrejt me burimet alternative të tregut. Zyra e konsulencës ka pranuar këtë koment dhe ka reflektuar</w:t>
      </w:r>
      <w:r w:rsidR="00BD6C39">
        <w:rPr>
          <w:rFonts w:ascii="Garamond" w:hAnsi="Garamond"/>
          <w:sz w:val="24"/>
          <w:szCs w:val="24"/>
        </w:rPr>
        <w:t xml:space="preserve"> riformulimin përkatës në draft</w:t>
      </w:r>
      <w:r w:rsidRPr="00BD6C39">
        <w:rPr>
          <w:rFonts w:ascii="Garamond" w:hAnsi="Garamond"/>
          <w:sz w:val="24"/>
          <w:szCs w:val="24"/>
        </w:rPr>
        <w:t>metodologji.</w:t>
      </w:r>
    </w:p>
    <w:p w14:paraId="61EFB62A" w14:textId="495AD99C" w:rsidR="00FC7D5C" w:rsidRPr="00BD6C39" w:rsidRDefault="00FC7D5C" w:rsidP="003F2DEF">
      <w:pPr>
        <w:spacing w:after="0" w:line="240" w:lineRule="auto"/>
        <w:ind w:firstLine="288"/>
        <w:jc w:val="both"/>
        <w:rPr>
          <w:rFonts w:ascii="Garamond" w:hAnsi="Garamond"/>
          <w:sz w:val="24"/>
          <w:szCs w:val="24"/>
        </w:rPr>
      </w:pPr>
      <w:r w:rsidRPr="00BD6C39">
        <w:rPr>
          <w:rFonts w:ascii="Garamond" w:hAnsi="Garamond"/>
          <w:sz w:val="24"/>
          <w:szCs w:val="24"/>
        </w:rPr>
        <w:t>-</w:t>
      </w:r>
      <w:r w:rsidR="0076583B" w:rsidRPr="00BD6C39">
        <w:rPr>
          <w:rFonts w:ascii="Garamond" w:hAnsi="Garamond"/>
          <w:sz w:val="24"/>
          <w:szCs w:val="24"/>
        </w:rPr>
        <w:t xml:space="preserve"> </w:t>
      </w:r>
      <w:r w:rsidRPr="00BD6C39">
        <w:rPr>
          <w:rFonts w:ascii="Garamond" w:hAnsi="Garamond"/>
          <w:sz w:val="24"/>
          <w:szCs w:val="24"/>
        </w:rPr>
        <w:t>Sekretariati evidentoi se metodologjia nuk kishte përfshirë në mënyrë të plotë kriteret dhe treguesit mbi integritetin dhe transparencën. Në vijim, konsulenti propoz</w:t>
      </w:r>
      <w:r w:rsidR="00BD6C39">
        <w:rPr>
          <w:rFonts w:ascii="Garamond" w:hAnsi="Garamond"/>
          <w:sz w:val="24"/>
          <w:szCs w:val="24"/>
        </w:rPr>
        <w:t>oi zgjerimin e nenit 5 të draft</w:t>
      </w:r>
      <w:r w:rsidRPr="00BD6C39">
        <w:rPr>
          <w:rFonts w:ascii="Garamond" w:hAnsi="Garamond"/>
          <w:sz w:val="24"/>
          <w:szCs w:val="24"/>
        </w:rPr>
        <w:t xml:space="preserve">metodologjisë, duke shtuar një pikë të re (pika 4), sipas së cilës ERE do të vlerësojë aplikimin dhe zbatueshmërinë e rregullave për integritetin dhe transparencën në tregun shqiptar të ditës në avancë, duke u mbështetur në </w:t>
      </w:r>
      <w:r w:rsidR="00BD6C39">
        <w:rPr>
          <w:rFonts w:ascii="Garamond" w:hAnsi="Garamond"/>
          <w:sz w:val="24"/>
          <w:szCs w:val="24"/>
        </w:rPr>
        <w:t>r</w:t>
      </w:r>
      <w:r w:rsidRPr="00BD6C39">
        <w:rPr>
          <w:rFonts w:ascii="Garamond" w:hAnsi="Garamond"/>
          <w:sz w:val="24"/>
          <w:szCs w:val="24"/>
        </w:rPr>
        <w:t>regulloren REMIT dhe kuadrin rregullator të Komunitetit të Energjisë. Ky vlerësim do të përfshijë elemente si: regjistrimi dhe sjellja e pjesëmarrësve të tregut sipas kërkesave të ALPEX</w:t>
      </w:r>
      <w:r w:rsidR="00BD6C39">
        <w:rPr>
          <w:rFonts w:ascii="Garamond" w:hAnsi="Garamond"/>
          <w:sz w:val="24"/>
          <w:szCs w:val="24"/>
        </w:rPr>
        <w:t>-it</w:t>
      </w:r>
      <w:r w:rsidRPr="00BD6C39">
        <w:rPr>
          <w:rFonts w:ascii="Garamond" w:hAnsi="Garamond"/>
          <w:sz w:val="24"/>
          <w:szCs w:val="24"/>
        </w:rPr>
        <w:t xml:space="preserve"> dhe REMIT; publikimi i të dhënave të tregut dhe njoftimeve urgjente, si dhe aplikimi i praktikave </w:t>
      </w:r>
      <w:r w:rsidR="00BD6C39">
        <w:rPr>
          <w:rFonts w:ascii="Garamond" w:hAnsi="Garamond"/>
          <w:sz w:val="24"/>
          <w:szCs w:val="24"/>
        </w:rPr>
        <w:t>më të mira të transparencës pas</w:t>
      </w:r>
      <w:r w:rsidRPr="00BD6C39">
        <w:rPr>
          <w:rFonts w:ascii="Garamond" w:hAnsi="Garamond"/>
          <w:sz w:val="24"/>
          <w:szCs w:val="24"/>
        </w:rPr>
        <w:t>tregtimit; administrimi dhe pavarësia e ALPEX</w:t>
      </w:r>
      <w:r w:rsidR="00BD6C39">
        <w:rPr>
          <w:rFonts w:ascii="Garamond" w:hAnsi="Garamond"/>
          <w:sz w:val="24"/>
          <w:szCs w:val="24"/>
        </w:rPr>
        <w:t>-it</w:t>
      </w:r>
      <w:r w:rsidRPr="00BD6C39">
        <w:rPr>
          <w:rFonts w:ascii="Garamond" w:hAnsi="Garamond"/>
          <w:sz w:val="24"/>
          <w:szCs w:val="24"/>
        </w:rPr>
        <w:t>, duke përfshirë vlerësimin e procedurave të transparencës dhe detyrimeve për raportim; monitorimi dhe parandalimi i manipulimeve të tregut dhe tregtimit me informacion të brendshëm, përfshirë mekanizmat efektivë të hetimit dhe penalizimit.</w:t>
      </w:r>
    </w:p>
    <w:p w14:paraId="442C42B9" w14:textId="6C71721B" w:rsidR="00FC7D5C" w:rsidRPr="00BD6C39" w:rsidRDefault="00FC7D5C" w:rsidP="003F2DEF">
      <w:pPr>
        <w:spacing w:after="0" w:line="240" w:lineRule="auto"/>
        <w:ind w:firstLine="288"/>
        <w:jc w:val="both"/>
        <w:rPr>
          <w:rFonts w:ascii="Garamond" w:hAnsi="Garamond"/>
          <w:sz w:val="24"/>
          <w:szCs w:val="24"/>
        </w:rPr>
      </w:pPr>
      <w:r w:rsidRPr="00BD6C39">
        <w:rPr>
          <w:rFonts w:ascii="Garamond" w:hAnsi="Garamond"/>
          <w:sz w:val="24"/>
          <w:szCs w:val="24"/>
        </w:rPr>
        <w:t>-</w:t>
      </w:r>
      <w:r w:rsidR="0076583B" w:rsidRPr="00BD6C39">
        <w:rPr>
          <w:rFonts w:ascii="Garamond" w:hAnsi="Garamond"/>
          <w:sz w:val="24"/>
          <w:szCs w:val="24"/>
        </w:rPr>
        <w:t xml:space="preserve"> </w:t>
      </w:r>
      <w:r w:rsidRPr="00BD6C39">
        <w:rPr>
          <w:rFonts w:ascii="Garamond" w:hAnsi="Garamond"/>
          <w:sz w:val="24"/>
          <w:szCs w:val="24"/>
        </w:rPr>
        <w:t xml:space="preserve">Në nenin 5, pika 1, </w:t>
      </w:r>
      <w:r w:rsidR="00BD6C39" w:rsidRPr="00BD6C39">
        <w:rPr>
          <w:rFonts w:ascii="Garamond" w:hAnsi="Garamond"/>
          <w:sz w:val="24"/>
          <w:szCs w:val="24"/>
        </w:rPr>
        <w:t>germa</w:t>
      </w:r>
      <w:r w:rsidRPr="00BD6C39">
        <w:rPr>
          <w:rFonts w:ascii="Garamond" w:hAnsi="Garamond"/>
          <w:sz w:val="24"/>
          <w:szCs w:val="24"/>
        </w:rPr>
        <w:t xml:space="preserve"> </w:t>
      </w:r>
      <w:r w:rsidR="00BD6C39">
        <w:rPr>
          <w:rFonts w:ascii="Garamond" w:hAnsi="Garamond"/>
          <w:sz w:val="24"/>
          <w:szCs w:val="24"/>
        </w:rPr>
        <w:t>“</w:t>
      </w:r>
      <w:r w:rsidRPr="00BD6C39">
        <w:rPr>
          <w:rFonts w:ascii="Garamond" w:hAnsi="Garamond"/>
          <w:sz w:val="24"/>
          <w:szCs w:val="24"/>
        </w:rPr>
        <w:t>b</w:t>
      </w:r>
      <w:r w:rsidR="00BD6C39">
        <w:rPr>
          <w:rFonts w:ascii="Garamond" w:hAnsi="Garamond"/>
          <w:sz w:val="24"/>
          <w:szCs w:val="24"/>
        </w:rPr>
        <w:t>”, draft</w:t>
      </w:r>
      <w:r w:rsidRPr="00BD6C39">
        <w:rPr>
          <w:rFonts w:ascii="Garamond" w:hAnsi="Garamond"/>
          <w:sz w:val="24"/>
          <w:szCs w:val="24"/>
        </w:rPr>
        <w:t>metodologjia theksonte se faktori i qarkullimit është zakonisht më i vogël se 1. Sekretariati vlerësoi se kjo shprehje nuk është e nevojshme, pasi koeficienti mund të jetë teorikisht edhe më i lartë se 1, dhe propozoi heqjen e saj. Konsulenti dhe ERE e pranuan këtë koment dhe e reflektuan duke fshirë frazën përkatëse.</w:t>
      </w:r>
    </w:p>
    <w:p w14:paraId="71088866" w14:textId="4EF78065" w:rsidR="00FC7D5C" w:rsidRPr="00BD6C39" w:rsidRDefault="00FC7D5C" w:rsidP="003F2DEF">
      <w:pPr>
        <w:spacing w:after="0" w:line="240" w:lineRule="auto"/>
        <w:ind w:firstLine="288"/>
        <w:jc w:val="both"/>
        <w:rPr>
          <w:rFonts w:ascii="Garamond" w:hAnsi="Garamond"/>
          <w:sz w:val="24"/>
          <w:szCs w:val="24"/>
        </w:rPr>
      </w:pPr>
      <w:r w:rsidRPr="00BD6C39">
        <w:rPr>
          <w:rFonts w:ascii="Garamond" w:hAnsi="Garamond"/>
          <w:sz w:val="24"/>
          <w:szCs w:val="24"/>
        </w:rPr>
        <w:t>-</w:t>
      </w:r>
      <w:r w:rsidR="0076583B" w:rsidRPr="00BD6C39">
        <w:rPr>
          <w:rFonts w:ascii="Garamond" w:hAnsi="Garamond"/>
          <w:sz w:val="24"/>
          <w:szCs w:val="24"/>
        </w:rPr>
        <w:t xml:space="preserve"> </w:t>
      </w:r>
      <w:r w:rsidRPr="00BD6C39">
        <w:rPr>
          <w:rFonts w:ascii="Garamond" w:hAnsi="Garamond"/>
          <w:sz w:val="24"/>
          <w:szCs w:val="24"/>
        </w:rPr>
        <w:t>Sekretariati sugjeroi që përdorimi i treguesit të diferencës ofertë-kërkesë mund të mos jetë i përshtatshëm në një treg të bazuar mbi ankande si DAM, pasi ky tregues përdoret kryesisht në tregjet me tregtim të vazhdueshëm dhe mund të mos ofrojë matje reale të likuiditetit. Konsulenti sqaroi se ky tregues, edhe pse me kufizime, mbetet i rëndësishëm për vlerësimin gjithëpërfshirës të gatishmërisë, sidomos në procesin e kalimit nga marrëveshjet për blerjen e energjisë (MBE) në kontrata për diferencë (KpD). Ai do të përdoret nga ERE në rastet kur të dhënat janë të disponueshme, duke shoqëruar rezultatet me analiza cilësore mbi kufizimet. E njëjta logjikë aplikohet edhe për treguesin e “thellësisë së tregut”.</w:t>
      </w:r>
    </w:p>
    <w:p w14:paraId="6F659F0C" w14:textId="05D35E31" w:rsidR="00FC7D5C" w:rsidRPr="00BD6C39" w:rsidRDefault="00FC7D5C" w:rsidP="003F2DEF">
      <w:pPr>
        <w:spacing w:after="0" w:line="240" w:lineRule="auto"/>
        <w:ind w:firstLine="288"/>
        <w:jc w:val="both"/>
        <w:rPr>
          <w:rFonts w:ascii="Garamond" w:hAnsi="Garamond"/>
          <w:sz w:val="24"/>
          <w:szCs w:val="24"/>
        </w:rPr>
      </w:pPr>
      <w:r w:rsidRPr="00BD6C39">
        <w:rPr>
          <w:rFonts w:ascii="Garamond" w:hAnsi="Garamond"/>
          <w:sz w:val="24"/>
          <w:szCs w:val="24"/>
        </w:rPr>
        <w:t>-</w:t>
      </w:r>
      <w:r w:rsidR="0076583B" w:rsidRPr="00BD6C39">
        <w:rPr>
          <w:rFonts w:ascii="Garamond" w:hAnsi="Garamond"/>
          <w:sz w:val="24"/>
          <w:szCs w:val="24"/>
        </w:rPr>
        <w:t xml:space="preserve"> </w:t>
      </w:r>
      <w:r w:rsidRPr="00BD6C39">
        <w:rPr>
          <w:rFonts w:ascii="Garamond" w:hAnsi="Garamond"/>
          <w:sz w:val="24"/>
          <w:szCs w:val="24"/>
        </w:rPr>
        <w:t xml:space="preserve">Në nenin 6, pika 2, </w:t>
      </w:r>
      <w:r w:rsidR="00BD6C39" w:rsidRPr="00BD6C39">
        <w:rPr>
          <w:rFonts w:ascii="Garamond" w:hAnsi="Garamond"/>
          <w:sz w:val="24"/>
          <w:szCs w:val="24"/>
        </w:rPr>
        <w:t>germa</w:t>
      </w:r>
      <w:r w:rsidRPr="00BD6C39">
        <w:rPr>
          <w:rFonts w:ascii="Garamond" w:hAnsi="Garamond"/>
          <w:sz w:val="24"/>
          <w:szCs w:val="24"/>
        </w:rPr>
        <w:t xml:space="preserve"> </w:t>
      </w:r>
      <w:r w:rsidR="00BD6C39">
        <w:rPr>
          <w:rFonts w:ascii="Garamond" w:hAnsi="Garamond"/>
          <w:sz w:val="24"/>
          <w:szCs w:val="24"/>
        </w:rPr>
        <w:t>“</w:t>
      </w:r>
      <w:r w:rsidRPr="00BD6C39">
        <w:rPr>
          <w:rFonts w:ascii="Garamond" w:hAnsi="Garamond"/>
          <w:sz w:val="24"/>
          <w:szCs w:val="24"/>
        </w:rPr>
        <w:t>a</w:t>
      </w:r>
      <w:r w:rsidR="00BD6C39">
        <w:rPr>
          <w:rFonts w:ascii="Garamond" w:hAnsi="Garamond"/>
          <w:sz w:val="24"/>
          <w:szCs w:val="24"/>
        </w:rPr>
        <w:t>”</w:t>
      </w:r>
      <w:r w:rsidRPr="00BD6C39">
        <w:rPr>
          <w:rFonts w:ascii="Garamond" w:hAnsi="Garamond"/>
          <w:sz w:val="24"/>
          <w:szCs w:val="24"/>
        </w:rPr>
        <w:t>, Sekretariati kërkoi sqarime për aplikimin e treguesit mbi disponueshmërinë e çmimeve DAM. Konsulenti konfirmoi se ky tregues zbatohet për çdo periudhë shlyerjeje, në përputhje me nenin 30, pika 4</w:t>
      </w:r>
      <w:r w:rsidR="00BD6C39">
        <w:rPr>
          <w:rFonts w:ascii="Garamond" w:hAnsi="Garamond"/>
          <w:sz w:val="24"/>
          <w:szCs w:val="24"/>
        </w:rPr>
        <w:t>,</w:t>
      </w:r>
      <w:r w:rsidRPr="00BD6C39">
        <w:rPr>
          <w:rFonts w:ascii="Garamond" w:hAnsi="Garamond"/>
          <w:sz w:val="24"/>
          <w:szCs w:val="24"/>
        </w:rPr>
        <w:t xml:space="preserve"> të ligjit nr. 24/2023.</w:t>
      </w:r>
    </w:p>
    <w:p w14:paraId="28938214" w14:textId="745595F2" w:rsidR="00FC7D5C" w:rsidRPr="00BD6C39" w:rsidRDefault="00FC7D5C" w:rsidP="003F2DEF">
      <w:pPr>
        <w:spacing w:after="0" w:line="240" w:lineRule="auto"/>
        <w:ind w:firstLine="288"/>
        <w:jc w:val="both"/>
        <w:rPr>
          <w:rFonts w:ascii="Garamond" w:hAnsi="Garamond"/>
          <w:sz w:val="24"/>
          <w:szCs w:val="24"/>
        </w:rPr>
      </w:pPr>
      <w:r w:rsidRPr="00BD6C39">
        <w:rPr>
          <w:rFonts w:ascii="Garamond" w:hAnsi="Garamond"/>
          <w:sz w:val="24"/>
          <w:szCs w:val="24"/>
        </w:rPr>
        <w:t>-</w:t>
      </w:r>
      <w:r w:rsidR="0076583B" w:rsidRPr="00BD6C39">
        <w:rPr>
          <w:rFonts w:ascii="Garamond" w:hAnsi="Garamond"/>
          <w:sz w:val="24"/>
          <w:szCs w:val="24"/>
        </w:rPr>
        <w:t xml:space="preserve"> </w:t>
      </w:r>
      <w:r w:rsidRPr="00BD6C39">
        <w:rPr>
          <w:rFonts w:ascii="Garamond" w:hAnsi="Garamond"/>
          <w:sz w:val="24"/>
          <w:szCs w:val="24"/>
        </w:rPr>
        <w:t xml:space="preserve">Në nenin 6, pika 2, </w:t>
      </w:r>
      <w:r w:rsidR="00BD6C39" w:rsidRPr="00BD6C39">
        <w:rPr>
          <w:rFonts w:ascii="Garamond" w:hAnsi="Garamond"/>
          <w:sz w:val="24"/>
          <w:szCs w:val="24"/>
        </w:rPr>
        <w:t>germa</w:t>
      </w:r>
      <w:r w:rsidRPr="00BD6C39">
        <w:rPr>
          <w:rFonts w:ascii="Garamond" w:hAnsi="Garamond"/>
          <w:sz w:val="24"/>
          <w:szCs w:val="24"/>
        </w:rPr>
        <w:t xml:space="preserve"> </w:t>
      </w:r>
      <w:r w:rsidR="00BD6C39">
        <w:rPr>
          <w:rFonts w:ascii="Garamond" w:hAnsi="Garamond"/>
          <w:sz w:val="24"/>
          <w:szCs w:val="24"/>
        </w:rPr>
        <w:t>“</w:t>
      </w:r>
      <w:r w:rsidRPr="00BD6C39">
        <w:rPr>
          <w:rFonts w:ascii="Garamond" w:hAnsi="Garamond"/>
          <w:sz w:val="24"/>
          <w:szCs w:val="24"/>
        </w:rPr>
        <w:t>e</w:t>
      </w:r>
      <w:r w:rsidR="00BD6C39">
        <w:rPr>
          <w:rFonts w:ascii="Garamond" w:hAnsi="Garamond"/>
          <w:sz w:val="24"/>
          <w:szCs w:val="24"/>
        </w:rPr>
        <w:t>”</w:t>
      </w:r>
      <w:r w:rsidRPr="00BD6C39">
        <w:rPr>
          <w:rFonts w:ascii="Garamond" w:hAnsi="Garamond"/>
          <w:sz w:val="24"/>
          <w:szCs w:val="24"/>
        </w:rPr>
        <w:t>, Sekretariati kërkoi që vlerësimi të përfshijë automatikisht vëllimet e tregtuara në tregun e Kosovës, pasi Shqipëria dhe Kosova operojnë si treg i bashkuar, duke marrë parasysh kufizimet e kapaciteteve ndërkufitare. Konsulenti sqaroi se metodologjia do të trajtojë të dy</w:t>
      </w:r>
      <w:r w:rsidR="00414FEF">
        <w:rPr>
          <w:rFonts w:ascii="Garamond" w:hAnsi="Garamond"/>
          <w:sz w:val="24"/>
          <w:szCs w:val="24"/>
        </w:rPr>
        <w:t>ja</w:t>
      </w:r>
      <w:r w:rsidRPr="00BD6C39">
        <w:rPr>
          <w:rFonts w:ascii="Garamond" w:hAnsi="Garamond"/>
          <w:sz w:val="24"/>
          <w:szCs w:val="24"/>
        </w:rPr>
        <w:t xml:space="preserve"> tregjet si një treg të vetëm në periudhat kur nuk ka kongjestione dhe ndajnë të njëjtin çmim DAM. Në rastet kur mungojnë të dhënat e plota për ndërtimin e kurbave të përbashkëta të kërkesës dhe ofertës, ERE do të aplikojë një vlerësim cilësor, duke krahasuar tregun e bashkuar me tregje të ngjashme të BE-së që funksionojnë si tregje të pavarura.</w:t>
      </w:r>
    </w:p>
    <w:p w14:paraId="059E007E" w14:textId="5A5B0D96" w:rsidR="00FC7D5C" w:rsidRPr="00BD6C39" w:rsidRDefault="00FC7D5C" w:rsidP="003F2DEF">
      <w:pPr>
        <w:spacing w:after="0" w:line="240" w:lineRule="auto"/>
        <w:ind w:firstLine="288"/>
        <w:jc w:val="both"/>
        <w:rPr>
          <w:rFonts w:ascii="Garamond" w:hAnsi="Garamond"/>
          <w:sz w:val="24"/>
          <w:szCs w:val="24"/>
        </w:rPr>
      </w:pPr>
      <w:r w:rsidRPr="00BD6C39">
        <w:rPr>
          <w:rFonts w:ascii="Garamond" w:hAnsi="Garamond"/>
          <w:bCs/>
          <w:sz w:val="24"/>
          <w:szCs w:val="24"/>
        </w:rPr>
        <w:t>5.</w:t>
      </w:r>
      <w:r w:rsidR="0076583B" w:rsidRPr="00BD6C39">
        <w:rPr>
          <w:rFonts w:ascii="Garamond" w:hAnsi="Garamond"/>
          <w:bCs/>
          <w:sz w:val="24"/>
          <w:szCs w:val="24"/>
        </w:rPr>
        <w:t xml:space="preserve"> </w:t>
      </w:r>
      <w:r w:rsidRPr="00BD6C39">
        <w:rPr>
          <w:rFonts w:ascii="Garamond" w:hAnsi="Garamond"/>
          <w:bCs/>
          <w:sz w:val="24"/>
          <w:szCs w:val="24"/>
        </w:rPr>
        <w:t>Përmbajtja dhe treguesit e metodologjisë</w:t>
      </w:r>
    </w:p>
    <w:p w14:paraId="19858ECF" w14:textId="16C19669" w:rsidR="00FC7D5C" w:rsidRPr="00BD6C39" w:rsidRDefault="00FC7D5C" w:rsidP="003F2DEF">
      <w:pPr>
        <w:spacing w:after="0" w:line="240" w:lineRule="auto"/>
        <w:ind w:firstLine="288"/>
        <w:jc w:val="both"/>
        <w:rPr>
          <w:rFonts w:ascii="Garamond" w:hAnsi="Garamond"/>
          <w:sz w:val="24"/>
          <w:szCs w:val="24"/>
        </w:rPr>
      </w:pPr>
      <w:r w:rsidRPr="00BD6C39">
        <w:rPr>
          <w:rFonts w:ascii="Garamond" w:hAnsi="Garamond"/>
          <w:sz w:val="24"/>
          <w:szCs w:val="24"/>
        </w:rPr>
        <w:t>-</w:t>
      </w:r>
      <w:r w:rsidR="0076583B" w:rsidRPr="00BD6C39">
        <w:rPr>
          <w:rFonts w:ascii="Garamond" w:hAnsi="Garamond"/>
          <w:sz w:val="24"/>
          <w:szCs w:val="24"/>
        </w:rPr>
        <w:t xml:space="preserve"> </w:t>
      </w:r>
      <w:r w:rsidRPr="00BD6C39">
        <w:rPr>
          <w:rFonts w:ascii="Garamond" w:hAnsi="Garamond"/>
          <w:sz w:val="24"/>
          <w:szCs w:val="24"/>
        </w:rPr>
        <w:t>Për vlerësimin e gatishmërisë, ERE do të analizojë nëse janë përmbushur këto kushte: ekziston një bursë operacionale DAM që ofron çmime referente për të gjitha periudhat e shlyerjes për një periudhë 10-mujore të pandërprerë; janë duke u zbatuar parimet dhe rregullat për integritetin dhe transparencën e tregut sipas kuadrit REMIT; vëllimet e tregtuara në DAM janë në nivel të krahasueshëm me tregjet homologe të BE-së.</w:t>
      </w:r>
    </w:p>
    <w:p w14:paraId="33C4550C" w14:textId="404C8312" w:rsidR="00FC7D5C" w:rsidRPr="00BD6C39" w:rsidRDefault="00FC7D5C" w:rsidP="003F2DEF">
      <w:pPr>
        <w:spacing w:after="0" w:line="240" w:lineRule="auto"/>
        <w:ind w:firstLine="288"/>
        <w:jc w:val="both"/>
        <w:rPr>
          <w:rFonts w:ascii="Garamond" w:hAnsi="Garamond"/>
          <w:sz w:val="24"/>
          <w:szCs w:val="24"/>
        </w:rPr>
      </w:pPr>
      <w:r w:rsidRPr="00BD6C39">
        <w:rPr>
          <w:rFonts w:ascii="Garamond" w:hAnsi="Garamond"/>
          <w:sz w:val="24"/>
          <w:szCs w:val="24"/>
        </w:rPr>
        <w:t>-</w:t>
      </w:r>
      <w:r w:rsidR="0076583B" w:rsidRPr="00BD6C39">
        <w:rPr>
          <w:rFonts w:ascii="Garamond" w:hAnsi="Garamond"/>
          <w:sz w:val="24"/>
          <w:szCs w:val="24"/>
        </w:rPr>
        <w:t xml:space="preserve"> </w:t>
      </w:r>
      <w:r w:rsidRPr="00BD6C39">
        <w:rPr>
          <w:rFonts w:ascii="Garamond" w:hAnsi="Garamond"/>
          <w:sz w:val="24"/>
          <w:szCs w:val="24"/>
        </w:rPr>
        <w:t xml:space="preserve">Treguesit mbi të cilët mbështetet vlerësimi janë: </w:t>
      </w:r>
      <w:r w:rsidR="00BD6C39">
        <w:rPr>
          <w:rFonts w:ascii="Garamond" w:hAnsi="Garamond"/>
          <w:sz w:val="24"/>
          <w:szCs w:val="24"/>
        </w:rPr>
        <w:t>d</w:t>
      </w:r>
      <w:r w:rsidRPr="00BD6C39">
        <w:rPr>
          <w:rFonts w:ascii="Garamond" w:hAnsi="Garamond"/>
          <w:sz w:val="24"/>
          <w:szCs w:val="24"/>
        </w:rPr>
        <w:t xml:space="preserve">isponueshmëria e çmimeve DAM (sinjali i çmimit për 10 muaj radhazi); </w:t>
      </w:r>
      <w:r w:rsidR="00BD6C39">
        <w:rPr>
          <w:rFonts w:ascii="Garamond" w:hAnsi="Garamond"/>
          <w:sz w:val="24"/>
          <w:szCs w:val="24"/>
        </w:rPr>
        <w:t>f</w:t>
      </w:r>
      <w:r w:rsidRPr="00BD6C39">
        <w:rPr>
          <w:rFonts w:ascii="Garamond" w:hAnsi="Garamond"/>
          <w:sz w:val="24"/>
          <w:szCs w:val="24"/>
        </w:rPr>
        <w:t>aktori i qarkullimit (raporti i energjisë së tregtuar ndaj konsumit total), i cili mat aktivitetin dhe likuiditetin relativ të tregut.</w:t>
      </w:r>
    </w:p>
    <w:p w14:paraId="0DFF6988" w14:textId="7458D1A6" w:rsidR="00FC7D5C" w:rsidRPr="00BD6C39" w:rsidRDefault="00FC7D5C" w:rsidP="003F2DEF">
      <w:pPr>
        <w:spacing w:after="0" w:line="240" w:lineRule="auto"/>
        <w:ind w:firstLine="288"/>
        <w:jc w:val="both"/>
        <w:rPr>
          <w:rFonts w:ascii="Garamond" w:hAnsi="Garamond"/>
          <w:sz w:val="24"/>
          <w:szCs w:val="24"/>
        </w:rPr>
      </w:pPr>
      <w:r w:rsidRPr="00BD6C39">
        <w:rPr>
          <w:rFonts w:ascii="Garamond" w:hAnsi="Garamond"/>
          <w:sz w:val="24"/>
          <w:szCs w:val="24"/>
        </w:rPr>
        <w:lastRenderedPageBreak/>
        <w:t>-</w:t>
      </w:r>
      <w:r w:rsidR="0076583B" w:rsidRPr="00BD6C39">
        <w:rPr>
          <w:rFonts w:ascii="Garamond" w:hAnsi="Garamond"/>
          <w:sz w:val="24"/>
          <w:szCs w:val="24"/>
        </w:rPr>
        <w:t xml:space="preserve"> </w:t>
      </w:r>
      <w:r w:rsidRPr="00BD6C39">
        <w:rPr>
          <w:rFonts w:ascii="Garamond" w:hAnsi="Garamond"/>
          <w:sz w:val="24"/>
          <w:szCs w:val="24"/>
        </w:rPr>
        <w:t>Të dhënat do të sigurohen kryesisht nga ALPEX</w:t>
      </w:r>
      <w:r w:rsidR="00BD6C39">
        <w:rPr>
          <w:rFonts w:ascii="Garamond" w:hAnsi="Garamond"/>
          <w:sz w:val="24"/>
          <w:szCs w:val="24"/>
        </w:rPr>
        <w:t>-i</w:t>
      </w:r>
      <w:r w:rsidRPr="00BD6C39">
        <w:rPr>
          <w:rFonts w:ascii="Garamond" w:hAnsi="Garamond"/>
          <w:sz w:val="24"/>
          <w:szCs w:val="24"/>
        </w:rPr>
        <w:t>, si dhe nga burime krahasuese të BE-së.</w:t>
      </w:r>
    </w:p>
    <w:p w14:paraId="1A80346A" w14:textId="69A8B4F8" w:rsidR="00FC7D5C" w:rsidRPr="00BD6C39" w:rsidRDefault="00FC7D5C" w:rsidP="003F2DEF">
      <w:pPr>
        <w:spacing w:after="0" w:line="240" w:lineRule="auto"/>
        <w:ind w:firstLine="288"/>
        <w:jc w:val="both"/>
        <w:rPr>
          <w:rFonts w:ascii="Garamond" w:hAnsi="Garamond"/>
          <w:sz w:val="24"/>
          <w:szCs w:val="24"/>
        </w:rPr>
      </w:pPr>
      <w:r w:rsidRPr="00BD6C39">
        <w:rPr>
          <w:rFonts w:ascii="Garamond" w:hAnsi="Garamond"/>
          <w:sz w:val="24"/>
          <w:szCs w:val="24"/>
        </w:rPr>
        <w:t>-</w:t>
      </w:r>
      <w:r w:rsidR="0076583B" w:rsidRPr="00BD6C39">
        <w:rPr>
          <w:rFonts w:ascii="Garamond" w:hAnsi="Garamond"/>
          <w:sz w:val="24"/>
          <w:szCs w:val="24"/>
        </w:rPr>
        <w:t xml:space="preserve"> </w:t>
      </w:r>
      <w:r w:rsidRPr="00BD6C39">
        <w:rPr>
          <w:rFonts w:ascii="Garamond" w:hAnsi="Garamond"/>
          <w:sz w:val="24"/>
          <w:szCs w:val="24"/>
        </w:rPr>
        <w:t>Përveç treguesve kryesorë, metodologjia parashikon edhe përdorimin e faktorëve shtesë si diferenca ofertë–kërkesë dhe thellësia e tregut, të cilët merren në konsideratë vetëm kur të dhënat janë të disponueshme dhe të krahasueshme me tregjet e BE-së.</w:t>
      </w:r>
    </w:p>
    <w:p w14:paraId="43678E37" w14:textId="1C6EC680" w:rsidR="00FC7D5C" w:rsidRPr="00BD6C39" w:rsidRDefault="00FC7D5C" w:rsidP="003F2DEF">
      <w:pPr>
        <w:spacing w:after="0" w:line="240" w:lineRule="auto"/>
        <w:ind w:firstLine="288"/>
        <w:jc w:val="both"/>
        <w:rPr>
          <w:rFonts w:ascii="Garamond" w:hAnsi="Garamond"/>
          <w:sz w:val="24"/>
          <w:szCs w:val="24"/>
        </w:rPr>
      </w:pPr>
      <w:r w:rsidRPr="00BD6C39">
        <w:rPr>
          <w:rFonts w:ascii="Garamond" w:hAnsi="Garamond"/>
          <w:sz w:val="24"/>
          <w:szCs w:val="24"/>
        </w:rPr>
        <w:t>-</w:t>
      </w:r>
      <w:r w:rsidR="0076583B" w:rsidRPr="00BD6C39">
        <w:rPr>
          <w:rFonts w:ascii="Garamond" w:hAnsi="Garamond"/>
          <w:sz w:val="24"/>
          <w:szCs w:val="24"/>
        </w:rPr>
        <w:t xml:space="preserve"> </w:t>
      </w:r>
      <w:r w:rsidRPr="00BD6C39">
        <w:rPr>
          <w:rFonts w:ascii="Garamond" w:hAnsi="Garamond"/>
          <w:sz w:val="24"/>
          <w:szCs w:val="24"/>
        </w:rPr>
        <w:t>Metodologjia përcakton</w:t>
      </w:r>
      <w:r w:rsidR="00BD6C39">
        <w:rPr>
          <w:rFonts w:ascii="Garamond" w:hAnsi="Garamond"/>
          <w:sz w:val="24"/>
          <w:szCs w:val="24"/>
        </w:rPr>
        <w:t>,</w:t>
      </w:r>
      <w:r w:rsidRPr="00BD6C39">
        <w:rPr>
          <w:rFonts w:ascii="Garamond" w:hAnsi="Garamond"/>
          <w:sz w:val="24"/>
          <w:szCs w:val="24"/>
        </w:rPr>
        <w:t xml:space="preserve"> gjithashtu</w:t>
      </w:r>
      <w:r w:rsidR="00BD6C39">
        <w:rPr>
          <w:rFonts w:ascii="Garamond" w:hAnsi="Garamond"/>
          <w:sz w:val="24"/>
          <w:szCs w:val="24"/>
        </w:rPr>
        <w:t>,</w:t>
      </w:r>
      <w:r w:rsidRPr="00BD6C39">
        <w:rPr>
          <w:rFonts w:ascii="Garamond" w:hAnsi="Garamond"/>
          <w:sz w:val="24"/>
          <w:szCs w:val="24"/>
        </w:rPr>
        <w:t xml:space="preserve"> kriteret për hartimin e raportit të ERE-s mbi gatishmërinë e tregut, duke përfshirë afatet e raportimit</w:t>
      </w:r>
      <w:r w:rsidR="00BD6C39">
        <w:rPr>
          <w:rFonts w:ascii="Garamond" w:hAnsi="Garamond"/>
          <w:sz w:val="24"/>
          <w:szCs w:val="24"/>
        </w:rPr>
        <w:t>,</w:t>
      </w:r>
      <w:r w:rsidRPr="00BD6C39">
        <w:rPr>
          <w:rFonts w:ascii="Garamond" w:hAnsi="Garamond"/>
          <w:sz w:val="24"/>
          <w:szCs w:val="24"/>
        </w:rPr>
        <w:t xml:space="preserve"> si dhe mënyrën e përzgjedhjes së vendeve të BE-së që shërbejnë si tregje referencë për krahasim.</w:t>
      </w:r>
    </w:p>
    <w:p w14:paraId="76C7A74C" w14:textId="1AFC085D" w:rsidR="00FC7D5C" w:rsidRPr="00BD6C39" w:rsidRDefault="00FC7D5C" w:rsidP="003F2DEF">
      <w:pPr>
        <w:spacing w:after="0" w:line="240" w:lineRule="auto"/>
        <w:ind w:firstLine="288"/>
        <w:jc w:val="both"/>
        <w:rPr>
          <w:rFonts w:ascii="Garamond" w:hAnsi="Garamond"/>
          <w:sz w:val="24"/>
          <w:szCs w:val="24"/>
        </w:rPr>
      </w:pPr>
      <w:r w:rsidRPr="00BD6C39">
        <w:rPr>
          <w:rFonts w:ascii="Garamond" w:hAnsi="Garamond"/>
          <w:sz w:val="24"/>
          <w:szCs w:val="24"/>
        </w:rPr>
        <w:t>-</w:t>
      </w:r>
      <w:r w:rsidR="0076583B" w:rsidRPr="00BD6C39">
        <w:rPr>
          <w:rFonts w:ascii="Garamond" w:hAnsi="Garamond"/>
          <w:sz w:val="24"/>
          <w:szCs w:val="24"/>
        </w:rPr>
        <w:t xml:space="preserve"> </w:t>
      </w:r>
      <w:r w:rsidRPr="00BD6C39">
        <w:rPr>
          <w:rFonts w:ascii="Garamond" w:hAnsi="Garamond"/>
          <w:sz w:val="24"/>
          <w:szCs w:val="24"/>
        </w:rPr>
        <w:t>Në pjesën përfundimtare, metodologjia parashikon rishikimin dhe ndryshimin e saj kur është e nevojshme</w:t>
      </w:r>
      <w:r w:rsidR="00BD6C39">
        <w:rPr>
          <w:rFonts w:ascii="Garamond" w:hAnsi="Garamond"/>
          <w:sz w:val="24"/>
          <w:szCs w:val="24"/>
        </w:rPr>
        <w:t>,</w:t>
      </w:r>
      <w:r w:rsidRPr="00BD6C39">
        <w:rPr>
          <w:rFonts w:ascii="Garamond" w:hAnsi="Garamond"/>
          <w:sz w:val="24"/>
          <w:szCs w:val="24"/>
        </w:rPr>
        <w:t xml:space="preserve"> si dhe hyrjen në fuqi menjëherë pas miratimit nga </w:t>
      </w:r>
      <w:r w:rsidR="00BD6C39" w:rsidRPr="00BD6C39">
        <w:rPr>
          <w:rFonts w:ascii="Garamond" w:hAnsi="Garamond"/>
          <w:sz w:val="24"/>
          <w:szCs w:val="24"/>
        </w:rPr>
        <w:t xml:space="preserve">Bordi </w:t>
      </w:r>
      <w:r w:rsidRPr="00BD6C39">
        <w:rPr>
          <w:rFonts w:ascii="Garamond" w:hAnsi="Garamond"/>
          <w:sz w:val="24"/>
          <w:szCs w:val="24"/>
        </w:rPr>
        <w:t>i ERE-s.</w:t>
      </w:r>
    </w:p>
    <w:p w14:paraId="646A0E36" w14:textId="1AFCFC41" w:rsidR="00FC7D5C" w:rsidRPr="00BD6C39" w:rsidRDefault="00FC7D5C" w:rsidP="003F2DEF">
      <w:pPr>
        <w:spacing w:after="0" w:line="240" w:lineRule="auto"/>
        <w:ind w:firstLine="288"/>
        <w:jc w:val="both"/>
        <w:rPr>
          <w:rFonts w:ascii="Garamond" w:hAnsi="Garamond"/>
          <w:bCs/>
          <w:sz w:val="24"/>
          <w:szCs w:val="24"/>
        </w:rPr>
      </w:pPr>
      <w:r w:rsidRPr="00BD6C39">
        <w:rPr>
          <w:rFonts w:ascii="Garamond" w:hAnsi="Garamond"/>
          <w:bCs/>
          <w:sz w:val="24"/>
          <w:szCs w:val="24"/>
        </w:rPr>
        <w:t>6.</w:t>
      </w:r>
      <w:r w:rsidR="0076583B" w:rsidRPr="00BD6C39">
        <w:rPr>
          <w:rFonts w:ascii="Garamond" w:hAnsi="Garamond"/>
          <w:bCs/>
          <w:sz w:val="24"/>
          <w:szCs w:val="24"/>
        </w:rPr>
        <w:t xml:space="preserve"> </w:t>
      </w:r>
      <w:r w:rsidRPr="00BD6C39">
        <w:rPr>
          <w:rFonts w:ascii="Garamond" w:hAnsi="Garamond"/>
          <w:bCs/>
          <w:sz w:val="24"/>
          <w:szCs w:val="24"/>
        </w:rPr>
        <w:t>Vlerësime të ERE-s</w:t>
      </w:r>
    </w:p>
    <w:p w14:paraId="53B01458" w14:textId="42CAA018" w:rsidR="00FC7D5C" w:rsidRPr="00BD6C39" w:rsidRDefault="00FC7D5C" w:rsidP="003F2DEF">
      <w:pPr>
        <w:spacing w:after="0" w:line="240" w:lineRule="auto"/>
        <w:ind w:firstLine="288"/>
        <w:jc w:val="both"/>
        <w:rPr>
          <w:rFonts w:ascii="Garamond" w:hAnsi="Garamond"/>
          <w:b/>
          <w:bCs/>
          <w:sz w:val="24"/>
          <w:szCs w:val="24"/>
        </w:rPr>
      </w:pPr>
      <w:r w:rsidRPr="00BD6C39">
        <w:rPr>
          <w:rFonts w:ascii="Garamond" w:hAnsi="Garamond"/>
          <w:sz w:val="24"/>
          <w:szCs w:val="24"/>
        </w:rPr>
        <w:t>-</w:t>
      </w:r>
      <w:r w:rsidR="0076583B" w:rsidRPr="00BD6C39">
        <w:rPr>
          <w:rFonts w:ascii="Garamond" w:hAnsi="Garamond"/>
          <w:sz w:val="24"/>
          <w:szCs w:val="24"/>
        </w:rPr>
        <w:t xml:space="preserve"> </w:t>
      </w:r>
      <w:r w:rsidRPr="00BD6C39">
        <w:rPr>
          <w:rFonts w:ascii="Garamond" w:hAnsi="Garamond"/>
          <w:sz w:val="24"/>
          <w:szCs w:val="24"/>
        </w:rPr>
        <w:t>Është e arsyeshme dhe e domosdoshme për qartësi ligjore dhe efektivitet rregullator përfshirjen në metodologji të faktorëve:</w:t>
      </w:r>
    </w:p>
    <w:p w14:paraId="25094EEF" w14:textId="4BAF3911" w:rsidR="00FC7D5C" w:rsidRPr="00BD6C39" w:rsidRDefault="00FC7D5C" w:rsidP="003F2DEF">
      <w:pPr>
        <w:spacing w:after="0" w:line="240" w:lineRule="auto"/>
        <w:ind w:firstLine="288"/>
        <w:jc w:val="both"/>
        <w:rPr>
          <w:rFonts w:ascii="Garamond" w:hAnsi="Garamond"/>
          <w:sz w:val="24"/>
          <w:szCs w:val="24"/>
        </w:rPr>
      </w:pPr>
      <w:r w:rsidRPr="00BD6C39">
        <w:rPr>
          <w:rFonts w:ascii="Garamond" w:hAnsi="Garamond"/>
          <w:sz w:val="24"/>
          <w:szCs w:val="24"/>
        </w:rPr>
        <w:t>a)</w:t>
      </w:r>
      <w:r w:rsidR="0076583B" w:rsidRPr="00BD6C39">
        <w:rPr>
          <w:rFonts w:ascii="Garamond" w:hAnsi="Garamond"/>
          <w:sz w:val="24"/>
          <w:szCs w:val="24"/>
        </w:rPr>
        <w:t xml:space="preserve"> </w:t>
      </w:r>
      <w:r w:rsidRPr="00BD6C39">
        <w:rPr>
          <w:rFonts w:ascii="Garamond" w:hAnsi="Garamond"/>
          <w:sz w:val="24"/>
          <w:szCs w:val="24"/>
        </w:rPr>
        <w:t>Disponueshmërisë së çmimeve DAM për një periudhë të njëpasnjëshme 10-mujore;</w:t>
      </w:r>
    </w:p>
    <w:p w14:paraId="7125EDEE" w14:textId="0AD6AA18" w:rsidR="00FC7D5C" w:rsidRPr="00BD6C39" w:rsidRDefault="00FC7D5C" w:rsidP="003F2DEF">
      <w:pPr>
        <w:spacing w:after="0" w:line="240" w:lineRule="auto"/>
        <w:ind w:firstLine="288"/>
        <w:jc w:val="both"/>
        <w:rPr>
          <w:rFonts w:ascii="Garamond" w:hAnsi="Garamond"/>
          <w:sz w:val="24"/>
          <w:szCs w:val="24"/>
        </w:rPr>
      </w:pPr>
      <w:r w:rsidRPr="00BD6C39">
        <w:rPr>
          <w:rFonts w:ascii="Garamond" w:hAnsi="Garamond"/>
          <w:sz w:val="24"/>
          <w:szCs w:val="24"/>
        </w:rPr>
        <w:t>b)</w:t>
      </w:r>
      <w:r w:rsidR="0076583B" w:rsidRPr="00BD6C39">
        <w:rPr>
          <w:rFonts w:ascii="Garamond" w:hAnsi="Garamond"/>
          <w:sz w:val="24"/>
          <w:szCs w:val="24"/>
        </w:rPr>
        <w:t xml:space="preserve"> </w:t>
      </w:r>
      <w:r w:rsidRPr="00BD6C39">
        <w:rPr>
          <w:rFonts w:ascii="Garamond" w:hAnsi="Garamond"/>
          <w:sz w:val="24"/>
          <w:szCs w:val="24"/>
        </w:rPr>
        <w:t>Faktorit të qarkullimit (raporti i volumit të tregtuar në DAM ndaj konsumit total), të llogaritur sipas metodologjisë së publikuar nga ACER, për qëllime krahasimi ndërkufitar;</w:t>
      </w:r>
    </w:p>
    <w:p w14:paraId="5725ABC3" w14:textId="2D6CBBD3" w:rsidR="00FC7D5C" w:rsidRPr="00BD6C39" w:rsidRDefault="00FC7D5C" w:rsidP="003F2DEF">
      <w:pPr>
        <w:spacing w:after="0" w:line="240" w:lineRule="auto"/>
        <w:ind w:firstLine="288"/>
        <w:jc w:val="both"/>
        <w:rPr>
          <w:rFonts w:ascii="Garamond" w:hAnsi="Garamond"/>
          <w:sz w:val="24"/>
          <w:szCs w:val="24"/>
        </w:rPr>
      </w:pPr>
      <w:r w:rsidRPr="00BD6C39">
        <w:rPr>
          <w:rFonts w:ascii="Garamond" w:hAnsi="Garamond"/>
          <w:sz w:val="24"/>
          <w:szCs w:val="24"/>
        </w:rPr>
        <w:t>c)</w:t>
      </w:r>
      <w:r w:rsidR="0076583B" w:rsidRPr="00BD6C39">
        <w:rPr>
          <w:rFonts w:ascii="Garamond" w:hAnsi="Garamond"/>
          <w:sz w:val="24"/>
          <w:szCs w:val="24"/>
        </w:rPr>
        <w:t xml:space="preserve"> </w:t>
      </w:r>
      <w:r w:rsidRPr="00BD6C39">
        <w:rPr>
          <w:rFonts w:ascii="Garamond" w:hAnsi="Garamond"/>
          <w:sz w:val="24"/>
          <w:szCs w:val="24"/>
        </w:rPr>
        <w:t>Kërkesave të integritetit dhe transparencës (REMIT), si kusht i pashmangshëm për vlerësimin e gatishmërisë;</w:t>
      </w:r>
    </w:p>
    <w:p w14:paraId="5B3B2BAF" w14:textId="0535501C" w:rsidR="00FC7D5C" w:rsidRPr="00BD6C39" w:rsidRDefault="00FC7D5C" w:rsidP="003F2DEF">
      <w:pPr>
        <w:spacing w:after="0" w:line="240" w:lineRule="auto"/>
        <w:ind w:firstLine="288"/>
        <w:jc w:val="both"/>
        <w:rPr>
          <w:rFonts w:ascii="Garamond" w:hAnsi="Garamond"/>
          <w:b/>
          <w:bCs/>
          <w:sz w:val="24"/>
          <w:szCs w:val="24"/>
        </w:rPr>
      </w:pPr>
      <w:r w:rsidRPr="00BD6C39">
        <w:rPr>
          <w:rFonts w:ascii="Garamond" w:hAnsi="Garamond"/>
          <w:sz w:val="24"/>
          <w:szCs w:val="24"/>
        </w:rPr>
        <w:t>d)</w:t>
      </w:r>
      <w:r w:rsidR="0076583B" w:rsidRPr="00BD6C39">
        <w:rPr>
          <w:rFonts w:ascii="Garamond" w:hAnsi="Garamond"/>
          <w:sz w:val="24"/>
          <w:szCs w:val="24"/>
        </w:rPr>
        <w:t xml:space="preserve"> </w:t>
      </w:r>
      <w:r w:rsidRPr="00BD6C39">
        <w:rPr>
          <w:rFonts w:ascii="Garamond" w:hAnsi="Garamond"/>
          <w:sz w:val="24"/>
          <w:szCs w:val="24"/>
        </w:rPr>
        <w:t>Trajtimit të tregut të bashkuar Shqipëri–Kosovë si një treg i vetëm kur nuk ka kongjestione dhe ndajnë të njëjtin çmim DAM, si dhe aplikimit të vlerësimeve cilësore kur kufizimet e të dhënave pengojnë ndërtimin e kurbave të përbashkëta.</w:t>
      </w:r>
    </w:p>
    <w:p w14:paraId="0807BC3C" w14:textId="58F758F0" w:rsidR="00FC7D5C" w:rsidRPr="00BD6C39" w:rsidRDefault="00FC7D5C" w:rsidP="003F2DEF">
      <w:pPr>
        <w:spacing w:after="0" w:line="240" w:lineRule="auto"/>
        <w:ind w:firstLine="288"/>
        <w:jc w:val="both"/>
        <w:rPr>
          <w:rFonts w:ascii="Garamond" w:hAnsi="Garamond"/>
          <w:b/>
          <w:bCs/>
          <w:sz w:val="24"/>
          <w:szCs w:val="24"/>
        </w:rPr>
      </w:pPr>
      <w:r w:rsidRPr="00BD6C39">
        <w:rPr>
          <w:rFonts w:ascii="Garamond" w:hAnsi="Garamond"/>
          <w:sz w:val="24"/>
          <w:szCs w:val="24"/>
        </w:rPr>
        <w:t>-</w:t>
      </w:r>
      <w:r w:rsidR="0076583B" w:rsidRPr="00BD6C39">
        <w:rPr>
          <w:rFonts w:ascii="Garamond" w:hAnsi="Garamond"/>
          <w:sz w:val="24"/>
          <w:szCs w:val="24"/>
        </w:rPr>
        <w:t xml:space="preserve"> </w:t>
      </w:r>
      <w:r w:rsidRPr="00BD6C39">
        <w:rPr>
          <w:rFonts w:ascii="Garamond" w:hAnsi="Garamond"/>
          <w:sz w:val="24"/>
          <w:szCs w:val="24"/>
        </w:rPr>
        <w:t>Lidhur me propozimin e ALPEX</w:t>
      </w:r>
      <w:r w:rsidR="00BD6C39">
        <w:rPr>
          <w:rFonts w:ascii="Garamond" w:hAnsi="Garamond"/>
          <w:sz w:val="24"/>
          <w:szCs w:val="24"/>
        </w:rPr>
        <w:t>-it</w:t>
      </w:r>
      <w:r w:rsidRPr="00BD6C39">
        <w:rPr>
          <w:rFonts w:ascii="Garamond" w:hAnsi="Garamond"/>
          <w:sz w:val="24"/>
          <w:szCs w:val="24"/>
        </w:rPr>
        <w:t xml:space="preserve"> për përdorimin e konsumit në tregun e liberalizuar si emërues në faktor qarkullimi, ERE – në përputhje me rekomandimin e konsulentit vlerëson të mos e pranojë ndryshimin, me qëllim ruajtjen e krahasueshmërisë ndërkombëtare sipas praktikës së ACER</w:t>
      </w:r>
      <w:r w:rsidR="00BD6C39">
        <w:rPr>
          <w:rFonts w:ascii="Garamond" w:hAnsi="Garamond"/>
          <w:sz w:val="24"/>
          <w:szCs w:val="24"/>
        </w:rPr>
        <w:t>-it</w:t>
      </w:r>
      <w:r w:rsidRPr="00BD6C39">
        <w:rPr>
          <w:rFonts w:ascii="Garamond" w:hAnsi="Garamond"/>
          <w:sz w:val="24"/>
          <w:szCs w:val="24"/>
        </w:rPr>
        <w:t>.</w:t>
      </w:r>
    </w:p>
    <w:p w14:paraId="2BCCED3D" w14:textId="66D1F094" w:rsidR="00FC7D5C" w:rsidRPr="00BD6C39" w:rsidRDefault="00FC7D5C" w:rsidP="003F2DEF">
      <w:pPr>
        <w:spacing w:after="0" w:line="240" w:lineRule="auto"/>
        <w:ind w:firstLine="288"/>
        <w:jc w:val="both"/>
        <w:rPr>
          <w:rFonts w:ascii="Garamond" w:hAnsi="Garamond"/>
          <w:b/>
          <w:bCs/>
          <w:sz w:val="24"/>
          <w:szCs w:val="24"/>
        </w:rPr>
      </w:pPr>
      <w:r w:rsidRPr="00BD6C39">
        <w:rPr>
          <w:rFonts w:ascii="Garamond" w:hAnsi="Garamond"/>
          <w:sz w:val="24"/>
          <w:szCs w:val="24"/>
        </w:rPr>
        <w:t>-</w:t>
      </w:r>
      <w:r w:rsidR="0076583B" w:rsidRPr="00BD6C39">
        <w:rPr>
          <w:rFonts w:ascii="Garamond" w:hAnsi="Garamond"/>
          <w:sz w:val="24"/>
          <w:szCs w:val="24"/>
        </w:rPr>
        <w:t xml:space="preserve"> </w:t>
      </w:r>
      <w:r w:rsidRPr="00BD6C39">
        <w:rPr>
          <w:rFonts w:ascii="Garamond" w:hAnsi="Garamond"/>
          <w:sz w:val="24"/>
          <w:szCs w:val="24"/>
        </w:rPr>
        <w:t>Raporti periodik 6-mujor i ERE-s, pas kryerjes së vlerësimit të parë brenda 6 muajve nga hyrja në fuqi e metodologjisë, do të hartohet vetëm për periudhën kur vlerësimi rezulton negativ; pas një vlerësimi pozitiv të gatishmërisë, raportimi periodik sipas kësaj metodologjie nuk kërkohet më.</w:t>
      </w:r>
    </w:p>
    <w:p w14:paraId="1DF3D2A7" w14:textId="4D03E8DE" w:rsidR="00FC7D5C" w:rsidRPr="00BD6C39" w:rsidRDefault="00FC7D5C" w:rsidP="003F2DEF">
      <w:pPr>
        <w:tabs>
          <w:tab w:val="left" w:pos="0"/>
        </w:tabs>
        <w:spacing w:after="0" w:line="240" w:lineRule="auto"/>
        <w:ind w:firstLine="288"/>
        <w:jc w:val="both"/>
        <w:rPr>
          <w:rFonts w:ascii="Garamond" w:hAnsi="Garamond"/>
          <w:sz w:val="24"/>
          <w:szCs w:val="24"/>
        </w:rPr>
      </w:pPr>
      <w:r w:rsidRPr="00BD6C39">
        <w:rPr>
          <w:rFonts w:ascii="Garamond" w:hAnsi="Garamond"/>
          <w:sz w:val="24"/>
          <w:szCs w:val="24"/>
        </w:rPr>
        <w:t xml:space="preserve">Për gjithë sa më sipër, </w:t>
      </w:r>
      <w:r w:rsidR="00BD6C39" w:rsidRPr="00BD6C39">
        <w:rPr>
          <w:rFonts w:ascii="Garamond" w:hAnsi="Garamond"/>
          <w:sz w:val="24"/>
          <w:szCs w:val="24"/>
        </w:rPr>
        <w:t xml:space="preserve">Bordi </w:t>
      </w:r>
      <w:r w:rsidR="00BD6C39">
        <w:rPr>
          <w:rFonts w:ascii="Garamond" w:hAnsi="Garamond"/>
          <w:sz w:val="24"/>
          <w:szCs w:val="24"/>
        </w:rPr>
        <w:t>i ERE-s</w:t>
      </w:r>
    </w:p>
    <w:p w14:paraId="5E695E6B" w14:textId="77777777" w:rsidR="0076583B" w:rsidRPr="00BD6C39" w:rsidRDefault="0076583B" w:rsidP="003F2DEF">
      <w:pPr>
        <w:tabs>
          <w:tab w:val="left" w:pos="0"/>
        </w:tabs>
        <w:spacing w:after="0" w:line="240" w:lineRule="auto"/>
        <w:ind w:firstLine="288"/>
        <w:jc w:val="both"/>
        <w:rPr>
          <w:rFonts w:ascii="Garamond" w:hAnsi="Garamond"/>
          <w:sz w:val="24"/>
          <w:szCs w:val="24"/>
        </w:rPr>
      </w:pPr>
    </w:p>
    <w:p w14:paraId="2DE515C1" w14:textId="1D7397FD" w:rsidR="00FC7D5C" w:rsidRPr="00BD6C39" w:rsidRDefault="0076583B" w:rsidP="0076583B">
      <w:pPr>
        <w:tabs>
          <w:tab w:val="left" w:pos="0"/>
        </w:tabs>
        <w:spacing w:after="0" w:line="240" w:lineRule="auto"/>
        <w:jc w:val="center"/>
        <w:rPr>
          <w:rFonts w:ascii="Garamond" w:hAnsi="Garamond"/>
          <w:b/>
          <w:bCs/>
          <w:sz w:val="24"/>
          <w:szCs w:val="24"/>
        </w:rPr>
      </w:pPr>
      <w:r w:rsidRPr="00BD6C39">
        <w:rPr>
          <w:rFonts w:ascii="Garamond" w:hAnsi="Garamond"/>
          <w:bCs/>
          <w:sz w:val="24"/>
          <w:szCs w:val="24"/>
        </w:rPr>
        <w:t>VENDOSI</w:t>
      </w:r>
      <w:r w:rsidR="00FC7D5C" w:rsidRPr="00BD6C39">
        <w:rPr>
          <w:rFonts w:ascii="Garamond" w:hAnsi="Garamond"/>
          <w:b/>
          <w:bCs/>
          <w:sz w:val="24"/>
          <w:szCs w:val="24"/>
        </w:rPr>
        <w:t>:</w:t>
      </w:r>
    </w:p>
    <w:p w14:paraId="4C41950E" w14:textId="77777777" w:rsidR="0076583B" w:rsidRPr="00BD6C39" w:rsidRDefault="0076583B" w:rsidP="0076583B">
      <w:pPr>
        <w:tabs>
          <w:tab w:val="left" w:pos="0"/>
        </w:tabs>
        <w:spacing w:after="0" w:line="240" w:lineRule="auto"/>
        <w:jc w:val="center"/>
        <w:rPr>
          <w:rFonts w:ascii="Garamond" w:hAnsi="Garamond"/>
          <w:b/>
          <w:bCs/>
          <w:sz w:val="24"/>
          <w:szCs w:val="24"/>
        </w:rPr>
      </w:pPr>
    </w:p>
    <w:p w14:paraId="488052B9" w14:textId="69738F50" w:rsidR="00FC7D5C" w:rsidRPr="00BD6C39" w:rsidRDefault="00FC7D5C" w:rsidP="003F2DEF">
      <w:pPr>
        <w:pStyle w:val="ListParagraph"/>
        <w:tabs>
          <w:tab w:val="center" w:pos="4800"/>
          <w:tab w:val="left" w:pos="5820"/>
        </w:tabs>
        <w:spacing w:after="0" w:line="240" w:lineRule="auto"/>
        <w:ind w:left="0" w:firstLine="288"/>
        <w:jc w:val="both"/>
        <w:rPr>
          <w:rFonts w:ascii="Garamond" w:hAnsi="Garamond"/>
          <w:b/>
          <w:bCs/>
          <w:sz w:val="24"/>
          <w:szCs w:val="24"/>
        </w:rPr>
      </w:pPr>
      <w:r w:rsidRPr="00BD6C39">
        <w:rPr>
          <w:rFonts w:ascii="Garamond" w:hAnsi="Garamond"/>
          <w:sz w:val="24"/>
          <w:szCs w:val="24"/>
        </w:rPr>
        <w:t>1.</w:t>
      </w:r>
      <w:r w:rsidR="0076583B" w:rsidRPr="00BD6C39">
        <w:rPr>
          <w:rFonts w:ascii="Garamond" w:hAnsi="Garamond"/>
          <w:sz w:val="24"/>
          <w:szCs w:val="24"/>
        </w:rPr>
        <w:t xml:space="preserve"> </w:t>
      </w:r>
      <w:r w:rsidRPr="00BD6C39">
        <w:rPr>
          <w:rFonts w:ascii="Garamond" w:hAnsi="Garamond"/>
          <w:sz w:val="24"/>
          <w:szCs w:val="24"/>
        </w:rPr>
        <w:t>Miratimin e “Metodologjisë për vlerësimin e gatishmërisë së tregut shqiptar të energji</w:t>
      </w:r>
      <w:r w:rsidR="00BD6C39">
        <w:rPr>
          <w:rFonts w:ascii="Garamond" w:hAnsi="Garamond"/>
          <w:sz w:val="24"/>
          <w:szCs w:val="24"/>
        </w:rPr>
        <w:t xml:space="preserve">së elektrike së ditës në avancë” </w:t>
      </w:r>
      <w:r w:rsidRPr="00BD6C39">
        <w:rPr>
          <w:rFonts w:ascii="Garamond" w:hAnsi="Garamond"/>
          <w:sz w:val="24"/>
          <w:szCs w:val="24"/>
        </w:rPr>
        <w:t>(</w:t>
      </w:r>
      <w:r w:rsidR="00BD6C39" w:rsidRPr="00BD6C39">
        <w:rPr>
          <w:rFonts w:ascii="Garamond" w:hAnsi="Garamond"/>
          <w:sz w:val="24"/>
          <w:szCs w:val="24"/>
        </w:rPr>
        <w:t>bashkëlidhur</w:t>
      </w:r>
      <w:r w:rsidRPr="00BD6C39">
        <w:rPr>
          <w:rFonts w:ascii="Garamond" w:hAnsi="Garamond"/>
          <w:sz w:val="24"/>
          <w:szCs w:val="24"/>
        </w:rPr>
        <w:t>)</w:t>
      </w:r>
      <w:r w:rsidR="00BD6C39">
        <w:rPr>
          <w:rFonts w:ascii="Garamond" w:hAnsi="Garamond"/>
          <w:sz w:val="24"/>
          <w:szCs w:val="24"/>
        </w:rPr>
        <w:t>.</w:t>
      </w:r>
    </w:p>
    <w:p w14:paraId="7DF2533A" w14:textId="06A5B656" w:rsidR="00FC7D5C" w:rsidRPr="00BD6C39" w:rsidRDefault="00FC7D5C" w:rsidP="003F2DEF">
      <w:pPr>
        <w:spacing w:after="0" w:line="240" w:lineRule="auto"/>
        <w:ind w:firstLine="288"/>
        <w:jc w:val="both"/>
        <w:rPr>
          <w:rFonts w:ascii="Garamond" w:hAnsi="Garamond"/>
          <w:b/>
          <w:bCs/>
          <w:sz w:val="24"/>
          <w:szCs w:val="24"/>
        </w:rPr>
      </w:pPr>
      <w:r w:rsidRPr="00BD6C39">
        <w:rPr>
          <w:rFonts w:ascii="Garamond" w:hAnsi="Garamond"/>
          <w:sz w:val="24"/>
          <w:szCs w:val="24"/>
        </w:rPr>
        <w:t>2.</w:t>
      </w:r>
      <w:r w:rsidR="0076583B" w:rsidRPr="00BD6C39">
        <w:rPr>
          <w:rFonts w:ascii="Garamond" w:hAnsi="Garamond"/>
          <w:sz w:val="24"/>
          <w:szCs w:val="24"/>
        </w:rPr>
        <w:t xml:space="preserve"> </w:t>
      </w:r>
      <w:r w:rsidRPr="00BD6C39">
        <w:rPr>
          <w:rFonts w:ascii="Garamond" w:hAnsi="Garamond"/>
          <w:sz w:val="24"/>
          <w:szCs w:val="24"/>
        </w:rPr>
        <w:t>Drejtoria e Politi</w:t>
      </w:r>
      <w:r w:rsidR="00BD6C39">
        <w:rPr>
          <w:rFonts w:ascii="Garamond" w:hAnsi="Garamond"/>
          <w:sz w:val="24"/>
          <w:szCs w:val="24"/>
        </w:rPr>
        <w:t>kave të Burimeve të Rinovueshme</w:t>
      </w:r>
      <w:r w:rsidRPr="00BD6C39">
        <w:rPr>
          <w:rFonts w:ascii="Garamond" w:hAnsi="Garamond"/>
          <w:sz w:val="24"/>
          <w:szCs w:val="24"/>
        </w:rPr>
        <w:t xml:space="preserve"> të njoftojë palët e interesit, përfshirë MIE</w:t>
      </w:r>
      <w:r w:rsidR="00BD6C39">
        <w:rPr>
          <w:rFonts w:ascii="Garamond" w:hAnsi="Garamond"/>
          <w:sz w:val="24"/>
          <w:szCs w:val="24"/>
        </w:rPr>
        <w:t>-n</w:t>
      </w:r>
      <w:r w:rsidRPr="00BD6C39">
        <w:rPr>
          <w:rFonts w:ascii="Garamond" w:hAnsi="Garamond"/>
          <w:sz w:val="24"/>
          <w:szCs w:val="24"/>
        </w:rPr>
        <w:t xml:space="preserve">, </w:t>
      </w:r>
      <w:r w:rsidR="00BD6C39">
        <w:rPr>
          <w:rFonts w:ascii="Garamond" w:hAnsi="Garamond"/>
          <w:sz w:val="24"/>
          <w:szCs w:val="24"/>
        </w:rPr>
        <w:t>“</w:t>
      </w:r>
      <w:r w:rsidRPr="00BD6C39">
        <w:rPr>
          <w:rFonts w:ascii="Garamond" w:hAnsi="Garamond"/>
          <w:sz w:val="24"/>
          <w:szCs w:val="24"/>
        </w:rPr>
        <w:t>ALPEX</w:t>
      </w:r>
      <w:r w:rsidR="00BD6C39">
        <w:rPr>
          <w:rFonts w:ascii="Garamond" w:hAnsi="Garamond"/>
          <w:sz w:val="24"/>
          <w:szCs w:val="24"/>
        </w:rPr>
        <w:t>”</w:t>
      </w:r>
      <w:r w:rsidRPr="00BD6C39">
        <w:rPr>
          <w:rFonts w:ascii="Garamond" w:hAnsi="Garamond"/>
          <w:sz w:val="24"/>
          <w:szCs w:val="24"/>
        </w:rPr>
        <w:t xml:space="preserve"> sh.a., </w:t>
      </w:r>
      <w:r w:rsidR="00BD6C39">
        <w:rPr>
          <w:rFonts w:ascii="Garamond" w:hAnsi="Garamond"/>
          <w:sz w:val="24"/>
          <w:szCs w:val="24"/>
        </w:rPr>
        <w:t>“</w:t>
      </w:r>
      <w:r w:rsidRPr="00BD6C39">
        <w:rPr>
          <w:rFonts w:ascii="Garamond" w:hAnsi="Garamond"/>
          <w:sz w:val="24"/>
          <w:szCs w:val="24"/>
        </w:rPr>
        <w:t>OST</w:t>
      </w:r>
      <w:r w:rsidR="00BD6C39">
        <w:rPr>
          <w:rFonts w:ascii="Garamond" w:hAnsi="Garamond"/>
          <w:sz w:val="24"/>
          <w:szCs w:val="24"/>
        </w:rPr>
        <w:t>”</w:t>
      </w:r>
      <w:r w:rsidRPr="00BD6C39">
        <w:rPr>
          <w:rFonts w:ascii="Garamond" w:hAnsi="Garamond"/>
          <w:sz w:val="24"/>
          <w:szCs w:val="24"/>
        </w:rPr>
        <w:t xml:space="preserve"> sh.a., </w:t>
      </w:r>
      <w:r w:rsidR="00BD6C39">
        <w:rPr>
          <w:rFonts w:ascii="Garamond" w:hAnsi="Garamond"/>
          <w:sz w:val="24"/>
          <w:szCs w:val="24"/>
        </w:rPr>
        <w:t>“</w:t>
      </w:r>
      <w:r w:rsidRPr="00BD6C39">
        <w:rPr>
          <w:rFonts w:ascii="Garamond" w:hAnsi="Garamond"/>
          <w:sz w:val="24"/>
          <w:szCs w:val="24"/>
        </w:rPr>
        <w:t>AAES</w:t>
      </w:r>
      <w:r w:rsidR="00BD6C39">
        <w:rPr>
          <w:rFonts w:ascii="Garamond" w:hAnsi="Garamond"/>
          <w:sz w:val="24"/>
          <w:szCs w:val="24"/>
        </w:rPr>
        <w:t>”</w:t>
      </w:r>
      <w:r w:rsidRPr="00BD6C39">
        <w:rPr>
          <w:rFonts w:ascii="Garamond" w:hAnsi="Garamond"/>
          <w:sz w:val="24"/>
          <w:szCs w:val="24"/>
        </w:rPr>
        <w:t xml:space="preserve">, </w:t>
      </w:r>
      <w:r w:rsidR="00BD6C39">
        <w:rPr>
          <w:rFonts w:ascii="Garamond" w:hAnsi="Garamond"/>
          <w:sz w:val="24"/>
          <w:szCs w:val="24"/>
        </w:rPr>
        <w:t>“</w:t>
      </w:r>
      <w:r w:rsidRPr="00BD6C39">
        <w:rPr>
          <w:rFonts w:ascii="Garamond" w:hAnsi="Garamond"/>
          <w:sz w:val="24"/>
          <w:szCs w:val="24"/>
        </w:rPr>
        <w:t>AREA</w:t>
      </w:r>
      <w:r w:rsidR="00BD6C39">
        <w:rPr>
          <w:rFonts w:ascii="Garamond" w:hAnsi="Garamond"/>
          <w:sz w:val="24"/>
          <w:szCs w:val="24"/>
        </w:rPr>
        <w:t>”</w:t>
      </w:r>
      <w:r w:rsidRPr="00BD6C39">
        <w:rPr>
          <w:rFonts w:ascii="Garamond" w:hAnsi="Garamond"/>
          <w:sz w:val="24"/>
          <w:szCs w:val="24"/>
        </w:rPr>
        <w:t xml:space="preserve">, </w:t>
      </w:r>
      <w:r w:rsidR="00BD6C39">
        <w:rPr>
          <w:rFonts w:ascii="Garamond" w:hAnsi="Garamond"/>
          <w:sz w:val="24"/>
          <w:szCs w:val="24"/>
        </w:rPr>
        <w:t>“</w:t>
      </w:r>
      <w:r w:rsidRPr="00BD6C39">
        <w:rPr>
          <w:rFonts w:ascii="Garamond" w:hAnsi="Garamond"/>
          <w:sz w:val="24"/>
          <w:szCs w:val="24"/>
        </w:rPr>
        <w:t>FTL</w:t>
      </w:r>
      <w:r w:rsidR="00BD6C39">
        <w:rPr>
          <w:rFonts w:ascii="Garamond" w:hAnsi="Garamond"/>
          <w:sz w:val="24"/>
          <w:szCs w:val="24"/>
        </w:rPr>
        <w:t>”</w:t>
      </w:r>
      <w:r w:rsidRPr="00BD6C39">
        <w:rPr>
          <w:rFonts w:ascii="Garamond" w:hAnsi="Garamond"/>
          <w:sz w:val="24"/>
          <w:szCs w:val="24"/>
        </w:rPr>
        <w:t xml:space="preserve"> sh.a. dhe Sekretariatin e Komunitetit të Energjisë, lidhur me vendimin e </w:t>
      </w:r>
      <w:r w:rsidR="00BD6C39" w:rsidRPr="00BD6C39">
        <w:rPr>
          <w:rFonts w:ascii="Garamond" w:hAnsi="Garamond"/>
          <w:sz w:val="24"/>
          <w:szCs w:val="24"/>
        </w:rPr>
        <w:t xml:space="preserve">Bordit </w:t>
      </w:r>
      <w:r w:rsidRPr="00BD6C39">
        <w:rPr>
          <w:rFonts w:ascii="Garamond" w:hAnsi="Garamond"/>
          <w:sz w:val="24"/>
          <w:szCs w:val="24"/>
        </w:rPr>
        <w:t>të ERE-s.</w:t>
      </w:r>
    </w:p>
    <w:p w14:paraId="35744225" w14:textId="77777777" w:rsidR="00FC7D5C" w:rsidRPr="00BD6C39" w:rsidRDefault="00FC7D5C" w:rsidP="003F2DEF">
      <w:pPr>
        <w:spacing w:after="0" w:line="240" w:lineRule="auto"/>
        <w:ind w:firstLine="288"/>
        <w:jc w:val="both"/>
        <w:rPr>
          <w:rFonts w:ascii="Garamond" w:hAnsi="Garamond"/>
          <w:sz w:val="24"/>
          <w:szCs w:val="24"/>
        </w:rPr>
      </w:pPr>
      <w:r w:rsidRPr="00BD6C39">
        <w:rPr>
          <w:rFonts w:ascii="Garamond" w:hAnsi="Garamond"/>
          <w:sz w:val="24"/>
          <w:szCs w:val="24"/>
        </w:rPr>
        <w:t>Ky vendim hyn në fuqi pas botimit në Fletoren Zyrtare.</w:t>
      </w:r>
    </w:p>
    <w:p w14:paraId="481A4E0C" w14:textId="7EE662BF" w:rsidR="00FC7D5C" w:rsidRPr="00BD6C39" w:rsidRDefault="00FC7D5C" w:rsidP="003F2DEF">
      <w:pPr>
        <w:spacing w:after="0" w:line="240" w:lineRule="auto"/>
        <w:ind w:firstLine="288"/>
        <w:jc w:val="both"/>
        <w:rPr>
          <w:rFonts w:ascii="Garamond" w:hAnsi="Garamond"/>
          <w:sz w:val="24"/>
          <w:szCs w:val="24"/>
        </w:rPr>
      </w:pPr>
      <w:r w:rsidRPr="00BD6C39">
        <w:rPr>
          <w:rFonts w:ascii="Garamond" w:hAnsi="Garamond"/>
          <w:sz w:val="24"/>
          <w:szCs w:val="24"/>
        </w:rPr>
        <w:t xml:space="preserve">Çdo palë e përfshirë në këtë procedurë mund t’i kërkojë ERE-s, brenda 7 ditëve kalendarike nga data e marrjes dijeni, rishikimin e vendimit të </w:t>
      </w:r>
      <w:r w:rsidR="00BD6C39" w:rsidRPr="00BD6C39">
        <w:rPr>
          <w:rFonts w:ascii="Garamond" w:hAnsi="Garamond"/>
          <w:sz w:val="24"/>
          <w:szCs w:val="24"/>
        </w:rPr>
        <w:t xml:space="preserve">Bordit </w:t>
      </w:r>
      <w:r w:rsidRPr="00BD6C39">
        <w:rPr>
          <w:rFonts w:ascii="Garamond" w:hAnsi="Garamond"/>
          <w:sz w:val="24"/>
          <w:szCs w:val="24"/>
        </w:rPr>
        <w:t xml:space="preserve">në rast se ka siguruar prova të reja që mund ta çojnë </w:t>
      </w:r>
      <w:r w:rsidR="00BD6C39" w:rsidRPr="00BD6C39">
        <w:rPr>
          <w:rFonts w:ascii="Garamond" w:hAnsi="Garamond"/>
          <w:sz w:val="24"/>
          <w:szCs w:val="24"/>
        </w:rPr>
        <w:t xml:space="preserve">Bordin </w:t>
      </w:r>
      <w:r w:rsidRPr="00BD6C39">
        <w:rPr>
          <w:rFonts w:ascii="Garamond" w:hAnsi="Garamond"/>
          <w:sz w:val="24"/>
          <w:szCs w:val="24"/>
        </w:rPr>
        <w:t>në marrjen e një vendimi të ndryshëm nga i mëparshmi apo për gabime materiale të konstatuara. Për këtë vendim mund të bëhet ankim në Gjykatën Administrative Tiranë, brenda 30 ditëve kalendarike nga dita e publikimit në Fletoren Zyrtare.</w:t>
      </w:r>
    </w:p>
    <w:p w14:paraId="3430FC93" w14:textId="77777777" w:rsidR="00FC7D5C" w:rsidRPr="00BD6C39" w:rsidRDefault="00FC7D5C" w:rsidP="003F2DEF">
      <w:pPr>
        <w:spacing w:after="0" w:line="240" w:lineRule="auto"/>
        <w:ind w:firstLine="288"/>
        <w:jc w:val="both"/>
        <w:rPr>
          <w:rFonts w:ascii="Garamond" w:hAnsi="Garamond"/>
          <w:sz w:val="24"/>
          <w:szCs w:val="24"/>
        </w:rPr>
      </w:pPr>
      <w:r w:rsidRPr="00BD6C39">
        <w:rPr>
          <w:rFonts w:ascii="Garamond" w:hAnsi="Garamond"/>
          <w:sz w:val="24"/>
          <w:szCs w:val="24"/>
        </w:rPr>
        <w:t>Ky vendim botohet në Fletoren Zyrtare.</w:t>
      </w:r>
    </w:p>
    <w:p w14:paraId="72B0919B" w14:textId="77777777" w:rsidR="00FC7D5C" w:rsidRPr="00BD6C39" w:rsidRDefault="00FC7D5C" w:rsidP="0076583B">
      <w:pPr>
        <w:spacing w:after="0" w:line="240" w:lineRule="auto"/>
        <w:rPr>
          <w:rFonts w:ascii="Garamond" w:hAnsi="Garamond"/>
          <w:sz w:val="24"/>
          <w:szCs w:val="24"/>
        </w:rPr>
      </w:pPr>
    </w:p>
    <w:p w14:paraId="7ACEEE2D" w14:textId="44C80EEA" w:rsidR="00FC7D5C" w:rsidRPr="00BD6C39" w:rsidRDefault="00FC7D5C" w:rsidP="0076583B">
      <w:pPr>
        <w:tabs>
          <w:tab w:val="left" w:pos="7620"/>
        </w:tabs>
        <w:spacing w:after="0" w:line="240" w:lineRule="auto"/>
        <w:jc w:val="right"/>
        <w:rPr>
          <w:rFonts w:ascii="Garamond" w:hAnsi="Garamond"/>
          <w:bCs/>
          <w:sz w:val="24"/>
          <w:szCs w:val="24"/>
        </w:rPr>
      </w:pPr>
      <w:r w:rsidRPr="00BD6C39">
        <w:rPr>
          <w:rFonts w:ascii="Garamond" w:hAnsi="Garamond"/>
          <w:bCs/>
          <w:sz w:val="24"/>
          <w:szCs w:val="24"/>
        </w:rPr>
        <w:t>KRYETAR</w:t>
      </w:r>
    </w:p>
    <w:p w14:paraId="6F9432C0" w14:textId="165A525E" w:rsidR="00FC7D5C" w:rsidRPr="00BD6C39" w:rsidRDefault="00FC7D5C" w:rsidP="0076583B">
      <w:pPr>
        <w:tabs>
          <w:tab w:val="left" w:pos="7620"/>
        </w:tabs>
        <w:spacing w:after="0" w:line="240" w:lineRule="auto"/>
        <w:jc w:val="right"/>
        <w:rPr>
          <w:rFonts w:ascii="Garamond" w:hAnsi="Garamond"/>
          <w:b/>
          <w:bCs/>
          <w:sz w:val="24"/>
          <w:szCs w:val="24"/>
        </w:rPr>
      </w:pPr>
      <w:r w:rsidRPr="00BD6C39">
        <w:rPr>
          <w:rFonts w:ascii="Garamond" w:hAnsi="Garamond"/>
          <w:b/>
          <w:bCs/>
          <w:sz w:val="24"/>
          <w:szCs w:val="24"/>
        </w:rPr>
        <w:t xml:space="preserve">Petrit </w:t>
      </w:r>
      <w:r w:rsidR="0076583B" w:rsidRPr="00BD6C39">
        <w:rPr>
          <w:rFonts w:ascii="Garamond" w:hAnsi="Garamond"/>
          <w:b/>
          <w:bCs/>
          <w:sz w:val="24"/>
          <w:szCs w:val="24"/>
        </w:rPr>
        <w:t>Ahmeti</w:t>
      </w:r>
    </w:p>
    <w:p w14:paraId="236BDA13" w14:textId="77777777" w:rsidR="00FC7D5C" w:rsidRPr="00BD6C39" w:rsidRDefault="00FC7D5C" w:rsidP="0076583B">
      <w:pPr>
        <w:spacing w:after="0" w:line="240" w:lineRule="auto"/>
        <w:jc w:val="right"/>
        <w:rPr>
          <w:rFonts w:ascii="Garamond" w:hAnsi="Garamond"/>
          <w:b/>
          <w:bCs/>
          <w:sz w:val="24"/>
          <w:szCs w:val="24"/>
        </w:rPr>
      </w:pPr>
    </w:p>
    <w:p w14:paraId="296D0410" w14:textId="77777777" w:rsidR="007F6030" w:rsidRPr="00BD6C39" w:rsidRDefault="007F6030" w:rsidP="007F6030">
      <w:pPr>
        <w:ind w:firstLine="284"/>
        <w:jc w:val="center"/>
        <w:rPr>
          <w:rFonts w:ascii="Garamond" w:hAnsi="Garamond"/>
          <w:b/>
          <w:bCs/>
        </w:rPr>
      </w:pPr>
    </w:p>
    <w:p w14:paraId="5641A989" w14:textId="689C54DA" w:rsidR="007F6030" w:rsidRPr="00BD6C39" w:rsidRDefault="007F6030" w:rsidP="007F6030">
      <w:pPr>
        <w:spacing w:after="0" w:line="240" w:lineRule="auto"/>
        <w:ind w:firstLine="284"/>
        <w:jc w:val="center"/>
        <w:rPr>
          <w:rFonts w:ascii="Garamond" w:hAnsi="Garamond"/>
          <w:bCs/>
          <w:sz w:val="24"/>
          <w:szCs w:val="24"/>
        </w:rPr>
      </w:pPr>
      <w:r w:rsidRPr="00BD6C39">
        <w:rPr>
          <w:rFonts w:ascii="Garamond" w:hAnsi="Garamond"/>
          <w:bCs/>
          <w:sz w:val="24"/>
          <w:szCs w:val="24"/>
        </w:rPr>
        <w:lastRenderedPageBreak/>
        <w:t>METODOLOGJIA PËR VLERËSIMIN E GATISHMËRISË SË</w:t>
      </w:r>
      <w:r w:rsidR="00514A36" w:rsidRPr="00BD6C39">
        <w:rPr>
          <w:rFonts w:ascii="Garamond" w:hAnsi="Garamond"/>
          <w:bCs/>
          <w:sz w:val="24"/>
          <w:szCs w:val="24"/>
        </w:rPr>
        <w:t xml:space="preserve"> </w:t>
      </w:r>
      <w:r w:rsidRPr="00BD6C39">
        <w:rPr>
          <w:rFonts w:ascii="Garamond" w:hAnsi="Garamond"/>
          <w:bCs/>
          <w:sz w:val="24"/>
          <w:szCs w:val="24"/>
        </w:rPr>
        <w:t>TREGUT SHQIPTAR TË ENERGJIS</w:t>
      </w:r>
      <w:r w:rsidR="00ED76AE" w:rsidRPr="00BD6C39">
        <w:rPr>
          <w:rFonts w:ascii="Garamond" w:hAnsi="Garamond"/>
          <w:bCs/>
          <w:sz w:val="24"/>
          <w:szCs w:val="24"/>
        </w:rPr>
        <w:t>Ë</w:t>
      </w:r>
      <w:r w:rsidRPr="00BD6C39">
        <w:rPr>
          <w:rFonts w:ascii="Garamond" w:hAnsi="Garamond"/>
          <w:bCs/>
          <w:sz w:val="24"/>
          <w:szCs w:val="24"/>
        </w:rPr>
        <w:t xml:space="preserve"> ELEKTRIKE TË DITËS NË AVANCË</w:t>
      </w:r>
    </w:p>
    <w:p w14:paraId="3011D0CD" w14:textId="77777777" w:rsidR="007F6030" w:rsidRPr="00BD6C39" w:rsidRDefault="007F6030" w:rsidP="007F6030">
      <w:pPr>
        <w:spacing w:after="0" w:line="240" w:lineRule="auto"/>
        <w:ind w:firstLine="284"/>
        <w:jc w:val="center"/>
        <w:rPr>
          <w:rFonts w:ascii="Garamond" w:hAnsi="Garamond"/>
          <w:sz w:val="24"/>
          <w:szCs w:val="24"/>
        </w:rPr>
      </w:pPr>
    </w:p>
    <w:p w14:paraId="36840EC2" w14:textId="77777777" w:rsidR="007F6030" w:rsidRPr="00BD6C39" w:rsidRDefault="007F6030" w:rsidP="007F6030">
      <w:pPr>
        <w:spacing w:after="0" w:line="240" w:lineRule="auto"/>
        <w:ind w:firstLine="284"/>
        <w:jc w:val="center"/>
        <w:rPr>
          <w:rFonts w:ascii="Garamond" w:hAnsi="Garamond"/>
          <w:sz w:val="24"/>
          <w:szCs w:val="24"/>
        </w:rPr>
      </w:pPr>
      <w:r w:rsidRPr="00BD6C39">
        <w:rPr>
          <w:rFonts w:ascii="Garamond" w:hAnsi="Garamond"/>
          <w:sz w:val="24"/>
          <w:szCs w:val="24"/>
        </w:rPr>
        <w:t>PJESA I</w:t>
      </w:r>
    </w:p>
    <w:p w14:paraId="0336EA7E" w14:textId="77777777" w:rsidR="007F6030" w:rsidRPr="00BD6C39" w:rsidRDefault="007F6030" w:rsidP="007F6030">
      <w:pPr>
        <w:spacing w:after="0" w:line="240" w:lineRule="auto"/>
        <w:ind w:firstLine="284"/>
        <w:jc w:val="center"/>
        <w:rPr>
          <w:rFonts w:ascii="Garamond" w:hAnsi="Garamond"/>
          <w:sz w:val="24"/>
          <w:szCs w:val="24"/>
        </w:rPr>
      </w:pPr>
      <w:r w:rsidRPr="00BD6C39">
        <w:rPr>
          <w:rFonts w:ascii="Garamond" w:hAnsi="Garamond"/>
          <w:sz w:val="24"/>
          <w:szCs w:val="24"/>
        </w:rPr>
        <w:t>DISPOZITA TË PËRGJITHSHME</w:t>
      </w:r>
    </w:p>
    <w:p w14:paraId="6CCE9839" w14:textId="77777777" w:rsidR="007F6030" w:rsidRPr="00BD6C39" w:rsidRDefault="007F6030" w:rsidP="007F6030">
      <w:pPr>
        <w:spacing w:after="0" w:line="240" w:lineRule="auto"/>
        <w:ind w:firstLine="284"/>
        <w:jc w:val="center"/>
        <w:rPr>
          <w:rFonts w:ascii="Garamond" w:hAnsi="Garamond"/>
          <w:b/>
          <w:sz w:val="24"/>
          <w:szCs w:val="24"/>
        </w:rPr>
      </w:pPr>
    </w:p>
    <w:p w14:paraId="4CB2A23E" w14:textId="77777777" w:rsidR="007F6030" w:rsidRPr="00BD6C39" w:rsidRDefault="007F6030" w:rsidP="007F6030">
      <w:pPr>
        <w:spacing w:after="0" w:line="240" w:lineRule="auto"/>
        <w:ind w:firstLine="284"/>
        <w:jc w:val="center"/>
        <w:rPr>
          <w:rFonts w:ascii="Garamond" w:hAnsi="Garamond"/>
          <w:sz w:val="24"/>
          <w:szCs w:val="24"/>
        </w:rPr>
      </w:pPr>
      <w:r w:rsidRPr="00BD6C39">
        <w:rPr>
          <w:rFonts w:ascii="Garamond" w:hAnsi="Garamond"/>
          <w:sz w:val="24"/>
          <w:szCs w:val="24"/>
        </w:rPr>
        <w:t>Neni 1</w:t>
      </w:r>
    </w:p>
    <w:p w14:paraId="7C0705B4" w14:textId="77777777" w:rsidR="007F6030" w:rsidRPr="00BD6C39" w:rsidRDefault="007F6030" w:rsidP="007F6030">
      <w:pPr>
        <w:spacing w:after="0" w:line="240" w:lineRule="auto"/>
        <w:ind w:firstLine="284"/>
        <w:jc w:val="center"/>
        <w:rPr>
          <w:rFonts w:ascii="Garamond" w:hAnsi="Garamond"/>
          <w:b/>
          <w:sz w:val="24"/>
          <w:szCs w:val="24"/>
        </w:rPr>
      </w:pPr>
      <w:r w:rsidRPr="00BD6C39">
        <w:rPr>
          <w:rFonts w:ascii="Garamond" w:hAnsi="Garamond"/>
          <w:b/>
          <w:sz w:val="24"/>
          <w:szCs w:val="24"/>
        </w:rPr>
        <w:t>Qëllimi</w:t>
      </w:r>
    </w:p>
    <w:p w14:paraId="3472BAC9" w14:textId="77777777" w:rsidR="007F6030" w:rsidRPr="00BD6C39" w:rsidRDefault="007F6030" w:rsidP="007F6030">
      <w:pPr>
        <w:spacing w:after="0" w:line="240" w:lineRule="auto"/>
        <w:ind w:firstLine="284"/>
        <w:jc w:val="both"/>
        <w:rPr>
          <w:rFonts w:ascii="Garamond" w:hAnsi="Garamond"/>
          <w:b/>
          <w:sz w:val="24"/>
          <w:szCs w:val="24"/>
        </w:rPr>
      </w:pPr>
    </w:p>
    <w:p w14:paraId="3074762E" w14:textId="676745E0" w:rsidR="007F6030" w:rsidRPr="00BD6C39" w:rsidRDefault="007F6030" w:rsidP="007F6030">
      <w:pPr>
        <w:ind w:firstLine="284"/>
        <w:jc w:val="both"/>
        <w:rPr>
          <w:rFonts w:ascii="Garamond" w:hAnsi="Garamond"/>
        </w:rPr>
      </w:pPr>
      <w:r w:rsidRPr="00BD6C39">
        <w:rPr>
          <w:rFonts w:ascii="Garamond" w:hAnsi="Garamond"/>
          <w:sz w:val="24"/>
          <w:szCs w:val="24"/>
        </w:rPr>
        <w:t>Kjo metodologji përcakton parimet dhe treguesit të cilët do të merren në konsideratë nga ERE për vlerësimin e gatishmërisë së tregut të ditës në avancë të energjisë elektrike, mbështetur në përcaktimet e ligjit nr. 24/2023</w:t>
      </w:r>
      <w:r w:rsidR="00BD6C39">
        <w:rPr>
          <w:rFonts w:ascii="Garamond" w:hAnsi="Garamond"/>
          <w:sz w:val="24"/>
          <w:szCs w:val="24"/>
        </w:rPr>
        <w:t>,</w:t>
      </w:r>
      <w:r w:rsidRPr="00BD6C39">
        <w:rPr>
          <w:rFonts w:ascii="Garamond" w:hAnsi="Garamond"/>
          <w:sz w:val="24"/>
          <w:szCs w:val="24"/>
        </w:rPr>
        <w:t xml:space="preserve"> “</w:t>
      </w:r>
      <w:r w:rsidRPr="00BD6C39">
        <w:rPr>
          <w:rFonts w:ascii="Garamond" w:hAnsi="Garamond"/>
          <w:iCs/>
          <w:sz w:val="24"/>
          <w:szCs w:val="24"/>
        </w:rPr>
        <w:t>Për nxitjen e përdorimit të energjisë nga burimet e rinovueshme”</w:t>
      </w:r>
      <w:r w:rsidRPr="00BD6C39">
        <w:rPr>
          <w:rFonts w:ascii="Garamond" w:hAnsi="Garamond"/>
          <w:sz w:val="24"/>
          <w:szCs w:val="24"/>
        </w:rPr>
        <w:t>.</w:t>
      </w:r>
      <w:r w:rsidR="00514A36" w:rsidRPr="00BD6C39">
        <w:rPr>
          <w:rFonts w:ascii="Garamond" w:hAnsi="Garamond"/>
          <w:sz w:val="24"/>
          <w:szCs w:val="24"/>
        </w:rPr>
        <w:t xml:space="preserve"> </w:t>
      </w:r>
    </w:p>
    <w:p w14:paraId="7EE68F49" w14:textId="77777777" w:rsidR="007F6030" w:rsidRPr="00BD6C39" w:rsidRDefault="007F6030" w:rsidP="007F6030">
      <w:pPr>
        <w:spacing w:after="0" w:line="240" w:lineRule="auto"/>
        <w:ind w:firstLine="284"/>
        <w:jc w:val="both"/>
        <w:rPr>
          <w:rFonts w:ascii="Garamond" w:hAnsi="Garamond"/>
          <w:b/>
          <w:sz w:val="24"/>
          <w:szCs w:val="24"/>
        </w:rPr>
      </w:pPr>
    </w:p>
    <w:p w14:paraId="6E13D5C8" w14:textId="77777777" w:rsidR="007F6030" w:rsidRPr="00BD6C39" w:rsidRDefault="007F6030" w:rsidP="007F6030">
      <w:pPr>
        <w:spacing w:after="0" w:line="240" w:lineRule="auto"/>
        <w:ind w:firstLine="284"/>
        <w:jc w:val="center"/>
        <w:rPr>
          <w:rFonts w:ascii="Garamond" w:hAnsi="Garamond"/>
          <w:sz w:val="24"/>
          <w:szCs w:val="24"/>
        </w:rPr>
      </w:pPr>
      <w:r w:rsidRPr="00BD6C39">
        <w:rPr>
          <w:rFonts w:ascii="Garamond" w:hAnsi="Garamond"/>
          <w:sz w:val="24"/>
          <w:szCs w:val="24"/>
        </w:rPr>
        <w:t>Neni 2</w:t>
      </w:r>
    </w:p>
    <w:p w14:paraId="09FD5A03" w14:textId="77777777" w:rsidR="007F6030" w:rsidRPr="00BD6C39" w:rsidRDefault="007F6030" w:rsidP="007F6030">
      <w:pPr>
        <w:spacing w:after="0" w:line="240" w:lineRule="auto"/>
        <w:ind w:firstLine="284"/>
        <w:jc w:val="center"/>
        <w:rPr>
          <w:rFonts w:ascii="Garamond" w:hAnsi="Garamond"/>
          <w:b/>
          <w:sz w:val="24"/>
          <w:szCs w:val="24"/>
        </w:rPr>
      </w:pPr>
      <w:r w:rsidRPr="00BD6C39">
        <w:rPr>
          <w:rFonts w:ascii="Garamond" w:hAnsi="Garamond"/>
          <w:b/>
          <w:sz w:val="24"/>
          <w:szCs w:val="24"/>
        </w:rPr>
        <w:t>Baza ligjore</w:t>
      </w:r>
    </w:p>
    <w:p w14:paraId="5772DE69" w14:textId="77777777" w:rsidR="007F6030" w:rsidRPr="00BD6C39" w:rsidRDefault="007F6030" w:rsidP="007F6030">
      <w:pPr>
        <w:spacing w:after="0" w:line="240" w:lineRule="auto"/>
        <w:ind w:firstLine="284"/>
        <w:jc w:val="center"/>
        <w:rPr>
          <w:rFonts w:ascii="Garamond" w:hAnsi="Garamond"/>
          <w:b/>
          <w:sz w:val="24"/>
          <w:szCs w:val="24"/>
        </w:rPr>
      </w:pPr>
    </w:p>
    <w:p w14:paraId="6CCB3A42" w14:textId="25E3BE5D" w:rsidR="007F6030" w:rsidRPr="00BD6C39" w:rsidRDefault="007F6030" w:rsidP="007F6030">
      <w:pPr>
        <w:spacing w:after="0" w:line="240" w:lineRule="auto"/>
        <w:ind w:firstLine="284"/>
        <w:jc w:val="both"/>
        <w:rPr>
          <w:rStyle w:val="y2iqfc"/>
          <w:rFonts w:ascii="Garamond" w:hAnsi="Garamond"/>
          <w:color w:val="202124"/>
          <w:sz w:val="24"/>
          <w:szCs w:val="24"/>
        </w:rPr>
      </w:pPr>
      <w:r w:rsidRPr="00BD6C39">
        <w:rPr>
          <w:rFonts w:ascii="Garamond" w:hAnsi="Garamond"/>
          <w:sz w:val="24"/>
          <w:szCs w:val="24"/>
        </w:rPr>
        <w:t>Kjo metodologji hartohet në mbështetje të pikës 5</w:t>
      </w:r>
      <w:r w:rsidR="00BD6C39">
        <w:rPr>
          <w:rFonts w:ascii="Garamond" w:hAnsi="Garamond"/>
          <w:sz w:val="24"/>
          <w:szCs w:val="24"/>
        </w:rPr>
        <w:t>,</w:t>
      </w:r>
      <w:r w:rsidRPr="00BD6C39">
        <w:rPr>
          <w:rFonts w:ascii="Garamond" w:hAnsi="Garamond"/>
          <w:sz w:val="24"/>
          <w:szCs w:val="24"/>
        </w:rPr>
        <w:t xml:space="preserve"> të nenit 30</w:t>
      </w:r>
      <w:r w:rsidR="00BD6C39">
        <w:rPr>
          <w:rFonts w:ascii="Garamond" w:hAnsi="Garamond"/>
          <w:sz w:val="24"/>
          <w:szCs w:val="24"/>
        </w:rPr>
        <w:t>,</w:t>
      </w:r>
      <w:r w:rsidRPr="00BD6C39">
        <w:rPr>
          <w:rFonts w:ascii="Garamond" w:hAnsi="Garamond"/>
          <w:sz w:val="24"/>
          <w:szCs w:val="24"/>
        </w:rPr>
        <w:t xml:space="preserve"> të ligjit nr. 24/2023 </w:t>
      </w:r>
      <w:bookmarkStart w:id="1" w:name="_Hlk152320231"/>
      <w:r w:rsidRPr="00BD6C39">
        <w:rPr>
          <w:rFonts w:ascii="Garamond" w:hAnsi="Garamond"/>
          <w:iCs/>
          <w:sz w:val="24"/>
          <w:szCs w:val="24"/>
        </w:rPr>
        <w:t>“Për nxitjen e përdorimit të energjisë nga burimet e rinovueshme”</w:t>
      </w:r>
      <w:bookmarkEnd w:id="1"/>
      <w:r w:rsidR="00BD6C39">
        <w:rPr>
          <w:rFonts w:ascii="Garamond" w:hAnsi="Garamond"/>
          <w:iCs/>
          <w:sz w:val="24"/>
          <w:szCs w:val="24"/>
        </w:rPr>
        <w:t>,</w:t>
      </w:r>
      <w:r w:rsidRPr="00BD6C39">
        <w:rPr>
          <w:rFonts w:ascii="Garamond" w:hAnsi="Garamond"/>
          <w:sz w:val="24"/>
          <w:szCs w:val="24"/>
        </w:rPr>
        <w:t xml:space="preserve"> si dhe neneve 18, pika 1, </w:t>
      </w:r>
      <w:r w:rsidR="00BD6C39" w:rsidRPr="00BD6C39">
        <w:rPr>
          <w:rFonts w:ascii="Garamond" w:hAnsi="Garamond"/>
          <w:sz w:val="24"/>
          <w:szCs w:val="24"/>
        </w:rPr>
        <w:t>germa</w:t>
      </w:r>
      <w:r w:rsidRPr="00BD6C39">
        <w:rPr>
          <w:rFonts w:ascii="Garamond" w:hAnsi="Garamond"/>
          <w:sz w:val="24"/>
          <w:szCs w:val="24"/>
        </w:rPr>
        <w:t xml:space="preserve"> “a” dhe 20, </w:t>
      </w:r>
      <w:r w:rsidR="00BD6C39" w:rsidRPr="00BD6C39">
        <w:rPr>
          <w:rFonts w:ascii="Garamond" w:hAnsi="Garamond"/>
          <w:sz w:val="24"/>
          <w:szCs w:val="24"/>
        </w:rPr>
        <w:t>germa</w:t>
      </w:r>
      <w:r w:rsidRPr="00BD6C39">
        <w:rPr>
          <w:rFonts w:ascii="Garamond" w:hAnsi="Garamond"/>
          <w:sz w:val="24"/>
          <w:szCs w:val="24"/>
        </w:rPr>
        <w:t xml:space="preserve"> “ç”</w:t>
      </w:r>
      <w:r w:rsidR="00BD6C39">
        <w:rPr>
          <w:rFonts w:ascii="Garamond" w:hAnsi="Garamond"/>
          <w:sz w:val="24"/>
          <w:szCs w:val="24"/>
        </w:rPr>
        <w:t>,</w:t>
      </w:r>
      <w:r w:rsidRPr="00BD6C39">
        <w:rPr>
          <w:rFonts w:ascii="Garamond" w:hAnsi="Garamond"/>
          <w:sz w:val="24"/>
          <w:szCs w:val="24"/>
        </w:rPr>
        <w:t xml:space="preserve"> të ligjit nr. 43/2015</w:t>
      </w:r>
      <w:r w:rsidR="00BD6C39">
        <w:rPr>
          <w:rFonts w:ascii="Garamond" w:hAnsi="Garamond"/>
          <w:sz w:val="24"/>
          <w:szCs w:val="24"/>
        </w:rPr>
        <w:t>,</w:t>
      </w:r>
      <w:r w:rsidRPr="00BD6C39">
        <w:rPr>
          <w:rFonts w:ascii="Garamond" w:hAnsi="Garamond"/>
          <w:sz w:val="24"/>
          <w:szCs w:val="24"/>
        </w:rPr>
        <w:t xml:space="preserve"> </w:t>
      </w:r>
      <w:r w:rsidRPr="00BD6C39">
        <w:rPr>
          <w:rFonts w:ascii="Garamond" w:hAnsi="Garamond"/>
          <w:iCs/>
          <w:sz w:val="24"/>
          <w:szCs w:val="24"/>
        </w:rPr>
        <w:t>“Për sektorin e energjisë elektrike”,</w:t>
      </w:r>
      <w:r w:rsidRPr="00BD6C39">
        <w:rPr>
          <w:rFonts w:ascii="Garamond" w:hAnsi="Garamond"/>
          <w:sz w:val="24"/>
          <w:szCs w:val="24"/>
        </w:rPr>
        <w:t xml:space="preserve"> </w:t>
      </w:r>
      <w:r w:rsidR="00BD6C39" w:rsidRPr="00BD6C39">
        <w:rPr>
          <w:rFonts w:ascii="Garamond" w:hAnsi="Garamond"/>
          <w:sz w:val="24"/>
          <w:szCs w:val="24"/>
        </w:rPr>
        <w:t>të</w:t>
      </w:r>
      <w:r w:rsidRPr="00BD6C39">
        <w:rPr>
          <w:rFonts w:ascii="Garamond" w:hAnsi="Garamond"/>
          <w:sz w:val="24"/>
          <w:szCs w:val="24"/>
        </w:rPr>
        <w:t xml:space="preserve"> ndryshuar. </w:t>
      </w:r>
    </w:p>
    <w:p w14:paraId="4B86E731" w14:textId="77777777" w:rsidR="007F6030" w:rsidRPr="00BD6C39" w:rsidRDefault="007F6030" w:rsidP="007F6030">
      <w:pPr>
        <w:pStyle w:val="HTMLPreformatted"/>
        <w:ind w:firstLine="284"/>
        <w:rPr>
          <w:rStyle w:val="y2iqfc"/>
          <w:rFonts w:ascii="Garamond" w:hAnsi="Garamond" w:cs="Times New Roman"/>
          <w:b/>
          <w:color w:val="202124"/>
          <w:sz w:val="24"/>
          <w:szCs w:val="24"/>
        </w:rPr>
      </w:pPr>
    </w:p>
    <w:p w14:paraId="11602E53" w14:textId="77777777" w:rsidR="007F6030" w:rsidRPr="00BD6C39" w:rsidRDefault="007F6030" w:rsidP="007F6030">
      <w:pPr>
        <w:pStyle w:val="HTMLPreformatted"/>
        <w:ind w:firstLine="284"/>
        <w:jc w:val="center"/>
        <w:rPr>
          <w:rStyle w:val="y2iqfc"/>
          <w:rFonts w:ascii="Garamond" w:hAnsi="Garamond" w:cs="Times New Roman"/>
          <w:color w:val="202124"/>
          <w:sz w:val="24"/>
          <w:szCs w:val="24"/>
        </w:rPr>
      </w:pPr>
      <w:r w:rsidRPr="00BD6C39">
        <w:rPr>
          <w:rStyle w:val="y2iqfc"/>
          <w:rFonts w:ascii="Garamond" w:hAnsi="Garamond" w:cs="Times New Roman"/>
          <w:color w:val="202124"/>
          <w:sz w:val="24"/>
          <w:szCs w:val="24"/>
        </w:rPr>
        <w:t>Neni 3</w:t>
      </w:r>
    </w:p>
    <w:p w14:paraId="31DDF2BB" w14:textId="77777777" w:rsidR="007F6030" w:rsidRPr="00BD6C39" w:rsidRDefault="007F6030" w:rsidP="007F6030">
      <w:pPr>
        <w:pStyle w:val="HTMLPreformatted"/>
        <w:ind w:firstLine="284"/>
        <w:jc w:val="center"/>
        <w:rPr>
          <w:rStyle w:val="y2iqfc"/>
          <w:rFonts w:ascii="Garamond" w:hAnsi="Garamond" w:cs="Times New Roman"/>
          <w:b/>
          <w:color w:val="202124"/>
          <w:sz w:val="24"/>
          <w:szCs w:val="24"/>
        </w:rPr>
      </w:pPr>
      <w:r w:rsidRPr="00BD6C39">
        <w:rPr>
          <w:rStyle w:val="y2iqfc"/>
          <w:rFonts w:ascii="Garamond" w:hAnsi="Garamond" w:cs="Times New Roman"/>
          <w:b/>
          <w:color w:val="202124"/>
          <w:sz w:val="24"/>
          <w:szCs w:val="24"/>
        </w:rPr>
        <w:t>Përkufizime</w:t>
      </w:r>
    </w:p>
    <w:p w14:paraId="2AB5BBD6" w14:textId="77777777" w:rsidR="007F6030" w:rsidRPr="00BD6C39" w:rsidRDefault="007F6030" w:rsidP="007F6030">
      <w:pPr>
        <w:pStyle w:val="HTMLPreformatted"/>
        <w:ind w:firstLine="284"/>
        <w:jc w:val="both"/>
        <w:rPr>
          <w:rStyle w:val="y2iqfc"/>
          <w:rFonts w:ascii="Garamond" w:hAnsi="Garamond" w:cs="Times New Roman"/>
          <w:b/>
          <w:color w:val="202124"/>
          <w:sz w:val="24"/>
          <w:szCs w:val="24"/>
        </w:rPr>
      </w:pPr>
    </w:p>
    <w:p w14:paraId="18F3DAA9" w14:textId="77777777" w:rsidR="007F6030" w:rsidRPr="00BD6C39" w:rsidRDefault="007F6030" w:rsidP="007F6030">
      <w:pPr>
        <w:tabs>
          <w:tab w:val="left" w:pos="400"/>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b/>
          <w:bCs/>
          <w:color w:val="202124"/>
          <w:sz w:val="24"/>
          <w:szCs w:val="24"/>
        </w:rPr>
      </w:pPr>
      <w:bookmarkStart w:id="2" w:name="_Hlk154485259"/>
      <w:r w:rsidRPr="00BD6C39">
        <w:rPr>
          <w:rFonts w:ascii="Garamond" w:hAnsi="Garamond"/>
          <w:color w:val="202124"/>
          <w:sz w:val="24"/>
          <w:szCs w:val="24"/>
        </w:rPr>
        <w:t>1.</w:t>
      </w:r>
      <w:r w:rsidRPr="00BD6C39">
        <w:rPr>
          <w:rFonts w:ascii="Garamond" w:hAnsi="Garamond"/>
          <w:color w:val="202124"/>
        </w:rPr>
        <w:t xml:space="preserve"> </w:t>
      </w:r>
      <w:r w:rsidRPr="00BD6C39">
        <w:rPr>
          <w:rFonts w:ascii="Garamond" w:hAnsi="Garamond"/>
          <w:color w:val="202124"/>
          <w:sz w:val="24"/>
          <w:szCs w:val="24"/>
        </w:rPr>
        <w:t xml:space="preserve">Në këtë metodologji termat e mëposhtëm kanë këtë kuptim: </w:t>
      </w:r>
    </w:p>
    <w:p w14:paraId="5E1837AB" w14:textId="087E2CE9" w:rsidR="007F6030" w:rsidRPr="00BD6C39" w:rsidRDefault="007F6030" w:rsidP="007F6030">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olor w:val="202124"/>
          <w:sz w:val="24"/>
          <w:szCs w:val="24"/>
        </w:rPr>
      </w:pPr>
      <w:r w:rsidRPr="00BD6C39">
        <w:rPr>
          <w:rFonts w:ascii="Garamond" w:hAnsi="Garamond"/>
          <w:color w:val="202124"/>
          <w:sz w:val="24"/>
          <w:szCs w:val="24"/>
        </w:rPr>
        <w:t>-</w:t>
      </w:r>
      <w:r w:rsidRPr="00BD6C39">
        <w:rPr>
          <w:rFonts w:ascii="Garamond" w:hAnsi="Garamond"/>
          <w:color w:val="202124"/>
        </w:rPr>
        <w:t xml:space="preserve"> </w:t>
      </w:r>
      <w:r w:rsidRPr="00AA149C">
        <w:rPr>
          <w:rFonts w:ascii="Garamond" w:hAnsi="Garamond"/>
          <w:bCs/>
          <w:color w:val="202124"/>
          <w:sz w:val="24"/>
          <w:szCs w:val="24"/>
        </w:rPr>
        <w:t>“</w:t>
      </w:r>
      <w:r w:rsidRPr="00BD6C39">
        <w:rPr>
          <w:rFonts w:ascii="Garamond" w:hAnsi="Garamond"/>
          <w:b/>
          <w:bCs/>
          <w:color w:val="202124"/>
          <w:sz w:val="24"/>
          <w:szCs w:val="24"/>
        </w:rPr>
        <w:t>Enti Rregullator i Energjisë</w:t>
      </w:r>
      <w:r w:rsidRPr="00AA149C">
        <w:rPr>
          <w:rFonts w:ascii="Garamond" w:hAnsi="Garamond"/>
          <w:bCs/>
          <w:color w:val="202124"/>
          <w:sz w:val="24"/>
          <w:szCs w:val="24"/>
        </w:rPr>
        <w:t>”</w:t>
      </w:r>
      <w:r w:rsidRPr="00BD6C39">
        <w:rPr>
          <w:rFonts w:ascii="Garamond" w:hAnsi="Garamond"/>
          <w:b/>
          <w:bCs/>
          <w:color w:val="202124"/>
          <w:sz w:val="24"/>
          <w:szCs w:val="24"/>
        </w:rPr>
        <w:t xml:space="preserve"> </w:t>
      </w:r>
      <w:r w:rsidRPr="00BD6C39">
        <w:rPr>
          <w:rFonts w:ascii="Garamond" w:hAnsi="Garamond"/>
          <w:color w:val="202124"/>
          <w:sz w:val="24"/>
          <w:szCs w:val="24"/>
        </w:rPr>
        <w:t>ose “</w:t>
      </w:r>
      <w:r w:rsidRPr="00BD6C39">
        <w:rPr>
          <w:rFonts w:ascii="Garamond" w:hAnsi="Garamond"/>
          <w:b/>
          <w:bCs/>
          <w:color w:val="202124"/>
          <w:sz w:val="24"/>
          <w:szCs w:val="24"/>
        </w:rPr>
        <w:t>ERE</w:t>
      </w:r>
      <w:r w:rsidRPr="00BD6C39">
        <w:rPr>
          <w:rFonts w:ascii="Garamond" w:hAnsi="Garamond"/>
          <w:color w:val="202124"/>
          <w:sz w:val="24"/>
          <w:szCs w:val="24"/>
        </w:rPr>
        <w:t>” është autoriteti rregullator i sektorit të energjisë elektrik</w:t>
      </w:r>
      <w:r w:rsidR="00AA149C">
        <w:rPr>
          <w:rFonts w:ascii="Garamond" w:hAnsi="Garamond"/>
          <w:color w:val="202124"/>
          <w:sz w:val="24"/>
          <w:szCs w:val="24"/>
        </w:rPr>
        <w:t>e dhe gazit natyror në Shqipëri;</w:t>
      </w:r>
    </w:p>
    <w:p w14:paraId="621C96C0" w14:textId="59AAB82A" w:rsidR="007F6030" w:rsidRPr="00BD6C39" w:rsidRDefault="007F6030" w:rsidP="007F6030">
      <w:pPr>
        <w:tabs>
          <w:tab w:val="left" w:pos="360"/>
        </w:tabs>
        <w:autoSpaceDE w:val="0"/>
        <w:autoSpaceDN w:val="0"/>
        <w:adjustRightInd w:val="0"/>
        <w:spacing w:after="0" w:line="240" w:lineRule="auto"/>
        <w:ind w:firstLine="284"/>
        <w:jc w:val="both"/>
        <w:rPr>
          <w:rFonts w:ascii="Garamond" w:hAnsi="Garamond"/>
          <w:color w:val="202124"/>
          <w:sz w:val="24"/>
          <w:szCs w:val="24"/>
        </w:rPr>
      </w:pPr>
      <w:r w:rsidRPr="00BD6C39">
        <w:rPr>
          <w:rFonts w:ascii="Garamond" w:hAnsi="Garamond"/>
          <w:color w:val="202124"/>
          <w:sz w:val="24"/>
          <w:szCs w:val="24"/>
        </w:rPr>
        <w:t>-</w:t>
      </w:r>
      <w:r w:rsidRPr="00BD6C39">
        <w:rPr>
          <w:rFonts w:ascii="Garamond" w:hAnsi="Garamond"/>
          <w:color w:val="202124"/>
        </w:rPr>
        <w:t xml:space="preserve"> </w:t>
      </w:r>
      <w:r w:rsidRPr="00AA149C">
        <w:rPr>
          <w:rFonts w:ascii="Garamond" w:hAnsi="Garamond"/>
          <w:bCs/>
          <w:color w:val="202124"/>
          <w:sz w:val="24"/>
          <w:szCs w:val="24"/>
        </w:rPr>
        <w:t>“</w:t>
      </w:r>
      <w:r w:rsidRPr="00BD6C39">
        <w:rPr>
          <w:rFonts w:ascii="Garamond" w:hAnsi="Garamond"/>
          <w:b/>
          <w:bCs/>
          <w:color w:val="202124"/>
          <w:sz w:val="24"/>
          <w:szCs w:val="24"/>
        </w:rPr>
        <w:t>Kontratë për diferencë</w:t>
      </w:r>
      <w:r w:rsidRPr="00AA149C">
        <w:rPr>
          <w:rFonts w:ascii="Garamond" w:hAnsi="Garamond"/>
          <w:bCs/>
          <w:color w:val="202124"/>
          <w:sz w:val="24"/>
          <w:szCs w:val="24"/>
        </w:rPr>
        <w:t>”</w:t>
      </w:r>
      <w:r w:rsidRPr="00BD6C39">
        <w:rPr>
          <w:rFonts w:ascii="Garamond" w:hAnsi="Garamond"/>
          <w:b/>
          <w:bCs/>
          <w:color w:val="202124"/>
          <w:sz w:val="24"/>
          <w:szCs w:val="24"/>
        </w:rPr>
        <w:t xml:space="preserve"> (KpD</w:t>
      </w:r>
      <w:r w:rsidRPr="00BD6C39">
        <w:rPr>
          <w:rFonts w:ascii="Garamond" w:hAnsi="Garamond"/>
          <w:color w:val="202124"/>
          <w:sz w:val="24"/>
          <w:szCs w:val="24"/>
        </w:rPr>
        <w:t>) është një kontratë për mbështetje, e rregulluar financiarisht, ku Operatori i Energjisë së Rinovueshme i paguan prodhuesit me përparësi diferencën midis çmimit të garantuar dhe çmimit të referencës kur çmimi i referencës është më i ulët se çmimi i garantuar dhe prodhuesi me përparësi i paguan diferencën Operatorit të Energjisë së Rinovueshme kur çmimi i referencës është më i lartë s</w:t>
      </w:r>
      <w:r w:rsidR="00AA149C">
        <w:rPr>
          <w:rFonts w:ascii="Garamond" w:hAnsi="Garamond"/>
          <w:color w:val="202124"/>
          <w:sz w:val="24"/>
          <w:szCs w:val="24"/>
        </w:rPr>
        <w:t>e çmimi i garantuar;</w:t>
      </w:r>
    </w:p>
    <w:p w14:paraId="7DD038B6" w14:textId="42C252F4" w:rsidR="007F6030" w:rsidRPr="00BD6C39" w:rsidRDefault="007F6030" w:rsidP="007F6030">
      <w:pPr>
        <w:tabs>
          <w:tab w:val="left" w:pos="360"/>
        </w:tabs>
        <w:autoSpaceDE w:val="0"/>
        <w:autoSpaceDN w:val="0"/>
        <w:adjustRightInd w:val="0"/>
        <w:spacing w:after="0" w:line="240" w:lineRule="auto"/>
        <w:ind w:firstLine="284"/>
        <w:jc w:val="both"/>
        <w:rPr>
          <w:rFonts w:ascii="Garamond" w:hAnsi="Garamond" w:cs="Calibri"/>
          <w:color w:val="000000"/>
          <w:sz w:val="24"/>
          <w:szCs w:val="24"/>
        </w:rPr>
      </w:pPr>
      <w:r w:rsidRPr="00AA149C">
        <w:rPr>
          <w:rFonts w:ascii="Garamond" w:hAnsi="Garamond" w:cs="Calibri"/>
          <w:color w:val="202124"/>
          <w:sz w:val="24"/>
          <w:szCs w:val="24"/>
        </w:rPr>
        <w:t>-</w:t>
      </w:r>
      <w:r w:rsidRPr="00AA149C">
        <w:rPr>
          <w:rFonts w:ascii="Garamond" w:hAnsi="Garamond" w:cs="Calibri"/>
          <w:color w:val="202124"/>
        </w:rPr>
        <w:t xml:space="preserve"> </w:t>
      </w:r>
      <w:r w:rsidRPr="00AA149C">
        <w:rPr>
          <w:rFonts w:ascii="Garamond" w:hAnsi="Garamond" w:cs="Calibri"/>
          <w:bCs/>
          <w:color w:val="202124"/>
          <w:sz w:val="24"/>
          <w:szCs w:val="24"/>
        </w:rPr>
        <w:t>“</w:t>
      </w:r>
      <w:r w:rsidRPr="00BD6C39">
        <w:rPr>
          <w:rFonts w:ascii="Garamond" w:hAnsi="Garamond" w:cs="Calibri"/>
          <w:b/>
          <w:bCs/>
          <w:color w:val="000000"/>
          <w:sz w:val="24"/>
          <w:szCs w:val="24"/>
        </w:rPr>
        <w:t>Marrëveshja e blerjes së energjisë (MBE)</w:t>
      </w:r>
      <w:r w:rsidRPr="00AA149C">
        <w:rPr>
          <w:rFonts w:ascii="Garamond" w:hAnsi="Garamond" w:cs="Calibri"/>
          <w:bCs/>
          <w:color w:val="000000"/>
          <w:sz w:val="24"/>
          <w:szCs w:val="24"/>
        </w:rPr>
        <w:t>”</w:t>
      </w:r>
      <w:r w:rsidRPr="00BD6C39">
        <w:rPr>
          <w:rFonts w:ascii="Garamond" w:hAnsi="Garamond" w:cs="Calibri"/>
          <w:color w:val="000000"/>
          <w:sz w:val="24"/>
          <w:szCs w:val="24"/>
        </w:rPr>
        <w:t xml:space="preserve"> është një marrëveshje për mbështetje, ku OER garanton blerjen fizike të detyrueshme të energjisë elektrike të gjeneruar n</w:t>
      </w:r>
      <w:r w:rsidR="00AA149C">
        <w:rPr>
          <w:rFonts w:ascii="Garamond" w:hAnsi="Garamond" w:cs="Calibri"/>
          <w:color w:val="000000"/>
          <w:sz w:val="24"/>
          <w:szCs w:val="24"/>
        </w:rPr>
        <w:t>ga prodhuesit për një çmim fiks;</w:t>
      </w:r>
    </w:p>
    <w:p w14:paraId="381C8CB6" w14:textId="43BB0869" w:rsidR="007F6030" w:rsidRPr="00BD6C39" w:rsidRDefault="007F6030" w:rsidP="007F6030">
      <w:pPr>
        <w:tabs>
          <w:tab w:val="left" w:pos="360"/>
        </w:tabs>
        <w:autoSpaceDE w:val="0"/>
        <w:autoSpaceDN w:val="0"/>
        <w:adjustRightInd w:val="0"/>
        <w:spacing w:after="0" w:line="240" w:lineRule="auto"/>
        <w:ind w:firstLine="284"/>
        <w:jc w:val="both"/>
        <w:rPr>
          <w:rFonts w:ascii="Garamond" w:hAnsi="Garamond" w:cs="Calibri"/>
          <w:color w:val="202124"/>
          <w:sz w:val="24"/>
          <w:szCs w:val="24"/>
        </w:rPr>
      </w:pPr>
      <w:r w:rsidRPr="00BD6C39">
        <w:rPr>
          <w:rFonts w:ascii="Garamond" w:hAnsi="Garamond" w:cs="Calibri"/>
          <w:color w:val="202124"/>
          <w:sz w:val="24"/>
          <w:szCs w:val="24"/>
        </w:rPr>
        <w:t>-</w:t>
      </w:r>
      <w:r w:rsidRPr="00BD6C39">
        <w:rPr>
          <w:rFonts w:ascii="Garamond" w:hAnsi="Garamond" w:cs="Calibri"/>
          <w:color w:val="202124"/>
        </w:rPr>
        <w:t xml:space="preserve"> </w:t>
      </w:r>
      <w:r w:rsidRPr="00BD6C39">
        <w:rPr>
          <w:rFonts w:ascii="Garamond" w:hAnsi="Garamond" w:cs="Calibri"/>
          <w:color w:val="202124"/>
          <w:sz w:val="24"/>
          <w:szCs w:val="24"/>
        </w:rPr>
        <w:t>“</w:t>
      </w:r>
      <w:r w:rsidRPr="00BD6C39">
        <w:rPr>
          <w:rFonts w:ascii="Garamond" w:hAnsi="Garamond" w:cs="Calibri"/>
          <w:b/>
          <w:bCs/>
          <w:color w:val="202124"/>
          <w:sz w:val="24"/>
          <w:szCs w:val="24"/>
        </w:rPr>
        <w:t>Konvertimi KpD</w:t>
      </w:r>
      <w:r w:rsidRPr="00BD6C39">
        <w:rPr>
          <w:rFonts w:ascii="Garamond" w:hAnsi="Garamond" w:cs="Calibri"/>
          <w:color w:val="202124"/>
          <w:sz w:val="24"/>
          <w:szCs w:val="24"/>
        </w:rPr>
        <w:t>” është konvertimi i një marrëveshje</w:t>
      </w:r>
      <w:r w:rsidR="00AA149C">
        <w:rPr>
          <w:rFonts w:ascii="Garamond" w:hAnsi="Garamond" w:cs="Calibri"/>
          <w:color w:val="202124"/>
          <w:sz w:val="24"/>
          <w:szCs w:val="24"/>
        </w:rPr>
        <w:t>je</w:t>
      </w:r>
      <w:r w:rsidRPr="00BD6C39">
        <w:rPr>
          <w:rFonts w:ascii="Garamond" w:hAnsi="Garamond" w:cs="Calibri"/>
          <w:color w:val="202124"/>
          <w:sz w:val="24"/>
          <w:szCs w:val="24"/>
        </w:rPr>
        <w:t xml:space="preserve"> për blerjen e energjisë në një kontratë për diferencë, në përputhje me nenin 30</w:t>
      </w:r>
      <w:r w:rsidR="00AA149C">
        <w:rPr>
          <w:rFonts w:ascii="Garamond" w:hAnsi="Garamond" w:cs="Calibri"/>
          <w:color w:val="202124"/>
          <w:sz w:val="24"/>
          <w:szCs w:val="24"/>
        </w:rPr>
        <w:t>,</w:t>
      </w:r>
      <w:r w:rsidRPr="00BD6C39">
        <w:rPr>
          <w:rFonts w:ascii="Garamond" w:hAnsi="Garamond" w:cs="Calibri"/>
          <w:color w:val="202124"/>
          <w:sz w:val="24"/>
          <w:szCs w:val="24"/>
        </w:rPr>
        <w:t xml:space="preserve"> pika 4, të ligjit nr. 24/2023</w:t>
      </w:r>
      <w:r w:rsidR="00AA149C">
        <w:rPr>
          <w:rFonts w:ascii="Garamond" w:hAnsi="Garamond" w:cs="Calibri"/>
          <w:color w:val="202124"/>
          <w:sz w:val="24"/>
          <w:szCs w:val="24"/>
        </w:rPr>
        <w:t>,</w:t>
      </w:r>
      <w:r w:rsidRPr="00BD6C39">
        <w:rPr>
          <w:rFonts w:ascii="Garamond" w:hAnsi="Garamond" w:cs="Calibri"/>
          <w:color w:val="202124"/>
          <w:sz w:val="24"/>
          <w:szCs w:val="24"/>
        </w:rPr>
        <w:t xml:space="preserve"> “Për nxitjen e përdorimit të energ</w:t>
      </w:r>
      <w:r w:rsidR="00AA149C">
        <w:rPr>
          <w:rFonts w:ascii="Garamond" w:hAnsi="Garamond" w:cs="Calibri"/>
          <w:color w:val="202124"/>
          <w:sz w:val="24"/>
          <w:szCs w:val="24"/>
        </w:rPr>
        <w:t>jisë nga burimet e rinovueshme”;</w:t>
      </w:r>
    </w:p>
    <w:p w14:paraId="3A4EFFDA" w14:textId="5091C4B0" w:rsidR="007F6030" w:rsidRPr="00BD6C39" w:rsidRDefault="007F6030" w:rsidP="007F6030">
      <w:pPr>
        <w:tabs>
          <w:tab w:val="left" w:pos="360"/>
        </w:tabs>
        <w:autoSpaceDE w:val="0"/>
        <w:autoSpaceDN w:val="0"/>
        <w:adjustRightInd w:val="0"/>
        <w:spacing w:after="0" w:line="240" w:lineRule="auto"/>
        <w:ind w:firstLine="284"/>
        <w:jc w:val="both"/>
        <w:rPr>
          <w:rFonts w:ascii="Garamond" w:hAnsi="Garamond" w:cs="Calibri"/>
          <w:color w:val="000000"/>
          <w:sz w:val="24"/>
          <w:szCs w:val="24"/>
        </w:rPr>
      </w:pPr>
      <w:r w:rsidRPr="00BD6C39">
        <w:rPr>
          <w:rFonts w:ascii="Garamond" w:hAnsi="Garamond" w:cs="Calibri"/>
          <w:color w:val="000000"/>
          <w:sz w:val="24"/>
          <w:szCs w:val="24"/>
        </w:rPr>
        <w:t>-</w:t>
      </w:r>
      <w:r w:rsidRPr="00BD6C39">
        <w:rPr>
          <w:rFonts w:ascii="Garamond" w:hAnsi="Garamond" w:cs="Calibri"/>
          <w:color w:val="000000"/>
        </w:rPr>
        <w:t xml:space="preserve"> </w:t>
      </w:r>
      <w:r w:rsidR="00AA149C">
        <w:rPr>
          <w:rFonts w:ascii="Garamond" w:hAnsi="Garamond" w:cs="Calibri"/>
          <w:color w:val="000000"/>
        </w:rPr>
        <w:t>“</w:t>
      </w:r>
      <w:r w:rsidRPr="00BD6C39">
        <w:rPr>
          <w:rFonts w:ascii="Garamond" w:hAnsi="Garamond" w:cs="Calibri"/>
          <w:b/>
          <w:bCs/>
          <w:color w:val="000000"/>
          <w:sz w:val="24"/>
          <w:szCs w:val="24"/>
        </w:rPr>
        <w:t>Bursa Shqiptare e Energjisë</w:t>
      </w:r>
      <w:r w:rsidRPr="00BD6C39">
        <w:rPr>
          <w:rFonts w:ascii="Garamond" w:hAnsi="Garamond" w:cs="Calibri"/>
          <w:color w:val="000000"/>
          <w:sz w:val="24"/>
          <w:szCs w:val="24"/>
        </w:rPr>
        <w:t>” është entiteti përgjegjës për menaxhimin dhe organizimin e tregut të energjisë elektrike me shumicë në Shqipëri</w:t>
      </w:r>
      <w:r w:rsidR="00AA149C">
        <w:rPr>
          <w:rFonts w:ascii="Garamond" w:hAnsi="Garamond" w:cs="Calibri"/>
          <w:color w:val="000000"/>
          <w:sz w:val="24"/>
          <w:szCs w:val="24"/>
        </w:rPr>
        <w:t>,</w:t>
      </w:r>
      <w:r w:rsidRPr="00BD6C39">
        <w:rPr>
          <w:rFonts w:ascii="Garamond" w:hAnsi="Garamond" w:cs="Calibri"/>
          <w:color w:val="000000"/>
          <w:sz w:val="24"/>
          <w:szCs w:val="24"/>
        </w:rPr>
        <w:t xml:space="preserve"> në përputhje me ligjin nr. 43/2015</w:t>
      </w:r>
      <w:r w:rsidR="00AA149C">
        <w:rPr>
          <w:rFonts w:ascii="Garamond" w:hAnsi="Garamond" w:cs="Calibri"/>
          <w:color w:val="000000"/>
          <w:sz w:val="24"/>
          <w:szCs w:val="24"/>
        </w:rPr>
        <w:t>,</w:t>
      </w:r>
      <w:r w:rsidRPr="00BD6C39">
        <w:rPr>
          <w:rFonts w:ascii="Garamond" w:hAnsi="Garamond" w:cs="Calibri"/>
          <w:color w:val="000000"/>
          <w:sz w:val="24"/>
          <w:szCs w:val="24"/>
        </w:rPr>
        <w:t xml:space="preserve"> “Për sektorin e energjisë elektrike”</w:t>
      </w:r>
      <w:r w:rsidR="00AA149C">
        <w:rPr>
          <w:rFonts w:ascii="Garamond" w:hAnsi="Garamond" w:cs="Calibri"/>
          <w:color w:val="000000"/>
          <w:sz w:val="24"/>
          <w:szCs w:val="24"/>
        </w:rPr>
        <w:t>,</w:t>
      </w:r>
      <w:r w:rsidRPr="00BD6C39">
        <w:rPr>
          <w:rFonts w:ascii="Garamond" w:hAnsi="Garamond" w:cs="Calibri"/>
          <w:color w:val="000000"/>
          <w:sz w:val="24"/>
          <w:szCs w:val="24"/>
        </w:rPr>
        <w:t xml:space="preserve"> </w:t>
      </w:r>
      <w:r w:rsidR="00AA149C" w:rsidRPr="00BD6C39">
        <w:rPr>
          <w:rFonts w:ascii="Garamond" w:hAnsi="Garamond"/>
          <w:sz w:val="24"/>
          <w:szCs w:val="24"/>
        </w:rPr>
        <w:t>të</w:t>
      </w:r>
      <w:r w:rsidRPr="00BD6C39">
        <w:rPr>
          <w:rFonts w:ascii="Garamond" w:hAnsi="Garamond" w:cs="Calibri"/>
          <w:color w:val="000000"/>
          <w:sz w:val="24"/>
          <w:szCs w:val="24"/>
        </w:rPr>
        <w:t xml:space="preserve"> ndryshuar. </w:t>
      </w:r>
    </w:p>
    <w:p w14:paraId="03BA30F4" w14:textId="00604345" w:rsidR="007F6030" w:rsidRPr="00BD6C39" w:rsidRDefault="007F6030" w:rsidP="007F6030">
      <w:pPr>
        <w:tabs>
          <w:tab w:val="left" w:pos="360"/>
        </w:tabs>
        <w:autoSpaceDE w:val="0"/>
        <w:autoSpaceDN w:val="0"/>
        <w:adjustRightInd w:val="0"/>
        <w:spacing w:after="0" w:line="240" w:lineRule="auto"/>
        <w:ind w:firstLine="284"/>
        <w:jc w:val="both"/>
        <w:rPr>
          <w:rFonts w:ascii="Garamond" w:hAnsi="Garamond" w:cs="Calibri"/>
          <w:color w:val="000000"/>
          <w:sz w:val="24"/>
          <w:szCs w:val="24"/>
        </w:rPr>
      </w:pPr>
      <w:r w:rsidRPr="00BD6C39">
        <w:rPr>
          <w:rFonts w:ascii="Garamond" w:hAnsi="Garamond" w:cs="Calibri"/>
          <w:color w:val="000000"/>
          <w:sz w:val="24"/>
          <w:szCs w:val="24"/>
        </w:rPr>
        <w:t>-</w:t>
      </w:r>
      <w:r w:rsidRPr="00BD6C39">
        <w:rPr>
          <w:rFonts w:ascii="Garamond" w:hAnsi="Garamond" w:cs="Calibri"/>
          <w:color w:val="000000"/>
        </w:rPr>
        <w:t xml:space="preserve"> </w:t>
      </w:r>
      <w:r w:rsidRPr="00BD6C39">
        <w:rPr>
          <w:rFonts w:ascii="Garamond" w:hAnsi="Garamond" w:cs="Calibri"/>
          <w:color w:val="000000"/>
          <w:sz w:val="24"/>
          <w:szCs w:val="24"/>
        </w:rPr>
        <w:t>“</w:t>
      </w:r>
      <w:r w:rsidRPr="00BD6C39">
        <w:rPr>
          <w:rFonts w:ascii="Garamond" w:hAnsi="Garamond" w:cs="Calibri"/>
          <w:b/>
          <w:bCs/>
          <w:color w:val="000000"/>
          <w:sz w:val="24"/>
          <w:szCs w:val="24"/>
        </w:rPr>
        <w:t>Tregu i Ditës në Avancë</w:t>
      </w:r>
      <w:r w:rsidRPr="00BD6C39">
        <w:rPr>
          <w:rFonts w:ascii="Garamond" w:hAnsi="Garamond" w:cs="Calibri"/>
          <w:color w:val="000000"/>
          <w:sz w:val="24"/>
          <w:szCs w:val="24"/>
        </w:rPr>
        <w:t>” është tregu i energjisë elektrike ku dorëzimi i Urdhërporosive të Blerjeje dhe Shitjeje të vendosura në ditën para livrimit në intervalin prej Kohës së Hapjes së Portës de</w:t>
      </w:r>
      <w:r w:rsidR="00AA149C">
        <w:rPr>
          <w:rFonts w:ascii="Garamond" w:hAnsi="Garamond" w:cs="Calibri"/>
          <w:color w:val="000000"/>
          <w:sz w:val="24"/>
          <w:szCs w:val="24"/>
        </w:rPr>
        <w:t>ri në Kohën e Mbylljes së Portë</w:t>
      </w:r>
      <w:r w:rsidR="0087391A">
        <w:rPr>
          <w:rFonts w:ascii="Garamond" w:hAnsi="Garamond" w:cs="Calibri"/>
          <w:color w:val="000000"/>
          <w:sz w:val="24"/>
          <w:szCs w:val="24"/>
        </w:rPr>
        <w:t>s</w:t>
      </w:r>
      <w:r w:rsidR="00AA149C">
        <w:rPr>
          <w:rFonts w:ascii="Garamond" w:hAnsi="Garamond" w:cs="Calibri"/>
          <w:color w:val="000000"/>
          <w:sz w:val="24"/>
          <w:szCs w:val="24"/>
        </w:rPr>
        <w:t>;</w:t>
      </w:r>
    </w:p>
    <w:p w14:paraId="18F4C38E" w14:textId="7FA883EB" w:rsidR="007F6030" w:rsidRPr="00BD6C39" w:rsidRDefault="007F6030" w:rsidP="007F6030">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olor w:val="000000"/>
          <w:sz w:val="24"/>
          <w:szCs w:val="24"/>
        </w:rPr>
      </w:pPr>
      <w:r w:rsidRPr="00BD6C39">
        <w:rPr>
          <w:rFonts w:ascii="Garamond" w:hAnsi="Garamond"/>
          <w:color w:val="000000"/>
          <w:sz w:val="24"/>
          <w:szCs w:val="24"/>
        </w:rPr>
        <w:t>-</w:t>
      </w:r>
      <w:r w:rsidRPr="00BD6C39">
        <w:rPr>
          <w:rFonts w:ascii="Garamond" w:hAnsi="Garamond"/>
          <w:color w:val="000000"/>
        </w:rPr>
        <w:t xml:space="preserve"> </w:t>
      </w:r>
      <w:r w:rsidRPr="00BD6C39">
        <w:rPr>
          <w:rFonts w:ascii="Garamond" w:hAnsi="Garamond"/>
          <w:color w:val="000000"/>
          <w:sz w:val="24"/>
          <w:szCs w:val="24"/>
        </w:rPr>
        <w:t>“</w:t>
      </w:r>
      <w:r w:rsidRPr="00BD6C39">
        <w:rPr>
          <w:rFonts w:ascii="Garamond" w:hAnsi="Garamond"/>
          <w:b/>
          <w:bCs/>
          <w:color w:val="000000"/>
          <w:sz w:val="24"/>
          <w:szCs w:val="24"/>
        </w:rPr>
        <w:t>ACER</w:t>
      </w:r>
      <w:r w:rsidRPr="00BD6C39">
        <w:rPr>
          <w:rFonts w:ascii="Garamond" w:hAnsi="Garamond"/>
          <w:color w:val="000000"/>
          <w:sz w:val="24"/>
          <w:szCs w:val="24"/>
        </w:rPr>
        <w:t xml:space="preserve">” është agjencia për bashkëpunimin e rregullatorëve të energjisë të Bashkimit </w:t>
      </w:r>
      <w:r w:rsidR="00AA149C" w:rsidRPr="00BD6C39">
        <w:rPr>
          <w:rFonts w:ascii="Garamond" w:hAnsi="Garamond"/>
          <w:color w:val="000000"/>
          <w:sz w:val="24"/>
          <w:szCs w:val="24"/>
        </w:rPr>
        <w:t>Evropian</w:t>
      </w:r>
      <w:r w:rsidRPr="00BD6C39">
        <w:rPr>
          <w:rFonts w:ascii="Garamond" w:hAnsi="Garamond"/>
          <w:color w:val="000000"/>
          <w:sz w:val="24"/>
          <w:szCs w:val="24"/>
        </w:rPr>
        <w:t>.</w:t>
      </w:r>
    </w:p>
    <w:p w14:paraId="00FED9EF" w14:textId="15BDEA63" w:rsidR="007F6030" w:rsidRPr="00BD6C39" w:rsidRDefault="007F6030" w:rsidP="007F6030">
      <w:pPr>
        <w:tabs>
          <w:tab w:val="left" w:pos="400"/>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olor w:val="000000"/>
          <w:sz w:val="24"/>
          <w:szCs w:val="24"/>
        </w:rPr>
      </w:pPr>
      <w:r w:rsidRPr="00BD6C39">
        <w:rPr>
          <w:rFonts w:ascii="Garamond" w:hAnsi="Garamond"/>
          <w:color w:val="000000"/>
          <w:sz w:val="24"/>
          <w:szCs w:val="24"/>
        </w:rPr>
        <w:t>2.</w:t>
      </w:r>
      <w:r w:rsidRPr="00BD6C39">
        <w:rPr>
          <w:rFonts w:ascii="Garamond" w:hAnsi="Garamond"/>
          <w:color w:val="000000"/>
        </w:rPr>
        <w:t xml:space="preserve"> </w:t>
      </w:r>
      <w:r w:rsidRPr="00BD6C39">
        <w:rPr>
          <w:rFonts w:ascii="Garamond" w:hAnsi="Garamond"/>
          <w:color w:val="000000"/>
          <w:sz w:val="24"/>
          <w:szCs w:val="24"/>
        </w:rPr>
        <w:t>Termat, përkufizimet e të cilave nuk renditen në pikën 1 të këtij neni, marrin për referencë termat dhe përkufizimet e përcaktuara në ligjin nr. 24/2023</w:t>
      </w:r>
      <w:r w:rsidR="00AA149C">
        <w:rPr>
          <w:rFonts w:ascii="Garamond" w:hAnsi="Garamond"/>
          <w:color w:val="000000"/>
          <w:sz w:val="24"/>
          <w:szCs w:val="24"/>
        </w:rPr>
        <w:t>,</w:t>
      </w:r>
      <w:r w:rsidRPr="00BD6C39">
        <w:rPr>
          <w:rFonts w:ascii="Garamond" w:hAnsi="Garamond"/>
          <w:color w:val="000000"/>
          <w:sz w:val="24"/>
          <w:szCs w:val="24"/>
        </w:rPr>
        <w:t xml:space="preserve"> “Për nxitjen e përdorimit të energjisë nga burimet e rinovueshme” dhe </w:t>
      </w:r>
      <w:r w:rsidR="00AA149C">
        <w:rPr>
          <w:rFonts w:ascii="Garamond" w:hAnsi="Garamond"/>
          <w:color w:val="000000"/>
          <w:sz w:val="24"/>
          <w:szCs w:val="24"/>
        </w:rPr>
        <w:t>l</w:t>
      </w:r>
      <w:r w:rsidRPr="00BD6C39">
        <w:rPr>
          <w:rFonts w:ascii="Garamond" w:hAnsi="Garamond"/>
          <w:color w:val="000000"/>
          <w:sz w:val="24"/>
          <w:szCs w:val="24"/>
        </w:rPr>
        <w:t>igjin nr. 43/2015</w:t>
      </w:r>
      <w:r w:rsidR="00AA149C">
        <w:rPr>
          <w:rFonts w:ascii="Garamond" w:hAnsi="Garamond"/>
          <w:color w:val="000000"/>
          <w:sz w:val="24"/>
          <w:szCs w:val="24"/>
        </w:rPr>
        <w:t>,</w:t>
      </w:r>
      <w:r w:rsidRPr="00BD6C39">
        <w:rPr>
          <w:rFonts w:ascii="Garamond" w:hAnsi="Garamond"/>
          <w:color w:val="000000"/>
          <w:sz w:val="24"/>
          <w:szCs w:val="24"/>
        </w:rPr>
        <w:t xml:space="preserve"> “Për sektorin e energjisë elektrike”, </w:t>
      </w:r>
      <w:r w:rsidR="00AA149C" w:rsidRPr="00BD6C39">
        <w:rPr>
          <w:rFonts w:ascii="Garamond" w:hAnsi="Garamond"/>
          <w:sz w:val="24"/>
          <w:szCs w:val="24"/>
        </w:rPr>
        <w:t>të</w:t>
      </w:r>
      <w:r w:rsidRPr="00BD6C39">
        <w:rPr>
          <w:rFonts w:ascii="Garamond" w:hAnsi="Garamond"/>
          <w:color w:val="000000"/>
          <w:sz w:val="24"/>
          <w:szCs w:val="24"/>
        </w:rPr>
        <w:t xml:space="preserve"> ndryshuar.</w:t>
      </w:r>
    </w:p>
    <w:p w14:paraId="4BFB53E8" w14:textId="77777777" w:rsidR="007F6030" w:rsidRPr="00BD6C39" w:rsidRDefault="007F6030" w:rsidP="007F6030">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olor w:val="000000"/>
          <w:sz w:val="24"/>
          <w:szCs w:val="24"/>
        </w:rPr>
      </w:pPr>
    </w:p>
    <w:p w14:paraId="03CEB9F6" w14:textId="77777777" w:rsidR="007F6030" w:rsidRPr="00AA149C" w:rsidRDefault="007F6030" w:rsidP="007F6030">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center"/>
        <w:rPr>
          <w:rFonts w:ascii="Garamond" w:hAnsi="Garamond"/>
          <w:bCs/>
          <w:color w:val="000000"/>
          <w:sz w:val="24"/>
          <w:szCs w:val="24"/>
        </w:rPr>
      </w:pPr>
      <w:r w:rsidRPr="00AA149C">
        <w:rPr>
          <w:rFonts w:ascii="Garamond" w:hAnsi="Garamond"/>
          <w:bCs/>
          <w:color w:val="000000"/>
          <w:sz w:val="24"/>
          <w:szCs w:val="24"/>
        </w:rPr>
        <w:t>PJESA II</w:t>
      </w:r>
    </w:p>
    <w:p w14:paraId="2CC0C6AB" w14:textId="77777777" w:rsidR="007F6030" w:rsidRPr="00BD6C39" w:rsidRDefault="007F6030" w:rsidP="007F6030">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center"/>
        <w:rPr>
          <w:rFonts w:ascii="Garamond" w:hAnsi="Garamond"/>
          <w:b/>
          <w:bCs/>
          <w:color w:val="000000"/>
          <w:sz w:val="24"/>
          <w:szCs w:val="24"/>
        </w:rPr>
      </w:pPr>
      <w:r w:rsidRPr="00AA149C">
        <w:rPr>
          <w:rFonts w:ascii="Garamond" w:hAnsi="Garamond"/>
          <w:bCs/>
          <w:color w:val="000000"/>
          <w:sz w:val="24"/>
          <w:szCs w:val="24"/>
        </w:rPr>
        <w:t>PARIMET E METODOLOGJISË PËR VLERËSIMIN E GATISHMËRISË SË TREGUT SHQIPTAR TË ENERGJISË ELEKTRIKE TË DITËS NË AVANCË</w:t>
      </w:r>
    </w:p>
    <w:p w14:paraId="7A925FB7" w14:textId="77777777" w:rsidR="007F6030" w:rsidRPr="00BD6C39" w:rsidRDefault="007F6030" w:rsidP="007F6030">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center"/>
        <w:rPr>
          <w:rFonts w:ascii="Garamond" w:hAnsi="Garamond"/>
          <w:b/>
          <w:bCs/>
          <w:color w:val="000000"/>
          <w:sz w:val="24"/>
          <w:szCs w:val="24"/>
        </w:rPr>
      </w:pPr>
    </w:p>
    <w:p w14:paraId="5C6EE843" w14:textId="77777777" w:rsidR="007F6030" w:rsidRPr="00BD6C39" w:rsidRDefault="007F6030" w:rsidP="007F6030">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center"/>
        <w:rPr>
          <w:rFonts w:ascii="Garamond" w:hAnsi="Garamond"/>
          <w:bCs/>
          <w:color w:val="000000"/>
          <w:sz w:val="24"/>
          <w:szCs w:val="24"/>
        </w:rPr>
      </w:pPr>
      <w:r w:rsidRPr="00BD6C39">
        <w:rPr>
          <w:rFonts w:ascii="Garamond" w:hAnsi="Garamond"/>
          <w:bCs/>
          <w:color w:val="000000"/>
          <w:sz w:val="24"/>
          <w:szCs w:val="24"/>
        </w:rPr>
        <w:t>Neni 4</w:t>
      </w:r>
    </w:p>
    <w:p w14:paraId="25D14B0D" w14:textId="77777777" w:rsidR="007F6030" w:rsidRPr="00BD6C39" w:rsidRDefault="007F6030" w:rsidP="007F6030">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center"/>
        <w:rPr>
          <w:rFonts w:ascii="Garamond" w:hAnsi="Garamond"/>
          <w:b/>
          <w:bCs/>
          <w:color w:val="000000"/>
          <w:sz w:val="24"/>
          <w:szCs w:val="24"/>
        </w:rPr>
      </w:pPr>
      <w:r w:rsidRPr="00BD6C39">
        <w:rPr>
          <w:rFonts w:ascii="Garamond" w:hAnsi="Garamond"/>
          <w:b/>
          <w:bCs/>
          <w:color w:val="000000"/>
          <w:sz w:val="24"/>
          <w:szCs w:val="24"/>
        </w:rPr>
        <w:t xml:space="preserve">Parimet bazë të metodologjisë për vlerësimin e gatishmërisë së tregut shqiptar të energjisë elektrike të ditës në avancë </w:t>
      </w:r>
    </w:p>
    <w:p w14:paraId="6938FD19" w14:textId="77777777" w:rsidR="007F6030" w:rsidRPr="00BD6C39" w:rsidRDefault="007F6030" w:rsidP="007F6030">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b/>
          <w:bCs/>
          <w:color w:val="000000"/>
          <w:sz w:val="24"/>
          <w:szCs w:val="24"/>
        </w:rPr>
      </w:pPr>
    </w:p>
    <w:p w14:paraId="4A529DF2" w14:textId="77777777" w:rsidR="007F6030" w:rsidRPr="00BD6C39" w:rsidRDefault="007F6030" w:rsidP="007F6030">
      <w:pPr>
        <w:tabs>
          <w:tab w:val="left" w:pos="400"/>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olor w:val="000000"/>
          <w:sz w:val="24"/>
          <w:szCs w:val="24"/>
        </w:rPr>
      </w:pPr>
      <w:r w:rsidRPr="00BD6C39">
        <w:rPr>
          <w:rFonts w:ascii="Garamond" w:hAnsi="Garamond"/>
          <w:color w:val="000000"/>
          <w:sz w:val="24"/>
          <w:szCs w:val="24"/>
        </w:rPr>
        <w:t>1.</w:t>
      </w:r>
      <w:r w:rsidRPr="00BD6C39">
        <w:rPr>
          <w:rFonts w:ascii="Garamond" w:hAnsi="Garamond"/>
          <w:color w:val="000000"/>
        </w:rPr>
        <w:t xml:space="preserve"> </w:t>
      </w:r>
      <w:r w:rsidRPr="00BD6C39">
        <w:rPr>
          <w:rFonts w:ascii="Garamond" w:hAnsi="Garamond"/>
          <w:color w:val="000000"/>
          <w:sz w:val="24"/>
          <w:szCs w:val="24"/>
        </w:rPr>
        <w:t>Vlerësimi i gatishmërisë së tregut nga ERE do të përfshijë vetëm tregun e ditës në avancë të energjisë elektrike, meqenëse ky vlerësim lidhet me konvertimin e marrëveshjeve për blerjen e energjisë (MBE) në kontrata për diferencë (KpD).</w:t>
      </w:r>
    </w:p>
    <w:p w14:paraId="5E821C09" w14:textId="67E044E5" w:rsidR="007F6030" w:rsidRPr="00BD6C39" w:rsidRDefault="007F6030" w:rsidP="007F6030">
      <w:pPr>
        <w:tabs>
          <w:tab w:val="left" w:pos="400"/>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olor w:val="000000"/>
          <w:sz w:val="24"/>
          <w:szCs w:val="24"/>
        </w:rPr>
      </w:pPr>
      <w:r w:rsidRPr="00BD6C39">
        <w:rPr>
          <w:rFonts w:ascii="Garamond" w:hAnsi="Garamond"/>
          <w:color w:val="000000"/>
          <w:sz w:val="24"/>
          <w:szCs w:val="24"/>
        </w:rPr>
        <w:t>2.</w:t>
      </w:r>
      <w:r w:rsidRPr="00BD6C39">
        <w:rPr>
          <w:rFonts w:ascii="Garamond" w:hAnsi="Garamond"/>
          <w:color w:val="000000"/>
        </w:rPr>
        <w:t xml:space="preserve"> </w:t>
      </w:r>
      <w:r w:rsidRPr="00BD6C39">
        <w:rPr>
          <w:rFonts w:ascii="Garamond" w:hAnsi="Garamond"/>
          <w:color w:val="000000"/>
          <w:sz w:val="24"/>
          <w:szCs w:val="24"/>
        </w:rPr>
        <w:t>Në përputhje me parimet e përcaktuara në këtë metodologji, ERE duhet të vlerësojë nëse kriteret e mëposhtme janë përmbushur në mënyrë të mjaftueshm</w:t>
      </w:r>
      <w:r w:rsidR="00AA149C">
        <w:rPr>
          <w:rFonts w:ascii="Garamond" w:hAnsi="Garamond"/>
          <w:color w:val="000000"/>
          <w:sz w:val="24"/>
          <w:szCs w:val="24"/>
        </w:rPr>
        <w:t>e:</w:t>
      </w:r>
    </w:p>
    <w:p w14:paraId="407A7E47" w14:textId="21BFE9F9" w:rsidR="007F6030" w:rsidRPr="00BD6C39" w:rsidRDefault="007F6030" w:rsidP="007F6030">
      <w:pPr>
        <w:tabs>
          <w:tab w:val="left" w:pos="400"/>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olor w:val="000000"/>
          <w:sz w:val="24"/>
          <w:szCs w:val="24"/>
        </w:rPr>
      </w:pPr>
      <w:r w:rsidRPr="00BD6C39">
        <w:rPr>
          <w:rFonts w:ascii="Garamond" w:hAnsi="Garamond"/>
          <w:color w:val="000000"/>
          <w:sz w:val="24"/>
          <w:szCs w:val="24"/>
        </w:rPr>
        <w:t>a)</w:t>
      </w:r>
      <w:r w:rsidRPr="00BD6C39">
        <w:rPr>
          <w:rFonts w:ascii="Garamond" w:hAnsi="Garamond"/>
          <w:color w:val="000000"/>
        </w:rPr>
        <w:t xml:space="preserve"> </w:t>
      </w:r>
      <w:r w:rsidRPr="00BD6C39">
        <w:rPr>
          <w:rFonts w:ascii="Garamond" w:hAnsi="Garamond"/>
          <w:color w:val="000000"/>
          <w:sz w:val="24"/>
          <w:szCs w:val="24"/>
        </w:rPr>
        <w:t>është krijuar një bursë operacionale e energjisë elektrike që ofron çmime reference për periudhën përkatëse të shlyerjes për tregun e ditës në avancë</w:t>
      </w:r>
      <w:r w:rsidR="00AA149C">
        <w:rPr>
          <w:rFonts w:ascii="Garamond" w:hAnsi="Garamond"/>
          <w:color w:val="000000"/>
          <w:sz w:val="24"/>
          <w:szCs w:val="24"/>
        </w:rPr>
        <w:t>,</w:t>
      </w:r>
      <w:r w:rsidRPr="00BD6C39">
        <w:rPr>
          <w:rFonts w:ascii="Garamond" w:hAnsi="Garamond"/>
          <w:color w:val="000000"/>
          <w:sz w:val="24"/>
          <w:szCs w:val="24"/>
        </w:rPr>
        <w:t xml:space="preserve"> për një periudhë të njëpasnjëshme 10-mujore;</w:t>
      </w:r>
    </w:p>
    <w:p w14:paraId="0270F861" w14:textId="7A48945B" w:rsidR="007F6030" w:rsidRPr="00BD6C39" w:rsidRDefault="007F6030" w:rsidP="00AA149C">
      <w:pPr>
        <w:tabs>
          <w:tab w:val="left" w:pos="400"/>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olor w:val="000000"/>
          <w:sz w:val="24"/>
          <w:szCs w:val="24"/>
        </w:rPr>
      </w:pPr>
      <w:r w:rsidRPr="00BD6C39">
        <w:rPr>
          <w:rFonts w:ascii="Garamond" w:hAnsi="Garamond"/>
          <w:color w:val="000000"/>
          <w:sz w:val="24"/>
          <w:szCs w:val="24"/>
        </w:rPr>
        <w:t>b)</w:t>
      </w:r>
      <w:r w:rsidRPr="00BD6C39">
        <w:rPr>
          <w:rFonts w:ascii="Garamond" w:hAnsi="Garamond"/>
          <w:color w:val="000000"/>
        </w:rPr>
        <w:t xml:space="preserve"> </w:t>
      </w:r>
      <w:r w:rsidRPr="00BD6C39">
        <w:rPr>
          <w:rFonts w:ascii="Garamond" w:hAnsi="Garamond"/>
          <w:color w:val="000000"/>
          <w:sz w:val="24"/>
          <w:szCs w:val="24"/>
        </w:rPr>
        <w:t>janë duke u zbatuar parimet dhe rregullat për integritetin dhe transparencën e shitjes së</w:t>
      </w:r>
      <w:r w:rsidR="00AA149C">
        <w:rPr>
          <w:rFonts w:ascii="Garamond" w:hAnsi="Garamond"/>
          <w:color w:val="000000"/>
          <w:sz w:val="24"/>
          <w:szCs w:val="24"/>
        </w:rPr>
        <w:t xml:space="preserve"> </w:t>
      </w:r>
      <w:r w:rsidRPr="00BD6C39">
        <w:rPr>
          <w:rFonts w:ascii="Garamond" w:hAnsi="Garamond"/>
          <w:color w:val="000000"/>
          <w:sz w:val="24"/>
          <w:szCs w:val="24"/>
        </w:rPr>
        <w:t>energjisë në treg, përfshirë për personat që organizojnë profesionalisht transaksione;</w:t>
      </w:r>
    </w:p>
    <w:p w14:paraId="42F54B7F" w14:textId="2A539A3B" w:rsidR="007F6030" w:rsidRPr="00BD6C39" w:rsidRDefault="007F6030" w:rsidP="007F6030">
      <w:pPr>
        <w:tabs>
          <w:tab w:val="left" w:pos="400"/>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olor w:val="000000"/>
          <w:sz w:val="24"/>
          <w:szCs w:val="24"/>
        </w:rPr>
      </w:pPr>
      <w:r w:rsidRPr="00BD6C39">
        <w:rPr>
          <w:rFonts w:ascii="Garamond" w:hAnsi="Garamond"/>
          <w:color w:val="000000"/>
          <w:sz w:val="24"/>
          <w:szCs w:val="24"/>
        </w:rPr>
        <w:t>c)</w:t>
      </w:r>
      <w:r w:rsidRPr="00BD6C39">
        <w:rPr>
          <w:rFonts w:ascii="Garamond" w:hAnsi="Garamond"/>
          <w:color w:val="000000"/>
        </w:rPr>
        <w:t xml:space="preserve"> </w:t>
      </w:r>
      <w:r w:rsidRPr="00BD6C39">
        <w:rPr>
          <w:rFonts w:ascii="Garamond" w:hAnsi="Garamond"/>
          <w:color w:val="000000"/>
          <w:sz w:val="24"/>
          <w:szCs w:val="24"/>
        </w:rPr>
        <w:t>vëllimet e tregtuara në tregun e një dite në avancë</w:t>
      </w:r>
      <w:r w:rsidR="00AA149C">
        <w:rPr>
          <w:rFonts w:ascii="Garamond" w:hAnsi="Garamond"/>
          <w:color w:val="000000"/>
          <w:sz w:val="24"/>
          <w:szCs w:val="24"/>
        </w:rPr>
        <w:t>,</w:t>
      </w:r>
      <w:r w:rsidRPr="00BD6C39">
        <w:rPr>
          <w:rFonts w:ascii="Garamond" w:hAnsi="Garamond"/>
          <w:color w:val="000000"/>
          <w:sz w:val="24"/>
          <w:szCs w:val="24"/>
        </w:rPr>
        <w:t xml:space="preserve"> në lidhje me madhësinë fizike të tregut janë në një nivel të krahasueshëm me vëllime të tilla në disa tregje të ditës në avancë në vende të Bashkimit </w:t>
      </w:r>
      <w:r w:rsidR="00AA149C" w:rsidRPr="00BD6C39">
        <w:rPr>
          <w:rFonts w:ascii="Garamond" w:hAnsi="Garamond"/>
          <w:color w:val="000000"/>
          <w:sz w:val="24"/>
          <w:szCs w:val="24"/>
        </w:rPr>
        <w:t>Evropian</w:t>
      </w:r>
      <w:r w:rsidRPr="00BD6C39">
        <w:rPr>
          <w:rFonts w:ascii="Garamond" w:hAnsi="Garamond"/>
          <w:color w:val="000000"/>
          <w:sz w:val="24"/>
          <w:szCs w:val="24"/>
        </w:rPr>
        <w:t>.</w:t>
      </w:r>
    </w:p>
    <w:p w14:paraId="575E3210" w14:textId="714FFBB4" w:rsidR="007F6030" w:rsidRPr="00BD6C39" w:rsidRDefault="007F6030" w:rsidP="007F6030">
      <w:pPr>
        <w:tabs>
          <w:tab w:val="left" w:pos="400"/>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olor w:val="000000"/>
          <w:sz w:val="24"/>
          <w:szCs w:val="24"/>
        </w:rPr>
      </w:pPr>
      <w:r w:rsidRPr="00BD6C39">
        <w:rPr>
          <w:rFonts w:ascii="Garamond" w:hAnsi="Garamond"/>
          <w:color w:val="000000"/>
          <w:sz w:val="24"/>
          <w:szCs w:val="24"/>
        </w:rPr>
        <w:t>3.</w:t>
      </w:r>
      <w:r w:rsidRPr="00BD6C39">
        <w:rPr>
          <w:rFonts w:ascii="Garamond" w:hAnsi="Garamond"/>
          <w:color w:val="000000"/>
        </w:rPr>
        <w:t xml:space="preserve"> </w:t>
      </w:r>
      <w:r w:rsidRPr="00BD6C39">
        <w:rPr>
          <w:rFonts w:ascii="Garamond" w:hAnsi="Garamond"/>
          <w:color w:val="000000"/>
          <w:sz w:val="24"/>
          <w:szCs w:val="24"/>
        </w:rPr>
        <w:t>ERE</w:t>
      </w:r>
      <w:r w:rsidR="00AA149C">
        <w:rPr>
          <w:rFonts w:ascii="Garamond" w:hAnsi="Garamond"/>
          <w:color w:val="000000"/>
          <w:sz w:val="24"/>
          <w:szCs w:val="24"/>
        </w:rPr>
        <w:t>,</w:t>
      </w:r>
      <w:r w:rsidRPr="00BD6C39">
        <w:rPr>
          <w:rFonts w:ascii="Garamond" w:hAnsi="Garamond"/>
          <w:color w:val="000000"/>
          <w:sz w:val="24"/>
          <w:szCs w:val="24"/>
        </w:rPr>
        <w:t xml:space="preserve"> në përgatitjen e vlerësimit të gatishmërisë së tregut të ditës në avancë, do të marrë parasy</w:t>
      </w:r>
      <w:r w:rsidR="00AA149C">
        <w:rPr>
          <w:rFonts w:ascii="Garamond" w:hAnsi="Garamond"/>
          <w:color w:val="000000"/>
          <w:sz w:val="24"/>
          <w:szCs w:val="24"/>
        </w:rPr>
        <w:t>sh tregun e bashkuar Shqipëri–</w:t>
      </w:r>
      <w:r w:rsidRPr="00BD6C39">
        <w:rPr>
          <w:rFonts w:ascii="Garamond" w:hAnsi="Garamond"/>
          <w:color w:val="000000"/>
          <w:sz w:val="24"/>
          <w:szCs w:val="24"/>
        </w:rPr>
        <w:t xml:space="preserve">Kosovë, gjatë periudhave kur </w:t>
      </w:r>
      <w:r w:rsidRPr="0087391A">
        <w:rPr>
          <w:rFonts w:ascii="Garamond" w:hAnsi="Garamond"/>
          <w:color w:val="000000"/>
          <w:sz w:val="24"/>
          <w:szCs w:val="24"/>
        </w:rPr>
        <w:t>të dy</w:t>
      </w:r>
      <w:r w:rsidR="00AA149C" w:rsidRPr="0087391A">
        <w:rPr>
          <w:rFonts w:ascii="Garamond" w:hAnsi="Garamond"/>
          <w:color w:val="000000"/>
          <w:sz w:val="24"/>
          <w:szCs w:val="24"/>
        </w:rPr>
        <w:t>ja</w:t>
      </w:r>
      <w:r w:rsidRPr="0087391A">
        <w:rPr>
          <w:rFonts w:ascii="Garamond" w:hAnsi="Garamond"/>
          <w:color w:val="000000"/>
          <w:sz w:val="24"/>
          <w:szCs w:val="24"/>
        </w:rPr>
        <w:t xml:space="preserve"> tregjet</w:t>
      </w:r>
      <w:r w:rsidRPr="00BD6C39">
        <w:rPr>
          <w:rFonts w:ascii="Garamond" w:hAnsi="Garamond"/>
          <w:color w:val="000000"/>
          <w:sz w:val="24"/>
          <w:szCs w:val="24"/>
        </w:rPr>
        <w:t xml:space="preserve"> kanë qenë të bashkuara dhe kanë prodhuar rezultate.</w:t>
      </w:r>
    </w:p>
    <w:p w14:paraId="53B36202" w14:textId="41777BE1" w:rsidR="007F6030" w:rsidRPr="00BD6C39" w:rsidRDefault="007F6030" w:rsidP="007F6030">
      <w:pPr>
        <w:tabs>
          <w:tab w:val="left" w:pos="400"/>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s="Courier New"/>
          <w:color w:val="000000"/>
          <w:sz w:val="24"/>
          <w:szCs w:val="24"/>
        </w:rPr>
      </w:pPr>
      <w:r w:rsidRPr="00BD6C39">
        <w:rPr>
          <w:rFonts w:ascii="Garamond" w:hAnsi="Garamond"/>
          <w:color w:val="000000"/>
          <w:sz w:val="24"/>
          <w:szCs w:val="24"/>
        </w:rPr>
        <w:t>4.</w:t>
      </w:r>
      <w:r w:rsidRPr="00BD6C39">
        <w:rPr>
          <w:rFonts w:ascii="Garamond" w:hAnsi="Garamond"/>
          <w:color w:val="000000"/>
        </w:rPr>
        <w:t xml:space="preserve"> </w:t>
      </w:r>
      <w:r w:rsidRPr="00BD6C39">
        <w:rPr>
          <w:rFonts w:ascii="Garamond" w:hAnsi="Garamond"/>
          <w:color w:val="000000"/>
          <w:sz w:val="24"/>
          <w:szCs w:val="24"/>
        </w:rPr>
        <w:t xml:space="preserve">ERE ka të drejtë të përzgjedhë disa tregje të ditës në avancë në Bashkimin </w:t>
      </w:r>
      <w:r w:rsidR="00AA149C" w:rsidRPr="00BD6C39">
        <w:rPr>
          <w:rFonts w:ascii="Garamond" w:hAnsi="Garamond"/>
          <w:color w:val="000000"/>
          <w:sz w:val="24"/>
          <w:szCs w:val="24"/>
        </w:rPr>
        <w:t>Evropian</w:t>
      </w:r>
      <w:r w:rsidRPr="00BD6C39">
        <w:rPr>
          <w:rFonts w:ascii="Garamond" w:hAnsi="Garamond"/>
          <w:color w:val="000000"/>
          <w:sz w:val="24"/>
          <w:szCs w:val="24"/>
        </w:rPr>
        <w:t xml:space="preserve"> për të kryer një vlerësim krahasimor të përshtatshëm dhe të marrë në konsideratë metodologjitë e përdorura nga ACER</w:t>
      </w:r>
      <w:r w:rsidR="00AA149C">
        <w:rPr>
          <w:rFonts w:ascii="Garamond" w:hAnsi="Garamond"/>
          <w:color w:val="000000"/>
          <w:sz w:val="24"/>
          <w:szCs w:val="24"/>
        </w:rPr>
        <w:t>-i</w:t>
      </w:r>
      <w:r w:rsidRPr="00BD6C39">
        <w:rPr>
          <w:rFonts w:ascii="Garamond" w:hAnsi="Garamond"/>
          <w:color w:val="000000"/>
          <w:sz w:val="24"/>
          <w:szCs w:val="24"/>
        </w:rPr>
        <w:t xml:space="preserve"> për vlerësimin e gatishmërisë së tregut.</w:t>
      </w:r>
    </w:p>
    <w:p w14:paraId="23C3CA88" w14:textId="6FCF9B2D" w:rsidR="007F6030" w:rsidRPr="00BD6C39" w:rsidRDefault="007F6030" w:rsidP="007F6030">
      <w:pPr>
        <w:tabs>
          <w:tab w:val="left" w:pos="400"/>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olor w:val="000000"/>
          <w:sz w:val="24"/>
          <w:szCs w:val="24"/>
        </w:rPr>
      </w:pPr>
      <w:r w:rsidRPr="00BD6C39">
        <w:rPr>
          <w:rFonts w:ascii="Garamond" w:hAnsi="Garamond"/>
          <w:color w:val="000000"/>
          <w:sz w:val="24"/>
          <w:szCs w:val="24"/>
        </w:rPr>
        <w:t>5.</w:t>
      </w:r>
      <w:r w:rsidRPr="00BD6C39">
        <w:rPr>
          <w:rFonts w:ascii="Garamond" w:hAnsi="Garamond"/>
          <w:color w:val="000000"/>
        </w:rPr>
        <w:t xml:space="preserve"> </w:t>
      </w:r>
      <w:r w:rsidRPr="00BD6C39">
        <w:rPr>
          <w:rFonts w:ascii="Garamond" w:hAnsi="Garamond"/>
          <w:color w:val="000000"/>
          <w:sz w:val="24"/>
          <w:szCs w:val="24"/>
        </w:rPr>
        <w:t>ERE do të kërkojë nga Bursa Shqiptare e Energjisë</w:t>
      </w:r>
      <w:r w:rsidR="00AA149C">
        <w:rPr>
          <w:rFonts w:ascii="Garamond" w:hAnsi="Garamond"/>
          <w:color w:val="000000"/>
          <w:sz w:val="24"/>
          <w:szCs w:val="24"/>
        </w:rPr>
        <w:t xml:space="preserve"> </w:t>
      </w:r>
      <w:r w:rsidRPr="00BD6C39">
        <w:rPr>
          <w:rFonts w:ascii="Garamond" w:hAnsi="Garamond"/>
          <w:color w:val="000000"/>
          <w:sz w:val="24"/>
          <w:szCs w:val="24"/>
        </w:rPr>
        <w:t>të dhëna të detajuara mbi ofertat, çmimet dhe vëllimet e tregut të ditës në avancë</w:t>
      </w:r>
      <w:r w:rsidR="00AA149C">
        <w:rPr>
          <w:rFonts w:ascii="Garamond" w:hAnsi="Garamond"/>
          <w:color w:val="000000"/>
          <w:sz w:val="24"/>
          <w:szCs w:val="24"/>
        </w:rPr>
        <w:t>,</w:t>
      </w:r>
      <w:r w:rsidRPr="00BD6C39">
        <w:rPr>
          <w:rFonts w:ascii="Garamond" w:hAnsi="Garamond"/>
          <w:color w:val="000000"/>
          <w:sz w:val="24"/>
          <w:szCs w:val="24"/>
        </w:rPr>
        <w:t xml:space="preserve"> si edhe të dhëna krahasuese nga vendet e</w:t>
      </w:r>
      <w:r w:rsidR="00514A36" w:rsidRPr="00BD6C39">
        <w:rPr>
          <w:rFonts w:ascii="Garamond" w:hAnsi="Garamond"/>
          <w:color w:val="000000"/>
          <w:sz w:val="24"/>
          <w:szCs w:val="24"/>
        </w:rPr>
        <w:t xml:space="preserve"> </w:t>
      </w:r>
      <w:r w:rsidRPr="00BD6C39">
        <w:rPr>
          <w:rFonts w:ascii="Garamond" w:hAnsi="Garamond"/>
          <w:color w:val="000000"/>
          <w:sz w:val="24"/>
          <w:szCs w:val="24"/>
        </w:rPr>
        <w:t>përzgjedhura për të kryer vlerësimin duke përdorur treguesit e përzgjedhu</w:t>
      </w:r>
      <w:r w:rsidR="00AA149C">
        <w:rPr>
          <w:rFonts w:ascii="Garamond" w:hAnsi="Garamond"/>
          <w:color w:val="000000"/>
          <w:sz w:val="24"/>
          <w:szCs w:val="24"/>
        </w:rPr>
        <w:t>r dhe karakteristikat e tregut.</w:t>
      </w:r>
    </w:p>
    <w:p w14:paraId="293D9B26" w14:textId="5C90FACD" w:rsidR="007F6030" w:rsidRPr="00BD6C39" w:rsidRDefault="007F6030" w:rsidP="007F6030">
      <w:pPr>
        <w:tabs>
          <w:tab w:val="left" w:pos="400"/>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olor w:val="000000"/>
          <w:sz w:val="24"/>
          <w:szCs w:val="24"/>
        </w:rPr>
      </w:pPr>
      <w:r w:rsidRPr="00BD6C39">
        <w:rPr>
          <w:rFonts w:ascii="Garamond" w:hAnsi="Garamond"/>
          <w:color w:val="000000"/>
          <w:sz w:val="24"/>
          <w:szCs w:val="24"/>
        </w:rPr>
        <w:t>6.</w:t>
      </w:r>
      <w:r w:rsidRPr="00BD6C39">
        <w:rPr>
          <w:rFonts w:ascii="Garamond" w:hAnsi="Garamond"/>
          <w:color w:val="000000"/>
        </w:rPr>
        <w:t xml:space="preserve"> </w:t>
      </w:r>
      <w:r w:rsidRPr="00BD6C39">
        <w:rPr>
          <w:rFonts w:ascii="Garamond" w:hAnsi="Garamond"/>
          <w:color w:val="000000"/>
          <w:sz w:val="24"/>
          <w:szCs w:val="24"/>
        </w:rPr>
        <w:t>Përveç vlerave të treguesve të llogaritura dhe të publikuara nga ACER</w:t>
      </w:r>
      <w:r w:rsidR="00AA149C">
        <w:rPr>
          <w:rFonts w:ascii="Garamond" w:hAnsi="Garamond"/>
          <w:color w:val="000000"/>
          <w:sz w:val="24"/>
          <w:szCs w:val="24"/>
        </w:rPr>
        <w:t>-i</w:t>
      </w:r>
      <w:r w:rsidRPr="00BD6C39">
        <w:rPr>
          <w:rFonts w:ascii="Garamond" w:hAnsi="Garamond"/>
          <w:color w:val="000000"/>
          <w:sz w:val="24"/>
          <w:szCs w:val="24"/>
        </w:rPr>
        <w:t>, ERE do të përdorë të dhëna të publikuara nga autoritetet rregullatore të vendeve krahasuese përkatëse dhe nga vetë bursat e energjisë elektrike. Në rastet kur ERE ka nevojë për të dhëna konfidenciale që nuk janë publikisht të disponueshme për të kryer vlerësimin e gatishmërisë së tregut, ajo do të duhet t’i marrë ato nga rregullatorët apo bursat e tjera të ene</w:t>
      </w:r>
      <w:r w:rsidR="00AA149C">
        <w:rPr>
          <w:rFonts w:ascii="Garamond" w:hAnsi="Garamond"/>
          <w:color w:val="000000"/>
          <w:sz w:val="24"/>
          <w:szCs w:val="24"/>
        </w:rPr>
        <w:t>rgjisë.</w:t>
      </w:r>
    </w:p>
    <w:p w14:paraId="3B75CF2E" w14:textId="40F26716" w:rsidR="007F6030" w:rsidRPr="00BD6C39" w:rsidRDefault="007F6030" w:rsidP="007F6030">
      <w:pPr>
        <w:tabs>
          <w:tab w:val="left" w:pos="400"/>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olor w:val="000000"/>
          <w:sz w:val="24"/>
          <w:szCs w:val="24"/>
        </w:rPr>
      </w:pPr>
      <w:r w:rsidRPr="00BD6C39">
        <w:rPr>
          <w:rFonts w:ascii="Garamond" w:hAnsi="Garamond"/>
          <w:color w:val="000000"/>
          <w:sz w:val="24"/>
          <w:szCs w:val="24"/>
        </w:rPr>
        <w:t>7.</w:t>
      </w:r>
      <w:r w:rsidRPr="00BD6C39">
        <w:rPr>
          <w:rFonts w:ascii="Garamond" w:hAnsi="Garamond"/>
          <w:color w:val="000000"/>
        </w:rPr>
        <w:t xml:space="preserve"> </w:t>
      </w:r>
      <w:r w:rsidRPr="00BD6C39">
        <w:rPr>
          <w:rFonts w:ascii="Garamond" w:hAnsi="Garamond"/>
          <w:color w:val="000000"/>
          <w:sz w:val="24"/>
          <w:szCs w:val="24"/>
        </w:rPr>
        <w:t>ERE do të organizojë një këshillim publik me palët e interesuara</w:t>
      </w:r>
      <w:r w:rsidR="00AA149C">
        <w:rPr>
          <w:rFonts w:ascii="Garamond" w:hAnsi="Garamond"/>
          <w:color w:val="000000"/>
          <w:sz w:val="24"/>
          <w:szCs w:val="24"/>
        </w:rPr>
        <w:t>,</w:t>
      </w:r>
      <w:r w:rsidRPr="00BD6C39">
        <w:rPr>
          <w:rFonts w:ascii="Garamond" w:hAnsi="Garamond"/>
          <w:color w:val="000000"/>
          <w:sz w:val="24"/>
          <w:szCs w:val="24"/>
        </w:rPr>
        <w:t xml:space="preserve"> në lidhje me vlerësimin e gatishmërisë së tregut dhe do të publikojë një raport të këtij vlerësimi së bashku me gjetjet e saj.</w:t>
      </w:r>
    </w:p>
    <w:p w14:paraId="3199F167" w14:textId="77777777" w:rsidR="007F6030" w:rsidRPr="00BD6C39" w:rsidRDefault="007F6030" w:rsidP="007F6030">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olor w:val="000000"/>
          <w:sz w:val="24"/>
          <w:szCs w:val="24"/>
        </w:rPr>
      </w:pPr>
    </w:p>
    <w:p w14:paraId="79CEC026" w14:textId="77777777" w:rsidR="007F6030" w:rsidRPr="00BD6C39" w:rsidRDefault="007F6030" w:rsidP="007F6030">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center"/>
        <w:rPr>
          <w:rFonts w:ascii="Garamond" w:hAnsi="Garamond"/>
          <w:bCs/>
          <w:color w:val="000000"/>
          <w:sz w:val="24"/>
          <w:szCs w:val="24"/>
        </w:rPr>
      </w:pPr>
      <w:r w:rsidRPr="00BD6C39">
        <w:rPr>
          <w:rFonts w:ascii="Garamond" w:hAnsi="Garamond"/>
          <w:bCs/>
          <w:color w:val="000000"/>
          <w:sz w:val="24"/>
          <w:szCs w:val="24"/>
        </w:rPr>
        <w:t>Neni 5</w:t>
      </w:r>
    </w:p>
    <w:p w14:paraId="2011ADA5" w14:textId="77777777" w:rsidR="00AA149C" w:rsidRDefault="007F6030" w:rsidP="007F6030">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center"/>
        <w:rPr>
          <w:rFonts w:ascii="Garamond" w:hAnsi="Garamond"/>
          <w:b/>
          <w:bCs/>
          <w:color w:val="000000"/>
          <w:sz w:val="24"/>
          <w:szCs w:val="24"/>
        </w:rPr>
      </w:pPr>
      <w:r w:rsidRPr="00AA149C">
        <w:rPr>
          <w:rFonts w:ascii="Garamond" w:hAnsi="Garamond"/>
          <w:b/>
          <w:bCs/>
          <w:color w:val="000000"/>
          <w:sz w:val="24"/>
          <w:szCs w:val="24"/>
        </w:rPr>
        <w:t xml:space="preserve">Treguesit për vlerësimin e gatishmërisë së tregut shqiptar të energjisë elektrike të ditës në avancë </w:t>
      </w:r>
    </w:p>
    <w:p w14:paraId="5772C29A" w14:textId="77777777" w:rsidR="00A352F2" w:rsidRDefault="00A352F2" w:rsidP="007F6030">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center"/>
        <w:rPr>
          <w:rFonts w:ascii="Garamond" w:hAnsi="Garamond"/>
          <w:b/>
          <w:bCs/>
          <w:color w:val="000000"/>
          <w:sz w:val="24"/>
          <w:szCs w:val="24"/>
        </w:rPr>
      </w:pPr>
    </w:p>
    <w:p w14:paraId="3F837B06" w14:textId="74953E9A" w:rsidR="007F6030" w:rsidRPr="00AA149C" w:rsidRDefault="007F6030" w:rsidP="00AA149C">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olor w:val="000000"/>
          <w:sz w:val="24"/>
          <w:szCs w:val="24"/>
        </w:rPr>
      </w:pPr>
      <w:r w:rsidRPr="00AA149C">
        <w:rPr>
          <w:rFonts w:ascii="Garamond" w:hAnsi="Garamond"/>
          <w:color w:val="000000"/>
          <w:sz w:val="24"/>
          <w:szCs w:val="24"/>
        </w:rPr>
        <w:t>ERE</w:t>
      </w:r>
      <w:r w:rsidR="00AA149C">
        <w:rPr>
          <w:rFonts w:ascii="Garamond" w:hAnsi="Garamond"/>
          <w:color w:val="000000"/>
          <w:sz w:val="24"/>
          <w:szCs w:val="24"/>
        </w:rPr>
        <w:t>,</w:t>
      </w:r>
      <w:r w:rsidRPr="00AA149C">
        <w:rPr>
          <w:rFonts w:ascii="Garamond" w:hAnsi="Garamond"/>
          <w:color w:val="000000"/>
          <w:sz w:val="24"/>
          <w:szCs w:val="24"/>
        </w:rPr>
        <w:t xml:space="preserve"> në përgatitjen e raportit për vlerësimin e gatishmërinë e tregut të ditës në avancë të energjisë elektrike, duhet të marrë parasysh faktorët e mëposhtëm: </w:t>
      </w:r>
    </w:p>
    <w:p w14:paraId="32136EF2" w14:textId="05CADD49" w:rsidR="007F6030" w:rsidRPr="00AA149C" w:rsidRDefault="007F6030" w:rsidP="007F6030">
      <w:pPr>
        <w:tabs>
          <w:tab w:val="left" w:pos="400"/>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olor w:val="000000"/>
          <w:sz w:val="24"/>
          <w:szCs w:val="24"/>
        </w:rPr>
      </w:pPr>
      <w:r w:rsidRPr="00AA149C">
        <w:rPr>
          <w:rFonts w:ascii="Garamond" w:hAnsi="Garamond"/>
          <w:bCs/>
          <w:iCs/>
          <w:color w:val="000000"/>
          <w:sz w:val="24"/>
          <w:szCs w:val="24"/>
        </w:rPr>
        <w:t>a)</w:t>
      </w:r>
      <w:r w:rsidRPr="00AA149C">
        <w:rPr>
          <w:rFonts w:ascii="Garamond" w:hAnsi="Garamond"/>
          <w:b/>
          <w:bCs/>
          <w:iCs/>
          <w:color w:val="000000"/>
        </w:rPr>
        <w:t xml:space="preserve"> </w:t>
      </w:r>
      <w:r w:rsidRPr="00AA149C">
        <w:rPr>
          <w:rFonts w:ascii="Garamond" w:hAnsi="Garamond"/>
          <w:b/>
          <w:bCs/>
          <w:iCs/>
          <w:color w:val="000000"/>
          <w:sz w:val="24"/>
          <w:szCs w:val="24"/>
        </w:rPr>
        <w:t>Disponueshmëria e çmimeve të tregut të ditës në avancë të Bursës Shqiptare të Energjisë</w:t>
      </w:r>
      <w:r w:rsidRPr="00AA149C">
        <w:rPr>
          <w:rFonts w:ascii="Garamond" w:hAnsi="Garamond"/>
          <w:color w:val="000000"/>
          <w:sz w:val="24"/>
          <w:szCs w:val="24"/>
        </w:rPr>
        <w:t>, e cila nënkupton marrjen e një sinjali të pandërprerë të çmimit të tregut të ditës në avancë nga bursa e energjisë elektr</w:t>
      </w:r>
      <w:r w:rsidR="00AA149C">
        <w:rPr>
          <w:rFonts w:ascii="Garamond" w:hAnsi="Garamond"/>
          <w:color w:val="000000"/>
          <w:sz w:val="24"/>
          <w:szCs w:val="24"/>
        </w:rPr>
        <w:t>ike për një periudhë 10-mujore;</w:t>
      </w:r>
    </w:p>
    <w:p w14:paraId="2E94049E" w14:textId="77777777" w:rsidR="007F6030" w:rsidRPr="00BD6C39" w:rsidRDefault="007F6030" w:rsidP="007F6030">
      <w:pPr>
        <w:tabs>
          <w:tab w:val="left" w:pos="400"/>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olor w:val="000000"/>
          <w:sz w:val="24"/>
          <w:szCs w:val="24"/>
        </w:rPr>
      </w:pPr>
      <w:r w:rsidRPr="00AA149C">
        <w:rPr>
          <w:rFonts w:ascii="Garamond" w:hAnsi="Garamond"/>
          <w:bCs/>
          <w:iCs/>
          <w:color w:val="000000"/>
          <w:sz w:val="24"/>
          <w:szCs w:val="24"/>
        </w:rPr>
        <w:lastRenderedPageBreak/>
        <w:t>b)</w:t>
      </w:r>
      <w:r w:rsidRPr="00AA149C">
        <w:rPr>
          <w:rFonts w:ascii="Garamond" w:hAnsi="Garamond"/>
          <w:b/>
          <w:bCs/>
          <w:iCs/>
          <w:color w:val="000000"/>
        </w:rPr>
        <w:t xml:space="preserve"> </w:t>
      </w:r>
      <w:r w:rsidRPr="00AA149C">
        <w:rPr>
          <w:rFonts w:ascii="Garamond" w:hAnsi="Garamond"/>
          <w:b/>
          <w:bCs/>
          <w:iCs/>
          <w:color w:val="000000"/>
          <w:sz w:val="24"/>
          <w:szCs w:val="24"/>
        </w:rPr>
        <w:t>Faktori i qarkullimit</w:t>
      </w:r>
      <w:r w:rsidRPr="00AA149C">
        <w:rPr>
          <w:rFonts w:ascii="Garamond" w:hAnsi="Garamond"/>
          <w:color w:val="000000"/>
          <w:sz w:val="24"/>
          <w:szCs w:val="24"/>
        </w:rPr>
        <w:t>, i cili përcaktohet si sasia e energjisë elektrike të tregtuar në një treg krahasuar me konsumin total. Në kontekstin</w:t>
      </w:r>
      <w:r w:rsidRPr="00BD6C39">
        <w:rPr>
          <w:rFonts w:ascii="Garamond" w:hAnsi="Garamond"/>
          <w:color w:val="000000"/>
          <w:sz w:val="24"/>
          <w:szCs w:val="24"/>
        </w:rPr>
        <w:t xml:space="preserve"> e Tregut të Ditës në Avancë (DAM), faktori i qarkullimit ofron një tregues të sasisë së tregtisë në bursën e energjisë elektrike në raport me madhësinë fizike të tregut. Llogaritja e faktorëve të qarkullimit në tregun shqiptar do të kërkojë të dhëna mbi vëllimet e tregtuara në Tregun e Ditës në Avancë dhe konsumin orar të energjisë në zonat relevante të tregut. Ky faktor do të përcaktohet nëpërmjet njërës nga mënyrat e mëposhtme:</w:t>
      </w:r>
    </w:p>
    <w:p w14:paraId="7F81FEE8" w14:textId="77777777" w:rsidR="007F6030" w:rsidRPr="00BD6C39" w:rsidRDefault="007F6030" w:rsidP="007F6030">
      <w:pPr>
        <w:spacing w:after="0" w:line="240" w:lineRule="auto"/>
        <w:ind w:firstLine="284"/>
        <w:jc w:val="both"/>
        <w:rPr>
          <w:rFonts w:ascii="Garamond" w:eastAsia="SimSun" w:hAnsi="Garamond"/>
          <w:sz w:val="24"/>
          <w:szCs w:val="24"/>
        </w:rPr>
      </w:pPr>
    </w:p>
    <w:p w14:paraId="391CFE7F" w14:textId="77777777" w:rsidR="007F6030" w:rsidRPr="00BD6C39" w:rsidRDefault="00ED76AE" w:rsidP="007F6030">
      <w:pPr>
        <w:spacing w:after="0" w:line="240" w:lineRule="auto"/>
        <w:ind w:firstLine="284"/>
        <w:jc w:val="both"/>
        <w:rPr>
          <w:rFonts w:ascii="Garamond" w:eastAsia="SimSun" w:hAnsi="Garamond"/>
          <w:sz w:val="24"/>
          <w:szCs w:val="24"/>
        </w:rPr>
      </w:pPr>
      <m:oMathPara>
        <m:oMath>
          <m:nary>
            <m:naryPr>
              <m:chr m:val="∑"/>
              <m:limLoc m:val="undOvr"/>
              <m:supHide m:val="1"/>
              <m:ctrlPr>
                <w:rPr>
                  <w:rFonts w:ascii="Cambria Math" w:hAnsi="Cambria Math"/>
                  <w:i/>
                  <w:iCs/>
                  <w:kern w:val="2"/>
                  <w:sz w:val="24"/>
                  <w:szCs w:val="24"/>
                  <w14:ligatures w14:val="standardContextual"/>
                </w:rPr>
              </m:ctrlPr>
            </m:naryPr>
            <m:sub>
              <m:r>
                <w:rPr>
                  <w:rFonts w:ascii="Cambria Math" w:hAnsi="Cambria Math"/>
                  <w:sz w:val="24"/>
                  <w:szCs w:val="24"/>
                </w:rPr>
                <m:t>h</m:t>
              </m:r>
            </m:sub>
            <m:sup/>
            <m:e>
              <m:f>
                <m:fPr>
                  <m:ctrlPr>
                    <w:rPr>
                      <w:rFonts w:ascii="Cambria Math" w:hAnsi="Cambria Math"/>
                      <w:i/>
                      <w:iCs/>
                      <w:kern w:val="2"/>
                      <w:sz w:val="24"/>
                      <w:szCs w:val="24"/>
                      <w14:ligatures w14:val="standardContextual"/>
                    </w:rPr>
                  </m:ctrlPr>
                </m:fPr>
                <m:num>
                  <m:r>
                    <w:rPr>
                      <w:rFonts w:ascii="Cambria Math" w:hAnsi="Cambria Math"/>
                      <w:sz w:val="24"/>
                      <w:szCs w:val="24"/>
                    </w:rPr>
                    <m:t>Volumi i Tregtimit DAM në orën h</m:t>
                  </m:r>
                </m:num>
                <m:den>
                  <m:r>
                    <w:rPr>
                      <w:rFonts w:ascii="Cambria Math" w:hAnsi="Cambria Math"/>
                      <w:sz w:val="24"/>
                      <w:szCs w:val="24"/>
                    </w:rPr>
                    <m:t>Konsumi në orën h</m:t>
                  </m:r>
                </m:den>
              </m:f>
            </m:e>
          </m:nary>
        </m:oMath>
      </m:oMathPara>
    </w:p>
    <w:p w14:paraId="285C1D7D" w14:textId="77777777" w:rsidR="007F6030" w:rsidRPr="00BD6C39" w:rsidRDefault="007F6030" w:rsidP="007F6030">
      <w:pPr>
        <w:spacing w:after="0" w:line="240" w:lineRule="auto"/>
        <w:ind w:firstLine="284"/>
        <w:jc w:val="both"/>
        <w:rPr>
          <w:rFonts w:ascii="Garamond" w:eastAsia="SimSun" w:hAnsi="Garamond"/>
          <w:sz w:val="24"/>
          <w:szCs w:val="24"/>
        </w:rPr>
      </w:pPr>
      <w:r w:rsidRPr="00BD6C39">
        <w:rPr>
          <w:rFonts w:ascii="Garamond" w:eastAsia="SimSun" w:hAnsi="Garamond"/>
          <w:sz w:val="24"/>
          <w:szCs w:val="24"/>
        </w:rPr>
        <w:t>ose</w:t>
      </w:r>
    </w:p>
    <w:p w14:paraId="70E40598" w14:textId="77777777" w:rsidR="007F6030" w:rsidRPr="00BD6C39" w:rsidRDefault="00ED76AE" w:rsidP="007F6030">
      <w:pPr>
        <w:pStyle w:val="BodyText"/>
        <w:spacing w:after="0"/>
        <w:ind w:firstLine="284"/>
        <w:rPr>
          <w:rFonts w:ascii="Garamond" w:eastAsiaTheme="minorHAnsi" w:hAnsi="Garamond"/>
          <w:i/>
          <w:kern w:val="2"/>
          <w:sz w:val="24"/>
          <w:szCs w:val="24"/>
          <w:lang w:val="sq-AL"/>
          <w14:ligatures w14:val="standardContextual"/>
        </w:rPr>
      </w:pPr>
      <m:oMathPara>
        <m:oMath>
          <m:f>
            <m:fPr>
              <m:ctrlPr>
                <w:rPr>
                  <w:rFonts w:ascii="Cambria Math" w:hAnsi="Cambria Math"/>
                  <w:i/>
                  <w:iCs/>
                  <w:kern w:val="2"/>
                  <w:sz w:val="24"/>
                  <w:szCs w:val="24"/>
                  <w:lang w:val="sq-AL"/>
                  <w14:ligatures w14:val="standardContextual"/>
                </w:rPr>
              </m:ctrlPr>
            </m:fPr>
            <m:num>
              <m:nary>
                <m:naryPr>
                  <m:chr m:val="∑"/>
                  <m:limLoc m:val="undOvr"/>
                  <m:supHide m:val="1"/>
                  <m:ctrlPr>
                    <w:rPr>
                      <w:rFonts w:ascii="Cambria Math" w:hAnsi="Cambria Math"/>
                      <w:i/>
                      <w:iCs/>
                      <w:kern w:val="2"/>
                      <w:sz w:val="24"/>
                      <w:szCs w:val="24"/>
                      <w:lang w:val="sq-AL"/>
                      <w14:ligatures w14:val="standardContextual"/>
                    </w:rPr>
                  </m:ctrlPr>
                </m:naryPr>
                <m:sub>
                  <m:r>
                    <w:rPr>
                      <w:rFonts w:ascii="Cambria Math" w:hAnsi="Cambria Math"/>
                      <w:sz w:val="24"/>
                      <w:szCs w:val="24"/>
                      <w:lang w:val="sq-AL"/>
                    </w:rPr>
                    <m:t>h</m:t>
                  </m:r>
                </m:sub>
                <m:sup/>
                <m:e>
                  <m:r>
                    <w:rPr>
                      <w:rFonts w:ascii="Cambria Math" w:hAnsi="Cambria Math"/>
                      <w:sz w:val="24"/>
                      <w:szCs w:val="24"/>
                      <w:lang w:val="sq-AL"/>
                    </w:rPr>
                    <m:t>Volumi i Tregtimit DAM në orën h</m:t>
                  </m:r>
                </m:e>
              </m:nary>
            </m:num>
            <m:den>
              <m:nary>
                <m:naryPr>
                  <m:chr m:val="∑"/>
                  <m:limLoc m:val="undOvr"/>
                  <m:supHide m:val="1"/>
                  <m:ctrlPr>
                    <w:rPr>
                      <w:rFonts w:ascii="Cambria Math" w:hAnsi="Cambria Math"/>
                      <w:i/>
                      <w:iCs/>
                      <w:kern w:val="2"/>
                      <w:sz w:val="24"/>
                      <w:szCs w:val="24"/>
                      <w:lang w:val="sq-AL"/>
                      <w14:ligatures w14:val="standardContextual"/>
                    </w:rPr>
                  </m:ctrlPr>
                </m:naryPr>
                <m:sub>
                  <m:r>
                    <w:rPr>
                      <w:rFonts w:ascii="Cambria Math" w:hAnsi="Cambria Math"/>
                      <w:sz w:val="24"/>
                      <w:szCs w:val="24"/>
                      <w:lang w:val="sq-AL"/>
                    </w:rPr>
                    <m:t>h</m:t>
                  </m:r>
                </m:sub>
                <m:sup/>
                <m:e>
                  <m:r>
                    <w:rPr>
                      <w:rFonts w:ascii="Cambria Math" w:hAnsi="Cambria Math"/>
                      <w:sz w:val="24"/>
                      <w:szCs w:val="24"/>
                      <w:lang w:val="sq-AL"/>
                    </w:rPr>
                    <m:t>Konsumi në orën h</m:t>
                  </m:r>
                </m:e>
              </m:nary>
            </m:den>
          </m:f>
        </m:oMath>
      </m:oMathPara>
    </w:p>
    <w:p w14:paraId="76B79978" w14:textId="77777777" w:rsidR="007F6030" w:rsidRPr="00BD6C39" w:rsidRDefault="007F6030" w:rsidP="007F6030">
      <w:pPr>
        <w:spacing w:after="0" w:line="240" w:lineRule="auto"/>
        <w:ind w:firstLine="284"/>
        <w:jc w:val="both"/>
        <w:rPr>
          <w:rFonts w:ascii="Garamond" w:eastAsia="SimSun" w:hAnsi="Garamond"/>
          <w:i/>
          <w:iCs/>
          <w:sz w:val="24"/>
          <w:szCs w:val="24"/>
        </w:rPr>
      </w:pPr>
      <w:r w:rsidRPr="00BD6C39">
        <w:rPr>
          <w:rFonts w:ascii="Garamond" w:eastAsia="SimSun" w:hAnsi="Garamond"/>
          <w:i/>
          <w:iCs/>
          <w:sz w:val="24"/>
          <w:szCs w:val="24"/>
        </w:rPr>
        <w:t xml:space="preserve">ku </w:t>
      </w:r>
      <w:r w:rsidRPr="00BD6C39">
        <w:rPr>
          <w:rFonts w:ascii="Garamond" w:eastAsia="SimSun" w:hAnsi="Garamond"/>
          <w:b/>
          <w:bCs/>
          <w:i/>
          <w:iCs/>
          <w:sz w:val="24"/>
          <w:szCs w:val="24"/>
        </w:rPr>
        <w:t>h</w:t>
      </w:r>
      <w:r w:rsidRPr="00BD6C39">
        <w:rPr>
          <w:rFonts w:ascii="Garamond" w:eastAsia="SimSun" w:hAnsi="Garamond"/>
          <w:i/>
          <w:iCs/>
          <w:sz w:val="24"/>
          <w:szCs w:val="24"/>
        </w:rPr>
        <w:t xml:space="preserve"> është çdo orë në periudhën për të cilën do të kryhet vlerësimi.</w:t>
      </w:r>
    </w:p>
    <w:p w14:paraId="7C87772B" w14:textId="77777777" w:rsidR="007F6030" w:rsidRPr="00BD6C39" w:rsidRDefault="007F6030" w:rsidP="007F6030">
      <w:pPr>
        <w:pStyle w:val="HTMLPreformatted"/>
        <w:tabs>
          <w:tab w:val="left" w:pos="414"/>
        </w:tabs>
        <w:ind w:firstLine="284"/>
        <w:jc w:val="both"/>
        <w:rPr>
          <w:rStyle w:val="y2iqfc"/>
          <w:rFonts w:ascii="Garamond" w:hAnsi="Garamond" w:cs="Times New Roman"/>
          <w:sz w:val="24"/>
          <w:szCs w:val="24"/>
        </w:rPr>
      </w:pPr>
    </w:p>
    <w:bookmarkEnd w:id="2"/>
    <w:p w14:paraId="73F3A015" w14:textId="2C91FCD8" w:rsidR="007F6030" w:rsidRPr="00BD6C39" w:rsidRDefault="007F6030" w:rsidP="007F6030">
      <w:pPr>
        <w:tabs>
          <w:tab w:val="left" w:pos="400"/>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olor w:val="000000"/>
          <w:sz w:val="24"/>
          <w:szCs w:val="24"/>
        </w:rPr>
      </w:pPr>
      <w:r w:rsidRPr="00BD6C39">
        <w:rPr>
          <w:rFonts w:ascii="Garamond" w:hAnsi="Garamond"/>
          <w:color w:val="000000"/>
          <w:sz w:val="24"/>
          <w:szCs w:val="24"/>
        </w:rPr>
        <w:t>1.</w:t>
      </w:r>
      <w:r w:rsidRPr="00BD6C39">
        <w:rPr>
          <w:rFonts w:ascii="Garamond" w:hAnsi="Garamond"/>
          <w:color w:val="000000"/>
        </w:rPr>
        <w:t xml:space="preserve"> </w:t>
      </w:r>
      <w:r w:rsidRPr="00BD6C39">
        <w:rPr>
          <w:rFonts w:ascii="Garamond" w:hAnsi="Garamond"/>
          <w:color w:val="000000"/>
          <w:sz w:val="24"/>
          <w:szCs w:val="24"/>
        </w:rPr>
        <w:t>ERE do të analizojë metodologjinë e ACER</w:t>
      </w:r>
      <w:r w:rsidR="00414FEF">
        <w:rPr>
          <w:rFonts w:ascii="Garamond" w:hAnsi="Garamond"/>
          <w:color w:val="000000"/>
          <w:sz w:val="24"/>
          <w:szCs w:val="24"/>
        </w:rPr>
        <w:t>-it</w:t>
      </w:r>
      <w:r w:rsidRPr="00BD6C39">
        <w:rPr>
          <w:rFonts w:ascii="Garamond" w:hAnsi="Garamond"/>
          <w:color w:val="000000"/>
          <w:sz w:val="24"/>
          <w:szCs w:val="24"/>
        </w:rPr>
        <w:t xml:space="preserve"> për llogaritjen e faktorit të qarkullimit që zbatohet për tregjet krahasuese për të vlerësuar përshta</w:t>
      </w:r>
      <w:r w:rsidR="00414FEF">
        <w:rPr>
          <w:rFonts w:ascii="Garamond" w:hAnsi="Garamond"/>
          <w:color w:val="000000"/>
          <w:sz w:val="24"/>
          <w:szCs w:val="24"/>
        </w:rPr>
        <w:t>t</w:t>
      </w:r>
      <w:r w:rsidRPr="00BD6C39">
        <w:rPr>
          <w:rFonts w:ascii="Garamond" w:hAnsi="Garamond"/>
          <w:color w:val="000000"/>
          <w:sz w:val="24"/>
          <w:szCs w:val="24"/>
        </w:rPr>
        <w:t>shmërinë e treguesve të publikuar për t’i krahasuar me faktorin e qarkullimit të Bursës Shqiptare të Energjisë. Krahasimi mes tregjeve të ndryshme duhet të marrë parasysh volumet e tregtuara në tregun e ditës në avancë nëpërmjet bursave kundrejt mënyrave të tjera të tregtimit.</w:t>
      </w:r>
    </w:p>
    <w:p w14:paraId="64514262" w14:textId="779DBA1D" w:rsidR="007F6030" w:rsidRPr="00BD6C39" w:rsidRDefault="007F6030" w:rsidP="007F6030">
      <w:pPr>
        <w:tabs>
          <w:tab w:val="left" w:pos="400"/>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olor w:val="000000"/>
          <w:sz w:val="24"/>
          <w:szCs w:val="24"/>
        </w:rPr>
      </w:pPr>
      <w:r w:rsidRPr="00BD6C39">
        <w:rPr>
          <w:rFonts w:ascii="Garamond" w:hAnsi="Garamond"/>
          <w:color w:val="000000"/>
          <w:sz w:val="24"/>
          <w:szCs w:val="24"/>
        </w:rPr>
        <w:t>2.</w:t>
      </w:r>
      <w:r w:rsidRPr="00BD6C39">
        <w:rPr>
          <w:rFonts w:ascii="Garamond" w:hAnsi="Garamond"/>
          <w:color w:val="000000"/>
        </w:rPr>
        <w:t xml:space="preserve"> </w:t>
      </w:r>
      <w:r w:rsidRPr="00BD6C39">
        <w:rPr>
          <w:rFonts w:ascii="Garamond" w:hAnsi="Garamond"/>
          <w:color w:val="000000"/>
          <w:sz w:val="24"/>
          <w:szCs w:val="24"/>
        </w:rPr>
        <w:t>Me qëllim ofrimin e një vlerësimi gjithëpërfshirës të gatishmërisë së tregut, ERE</w:t>
      </w:r>
      <w:r w:rsidR="00414FEF">
        <w:rPr>
          <w:rFonts w:ascii="Garamond" w:hAnsi="Garamond"/>
          <w:color w:val="000000"/>
          <w:sz w:val="24"/>
          <w:szCs w:val="24"/>
        </w:rPr>
        <w:t>,</w:t>
      </w:r>
      <w:r w:rsidRPr="00BD6C39">
        <w:rPr>
          <w:rFonts w:ascii="Garamond" w:hAnsi="Garamond"/>
          <w:color w:val="000000"/>
          <w:sz w:val="24"/>
          <w:szCs w:val="24"/>
        </w:rPr>
        <w:t xml:space="preserve"> përveç treguesve të përcaktuar në pikën 1 të këtij neni, mund të marrë në konsideratë dhe treguesit si më poshtë vijon, ku zbatueshmëria e tyre do të varet nga disponueshmëria e të dhënave për analizën e synuar krahasuese:</w:t>
      </w:r>
    </w:p>
    <w:p w14:paraId="1C6C9414" w14:textId="620AD372" w:rsidR="007F6030" w:rsidRPr="00BD6C39" w:rsidRDefault="007F6030" w:rsidP="007F6030">
      <w:pPr>
        <w:tabs>
          <w:tab w:val="left" w:pos="400"/>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olor w:val="000000"/>
          <w:sz w:val="24"/>
          <w:szCs w:val="24"/>
        </w:rPr>
      </w:pPr>
      <w:r w:rsidRPr="00414FEF">
        <w:rPr>
          <w:rFonts w:ascii="Garamond" w:hAnsi="Garamond"/>
          <w:color w:val="000000"/>
          <w:sz w:val="24"/>
          <w:szCs w:val="24"/>
        </w:rPr>
        <w:t>a)</w:t>
      </w:r>
      <w:r w:rsidR="00514A36" w:rsidRPr="00414FEF">
        <w:rPr>
          <w:rFonts w:ascii="Garamond" w:hAnsi="Garamond"/>
          <w:color w:val="000000"/>
        </w:rPr>
        <w:t xml:space="preserve"> </w:t>
      </w:r>
      <w:r w:rsidRPr="00414FEF">
        <w:rPr>
          <w:rFonts w:ascii="Garamond" w:hAnsi="Garamond"/>
          <w:b/>
          <w:bCs/>
          <w:iCs/>
          <w:color w:val="000000"/>
          <w:sz w:val="24"/>
          <w:szCs w:val="24"/>
        </w:rPr>
        <w:t>Diferenca mes kërkesës dhe ofertës</w:t>
      </w:r>
      <w:r w:rsidRPr="00414FEF">
        <w:rPr>
          <w:rFonts w:ascii="Garamond" w:hAnsi="Garamond"/>
          <w:color w:val="000000"/>
          <w:sz w:val="24"/>
          <w:szCs w:val="24"/>
        </w:rPr>
        <w:t>, e cila</w:t>
      </w:r>
      <w:r w:rsidRPr="00BD6C39">
        <w:rPr>
          <w:rFonts w:ascii="Garamond" w:hAnsi="Garamond"/>
          <w:color w:val="000000"/>
          <w:sz w:val="24"/>
          <w:szCs w:val="24"/>
        </w:rPr>
        <w:t xml:space="preserve"> përkufizohet si diferen</w:t>
      </w:r>
      <w:r w:rsidR="00414FEF">
        <w:rPr>
          <w:rFonts w:ascii="Garamond" w:hAnsi="Garamond"/>
          <w:color w:val="000000"/>
          <w:sz w:val="24"/>
          <w:szCs w:val="24"/>
        </w:rPr>
        <w:t>ca mes çmimit minimal të pasuks</w:t>
      </w:r>
      <w:r w:rsidRPr="00BD6C39">
        <w:rPr>
          <w:rFonts w:ascii="Garamond" w:hAnsi="Garamond"/>
          <w:color w:val="000000"/>
          <w:sz w:val="24"/>
          <w:szCs w:val="24"/>
        </w:rPr>
        <w:t>e</w:t>
      </w:r>
      <w:r w:rsidR="00414FEF">
        <w:rPr>
          <w:rFonts w:ascii="Garamond" w:hAnsi="Garamond"/>
          <w:color w:val="000000"/>
          <w:sz w:val="24"/>
          <w:szCs w:val="24"/>
        </w:rPr>
        <w:t>s</w:t>
      </w:r>
      <w:r w:rsidRPr="00BD6C39">
        <w:rPr>
          <w:rFonts w:ascii="Garamond" w:hAnsi="Garamond"/>
          <w:color w:val="000000"/>
          <w:sz w:val="24"/>
          <w:szCs w:val="24"/>
        </w:rPr>
        <w:t>shëm të kërkesës (në shitje) dhe çmimit maksimal të pasuksesshëm të ofertës (në blerje).</w:t>
      </w:r>
      <w:r w:rsidRPr="00BD6C39">
        <w:rPr>
          <w:rFonts w:ascii="Garamond" w:hAnsi="Garamond" w:cs="Courier New"/>
          <w:color w:val="000000"/>
          <w:sz w:val="24"/>
          <w:szCs w:val="24"/>
        </w:rPr>
        <w:t xml:space="preserve"> </w:t>
      </w:r>
      <w:r w:rsidRPr="00BD6C39">
        <w:rPr>
          <w:rFonts w:ascii="Garamond" w:hAnsi="Garamond"/>
          <w:color w:val="000000"/>
          <w:sz w:val="24"/>
          <w:szCs w:val="24"/>
        </w:rPr>
        <w:t>Diferenca midis ofertës dhe kërkesës pasqyron kostot e transaksionit të lidhura me një ndryshim të menjëhershëm në pozicionin kontraktual të pjesëmarrësve në treg.</w:t>
      </w:r>
      <w:r w:rsidR="00514A36" w:rsidRPr="00BD6C39">
        <w:rPr>
          <w:rFonts w:ascii="Garamond" w:hAnsi="Garamond"/>
          <w:color w:val="000000"/>
          <w:sz w:val="24"/>
          <w:szCs w:val="24"/>
        </w:rPr>
        <w:t xml:space="preserve"> </w:t>
      </w:r>
      <w:r w:rsidRPr="00BD6C39">
        <w:rPr>
          <w:rFonts w:ascii="Garamond" w:hAnsi="Garamond"/>
          <w:color w:val="000000"/>
          <w:sz w:val="24"/>
          <w:szCs w:val="24"/>
        </w:rPr>
        <w:t>Për rrjedhojë, kjo diferencë ofron një matje të drejtpërdrejtë të likuiditetit në terma të aftësisë së pjesëmarrësve në treg për të tregtuar vëllime margjinale shtesë të energjisë pa ndikuar ndjeshëm në çmim. Për të llogaritur diferencat ofertë</w:t>
      </w:r>
      <w:r w:rsidR="00414FEF">
        <w:rPr>
          <w:rFonts w:ascii="Garamond" w:hAnsi="Garamond"/>
          <w:color w:val="000000"/>
          <w:sz w:val="24"/>
          <w:szCs w:val="24"/>
        </w:rPr>
        <w:t>–</w:t>
      </w:r>
      <w:r w:rsidRPr="00BD6C39">
        <w:rPr>
          <w:rFonts w:ascii="Garamond" w:hAnsi="Garamond"/>
          <w:color w:val="000000"/>
          <w:sz w:val="24"/>
          <w:szCs w:val="24"/>
        </w:rPr>
        <w:t>kërkesë, është e nevojshme të mblidhen të dhëna mbi kurbat agregate orare të ofertës dhe kërkesës në tregun përkatës të ditës në avancë. Në mungesë të të dhënave për kurbat agregate, këto mund të llogariten nga informacioni mbi ofertat individuale të blerjes dhe shitjes.</w:t>
      </w:r>
      <w:r w:rsidRPr="00BD6C39">
        <w:rPr>
          <w:rFonts w:ascii="Garamond" w:hAnsi="Garamond" w:cs="Courier New"/>
          <w:color w:val="000000"/>
          <w:sz w:val="24"/>
          <w:szCs w:val="24"/>
        </w:rPr>
        <w:t xml:space="preserve"> </w:t>
      </w:r>
      <w:r w:rsidRPr="00BD6C39">
        <w:rPr>
          <w:rFonts w:ascii="Garamond" w:hAnsi="Garamond"/>
          <w:color w:val="000000"/>
          <w:sz w:val="24"/>
          <w:szCs w:val="24"/>
        </w:rPr>
        <w:t>Pas analizës së diferencës mes ofertës dhe kërkesës nga ALPEX</w:t>
      </w:r>
      <w:r w:rsidR="00414FEF">
        <w:rPr>
          <w:rFonts w:ascii="Garamond" w:hAnsi="Garamond"/>
          <w:color w:val="000000"/>
          <w:sz w:val="24"/>
          <w:szCs w:val="24"/>
        </w:rPr>
        <w:t>-i</w:t>
      </w:r>
      <w:r w:rsidRPr="00BD6C39">
        <w:rPr>
          <w:rFonts w:ascii="Garamond" w:hAnsi="Garamond"/>
          <w:color w:val="000000"/>
          <w:sz w:val="24"/>
          <w:szCs w:val="24"/>
        </w:rPr>
        <w:t xml:space="preserve"> dhe vendet e krahasimit, ERE do të përcaktojë matjen më të përshtatshme të diferencës ofertë</w:t>
      </w:r>
      <w:r w:rsidR="00414FEF">
        <w:rPr>
          <w:rFonts w:ascii="Garamond" w:hAnsi="Garamond"/>
          <w:color w:val="000000"/>
          <w:sz w:val="24"/>
          <w:szCs w:val="24"/>
        </w:rPr>
        <w:t>–</w:t>
      </w:r>
      <w:r w:rsidRPr="00BD6C39">
        <w:rPr>
          <w:rFonts w:ascii="Garamond" w:hAnsi="Garamond"/>
          <w:color w:val="000000"/>
          <w:sz w:val="24"/>
          <w:szCs w:val="24"/>
        </w:rPr>
        <w:t>kërkesë për krahasim, e cila mund të shprehet ose si një diferencë absolute (e rishikuar me inflacionin sipas nevojës)</w:t>
      </w:r>
      <w:r w:rsidR="00414FEF">
        <w:rPr>
          <w:rFonts w:ascii="Garamond" w:hAnsi="Garamond"/>
          <w:color w:val="000000"/>
          <w:sz w:val="24"/>
          <w:szCs w:val="24"/>
        </w:rPr>
        <w:t>,</w:t>
      </w:r>
      <w:r w:rsidRPr="00BD6C39">
        <w:rPr>
          <w:rFonts w:ascii="Garamond" w:hAnsi="Garamond"/>
          <w:color w:val="000000"/>
          <w:sz w:val="24"/>
          <w:szCs w:val="24"/>
        </w:rPr>
        <w:t xml:space="preserve"> ose si një përqindje relative e çmimit mesatar në çdo treg.</w:t>
      </w:r>
    </w:p>
    <w:p w14:paraId="0C797B04" w14:textId="48986601" w:rsidR="007F6030" w:rsidRPr="00BD6C39" w:rsidRDefault="007F6030" w:rsidP="007F6030">
      <w:pPr>
        <w:tabs>
          <w:tab w:val="left" w:pos="400"/>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olor w:val="000000"/>
          <w:sz w:val="24"/>
          <w:szCs w:val="24"/>
        </w:rPr>
      </w:pPr>
      <w:r w:rsidRPr="00414FEF">
        <w:rPr>
          <w:rFonts w:ascii="Garamond" w:hAnsi="Garamond"/>
          <w:bCs/>
          <w:iCs/>
          <w:color w:val="000000"/>
          <w:sz w:val="24"/>
          <w:szCs w:val="24"/>
        </w:rPr>
        <w:t>b)</w:t>
      </w:r>
      <w:r w:rsidRPr="00414FEF">
        <w:rPr>
          <w:rFonts w:ascii="Garamond" w:hAnsi="Garamond"/>
          <w:b/>
          <w:bCs/>
          <w:iCs/>
          <w:color w:val="000000"/>
        </w:rPr>
        <w:t xml:space="preserve"> </w:t>
      </w:r>
      <w:r w:rsidRPr="00414FEF">
        <w:rPr>
          <w:rFonts w:ascii="Garamond" w:hAnsi="Garamond"/>
          <w:b/>
          <w:bCs/>
          <w:iCs/>
          <w:color w:val="000000"/>
          <w:sz w:val="24"/>
          <w:szCs w:val="24"/>
        </w:rPr>
        <w:t>Thellësia e tregut</w:t>
      </w:r>
      <w:r w:rsidRPr="00414FEF">
        <w:rPr>
          <w:rFonts w:ascii="Garamond" w:hAnsi="Garamond"/>
          <w:color w:val="000000"/>
          <w:sz w:val="24"/>
          <w:szCs w:val="24"/>
        </w:rPr>
        <w:t>,</w:t>
      </w:r>
      <w:r w:rsidRPr="00BD6C39">
        <w:rPr>
          <w:rFonts w:ascii="Garamond" w:hAnsi="Garamond"/>
          <w:color w:val="000000"/>
          <w:sz w:val="24"/>
          <w:szCs w:val="24"/>
        </w:rPr>
        <w:t xml:space="preserve"> i cili është një tregues i cili mat madhësinë e transaksioneve tregtare që mund të realizohen me diferenca të vogla midis ofertës dhe kërkesës.</w:t>
      </w:r>
      <w:r w:rsidR="00514A36" w:rsidRPr="00BD6C39">
        <w:rPr>
          <w:rFonts w:ascii="Garamond" w:hAnsi="Garamond"/>
          <w:color w:val="000000"/>
          <w:sz w:val="24"/>
          <w:szCs w:val="24"/>
        </w:rPr>
        <w:t xml:space="preserve"> </w:t>
      </w:r>
      <w:r w:rsidRPr="00BD6C39">
        <w:rPr>
          <w:rFonts w:ascii="Garamond" w:hAnsi="Garamond"/>
          <w:color w:val="000000"/>
          <w:sz w:val="24"/>
          <w:szCs w:val="24"/>
        </w:rPr>
        <w:t>Matja e thellësisë së tregut mund të ofrojë më shumë informacion mbi likuiditetin e tregut sesa thjesht diferenca midis ofertës dhe kërkesës, pasi kjo matje merr parasysh vëllimin e ofertave të blerjes/shitjes që mund të hasen në treg.</w:t>
      </w:r>
      <w:r w:rsidRPr="00BD6C39">
        <w:rPr>
          <w:rFonts w:ascii="Garamond" w:hAnsi="Garamond" w:cs="Courier New"/>
          <w:color w:val="000000"/>
          <w:sz w:val="24"/>
          <w:szCs w:val="24"/>
        </w:rPr>
        <w:t xml:space="preserve"> </w:t>
      </w:r>
      <w:r w:rsidRPr="00BD6C39">
        <w:rPr>
          <w:rFonts w:ascii="Garamond" w:hAnsi="Garamond"/>
          <w:color w:val="000000"/>
          <w:sz w:val="24"/>
          <w:szCs w:val="24"/>
        </w:rPr>
        <w:t>Në kuadër të vlerësimit të gatishmëris</w:t>
      </w:r>
      <w:r w:rsidR="00414FEF">
        <w:rPr>
          <w:rFonts w:ascii="Garamond" w:hAnsi="Garamond"/>
          <w:color w:val="000000"/>
          <w:sz w:val="24"/>
          <w:szCs w:val="24"/>
        </w:rPr>
        <w:t>ë së tregut, ERE duhet të marr</w:t>
      </w:r>
      <w:r w:rsidRPr="00BD6C39">
        <w:rPr>
          <w:rFonts w:ascii="Garamond" w:hAnsi="Garamond"/>
          <w:color w:val="000000"/>
          <w:sz w:val="24"/>
          <w:szCs w:val="24"/>
        </w:rPr>
        <w:t xml:space="preserve"> parasysh nëse thellësia e tregut mund të akomodojë burimet e rinovueshme, sipas </w:t>
      </w:r>
      <w:r w:rsidR="00414FEF" w:rsidRPr="00BD6C39">
        <w:rPr>
          <w:rFonts w:ascii="Garamond" w:hAnsi="Garamond"/>
          <w:color w:val="000000"/>
          <w:sz w:val="24"/>
          <w:szCs w:val="24"/>
        </w:rPr>
        <w:t>radhës</w:t>
      </w:r>
      <w:r w:rsidRPr="00BD6C39">
        <w:rPr>
          <w:rFonts w:ascii="Garamond" w:hAnsi="Garamond"/>
          <w:color w:val="000000"/>
          <w:sz w:val="24"/>
          <w:szCs w:val="24"/>
        </w:rPr>
        <w:t xml:space="preserve"> së meritës, bazuar në kërkesën në sistem</w:t>
      </w:r>
      <w:r w:rsidR="00414FEF">
        <w:rPr>
          <w:rFonts w:ascii="Garamond" w:hAnsi="Garamond"/>
          <w:color w:val="000000"/>
          <w:sz w:val="24"/>
          <w:szCs w:val="24"/>
        </w:rPr>
        <w:t>,</w:t>
      </w:r>
      <w:r w:rsidRPr="00BD6C39">
        <w:rPr>
          <w:rFonts w:ascii="Garamond" w:hAnsi="Garamond"/>
          <w:color w:val="000000"/>
          <w:sz w:val="24"/>
          <w:szCs w:val="24"/>
        </w:rPr>
        <w:t xml:space="preserve"> si dhe duhet të përqendrohet mbi çështjen nëse kapaciteti i burimeve të rinovueshme, që pritet të përfshihet në skemën mbështetëse të KpD, do të jetë në gjendje të tregtohet në Tregun e</w:t>
      </w:r>
      <w:r w:rsidR="00414FEF">
        <w:rPr>
          <w:rFonts w:ascii="Garamond" w:hAnsi="Garamond"/>
          <w:color w:val="000000"/>
          <w:sz w:val="24"/>
          <w:szCs w:val="24"/>
        </w:rPr>
        <w:t xml:space="preserve"> Ditës në Avancë me një çmim jo</w:t>
      </w:r>
      <w:r w:rsidRPr="00BD6C39">
        <w:rPr>
          <w:rFonts w:ascii="Garamond" w:hAnsi="Garamond"/>
          <w:color w:val="000000"/>
          <w:sz w:val="24"/>
          <w:szCs w:val="24"/>
        </w:rPr>
        <w:t>negativ.</w:t>
      </w:r>
    </w:p>
    <w:p w14:paraId="2B710153" w14:textId="78E37CA6" w:rsidR="007F6030" w:rsidRPr="00BD6C39" w:rsidRDefault="007F6030" w:rsidP="007F6030">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olor w:val="000000"/>
          <w:sz w:val="24"/>
          <w:szCs w:val="24"/>
        </w:rPr>
      </w:pPr>
      <w:r w:rsidRPr="00BD6C39">
        <w:rPr>
          <w:rFonts w:ascii="Garamond" w:hAnsi="Garamond"/>
          <w:color w:val="000000"/>
          <w:sz w:val="24"/>
          <w:szCs w:val="24"/>
        </w:rPr>
        <w:t>3.</w:t>
      </w:r>
      <w:r w:rsidRPr="00BD6C39">
        <w:rPr>
          <w:rFonts w:ascii="Garamond" w:hAnsi="Garamond"/>
          <w:color w:val="000000"/>
        </w:rPr>
        <w:t xml:space="preserve"> </w:t>
      </w:r>
      <w:r w:rsidRPr="00BD6C39">
        <w:rPr>
          <w:rFonts w:ascii="Garamond" w:hAnsi="Garamond"/>
          <w:color w:val="000000"/>
          <w:sz w:val="24"/>
          <w:szCs w:val="24"/>
        </w:rPr>
        <w:t xml:space="preserve">ERE do të vlerësojë aplikimin si dhe zbatueshmërinë e rregullave që garantojnë integritetin dhe transparencën në tregun shqiptar të ditës në avancë, përfshirë për personat që organizojnë </w:t>
      </w:r>
      <w:r w:rsidRPr="00BD6C39">
        <w:rPr>
          <w:rFonts w:ascii="Garamond" w:hAnsi="Garamond"/>
          <w:color w:val="000000"/>
          <w:sz w:val="24"/>
          <w:szCs w:val="24"/>
        </w:rPr>
        <w:lastRenderedPageBreak/>
        <w:t>profesionalisht transaksione bazuar në “Rregulloren për integritetin dhe transparencën e tregut me shumicë të energjisë REMIT”, miratuar nga Bordi i ERE-s dhe sipas rastit në përputhje me kuadrin rregullator të Komunitetit të Energjisë. ERE do të shqyrtojë element</w:t>
      </w:r>
      <w:r w:rsidR="00414FEF">
        <w:rPr>
          <w:rFonts w:ascii="Garamond" w:hAnsi="Garamond"/>
          <w:color w:val="000000"/>
          <w:sz w:val="24"/>
          <w:szCs w:val="24"/>
        </w:rPr>
        <w:t>e</w:t>
      </w:r>
      <w:r w:rsidRPr="00BD6C39">
        <w:rPr>
          <w:rFonts w:ascii="Garamond" w:hAnsi="Garamond"/>
          <w:color w:val="000000"/>
          <w:sz w:val="24"/>
          <w:szCs w:val="24"/>
        </w:rPr>
        <w:t xml:space="preserve">t si më poshtë: </w:t>
      </w:r>
    </w:p>
    <w:p w14:paraId="294CA1D3" w14:textId="738445E0" w:rsidR="007F6030" w:rsidRPr="00BD6C39" w:rsidRDefault="007F6030" w:rsidP="007F6030">
      <w:pPr>
        <w:tabs>
          <w:tab w:val="left" w:pos="900"/>
          <w:tab w:val="left" w:pos="108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olor w:val="000000"/>
          <w:sz w:val="24"/>
          <w:szCs w:val="24"/>
        </w:rPr>
      </w:pPr>
      <w:r w:rsidRPr="00BD6C39">
        <w:rPr>
          <w:rFonts w:ascii="Garamond" w:hAnsi="Garamond"/>
          <w:color w:val="000000"/>
          <w:sz w:val="24"/>
          <w:szCs w:val="24"/>
        </w:rPr>
        <w:t>a)</w:t>
      </w:r>
      <w:r w:rsidRPr="00BD6C39">
        <w:rPr>
          <w:rFonts w:ascii="Garamond" w:hAnsi="Garamond"/>
          <w:color w:val="000000"/>
        </w:rPr>
        <w:t xml:space="preserve"> </w:t>
      </w:r>
      <w:r w:rsidRPr="00BD6C39">
        <w:rPr>
          <w:rFonts w:ascii="Garamond" w:hAnsi="Garamond"/>
          <w:color w:val="000000"/>
          <w:sz w:val="24"/>
          <w:szCs w:val="24"/>
        </w:rPr>
        <w:t>Sjelljen dhe regjistrimin e pjesëmarrësve të tregut, duke vlerësuar nëse të gjithë personat që merren profesionalisht me organizimin ose ekzekutimin e transaksioneve janë të regjistruar dhe veprojnë sipas përcaktimeve të rregullores së ALPEX</w:t>
      </w:r>
      <w:r w:rsidR="00414FEF">
        <w:rPr>
          <w:rFonts w:ascii="Garamond" w:hAnsi="Garamond"/>
          <w:color w:val="000000"/>
          <w:sz w:val="24"/>
          <w:szCs w:val="24"/>
        </w:rPr>
        <w:t>-it</w:t>
      </w:r>
      <w:r w:rsidRPr="00BD6C39">
        <w:rPr>
          <w:rFonts w:ascii="Garamond" w:hAnsi="Garamond"/>
          <w:color w:val="000000"/>
          <w:sz w:val="24"/>
          <w:szCs w:val="24"/>
        </w:rPr>
        <w:t xml:space="preserve"> dhe kuadrit ligjor në fuqi. Kjo pjesë e vlerësimit do të përfshijë verifikimin e procedurave të regjistrimit të pjesëmarrësve n</w:t>
      </w:r>
      <w:r w:rsidR="00414FEF">
        <w:rPr>
          <w:rFonts w:ascii="Garamond" w:hAnsi="Garamond"/>
          <w:color w:val="000000"/>
          <w:sz w:val="24"/>
          <w:szCs w:val="24"/>
        </w:rPr>
        <w:t>ë regjistrin kombëtar të REMIT;</w:t>
      </w:r>
    </w:p>
    <w:p w14:paraId="7BE8D8DE" w14:textId="2901BF85" w:rsidR="007F6030" w:rsidRPr="00BD6C39" w:rsidRDefault="007F6030" w:rsidP="007F6030">
      <w:pPr>
        <w:tabs>
          <w:tab w:val="left" w:pos="900"/>
          <w:tab w:val="left" w:pos="108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olor w:val="000000"/>
          <w:sz w:val="24"/>
          <w:szCs w:val="24"/>
        </w:rPr>
      </w:pPr>
      <w:r w:rsidRPr="00BD6C39">
        <w:rPr>
          <w:rFonts w:ascii="Garamond" w:hAnsi="Garamond"/>
          <w:color w:val="000000"/>
          <w:sz w:val="24"/>
          <w:szCs w:val="24"/>
        </w:rPr>
        <w:t>b)</w:t>
      </w:r>
      <w:r w:rsidRPr="00BD6C39">
        <w:rPr>
          <w:rFonts w:ascii="Garamond" w:hAnsi="Garamond"/>
          <w:color w:val="000000"/>
        </w:rPr>
        <w:t xml:space="preserve"> </w:t>
      </w:r>
      <w:r w:rsidRPr="00BD6C39">
        <w:rPr>
          <w:rFonts w:ascii="Garamond" w:hAnsi="Garamond"/>
          <w:color w:val="000000"/>
          <w:sz w:val="24"/>
          <w:szCs w:val="24"/>
        </w:rPr>
        <w:t>Publikimin e të dhënave të tregut duke përfshirë vlerësimin e afateve dhe mjaftueshmërinë e publikimit të informacioneve të brendshme</w:t>
      </w:r>
      <w:r w:rsidR="00414FEF">
        <w:rPr>
          <w:rFonts w:ascii="Garamond" w:hAnsi="Garamond"/>
          <w:color w:val="000000"/>
          <w:sz w:val="24"/>
          <w:szCs w:val="24"/>
        </w:rPr>
        <w:t>,</w:t>
      </w:r>
      <w:r w:rsidRPr="00BD6C39">
        <w:rPr>
          <w:rFonts w:ascii="Garamond" w:hAnsi="Garamond"/>
          <w:color w:val="000000"/>
          <w:sz w:val="24"/>
          <w:szCs w:val="24"/>
        </w:rPr>
        <w:t xml:space="preserve"> si dhe të njoftimeve urgjente të tregut. ERE do të konfirmojë </w:t>
      </w:r>
      <w:r w:rsidR="00414FEF" w:rsidRPr="00BD6C39">
        <w:rPr>
          <w:rFonts w:ascii="Garamond" w:hAnsi="Garamond"/>
          <w:color w:val="000000"/>
          <w:sz w:val="24"/>
          <w:szCs w:val="24"/>
        </w:rPr>
        <w:t>gjithashtu</w:t>
      </w:r>
      <w:r w:rsidRPr="00BD6C39">
        <w:rPr>
          <w:rFonts w:ascii="Garamond" w:hAnsi="Garamond"/>
          <w:color w:val="000000"/>
          <w:sz w:val="24"/>
          <w:szCs w:val="24"/>
        </w:rPr>
        <w:t xml:space="preserve"> aplikimin e praktikave më të mira </w:t>
      </w:r>
      <w:r w:rsidR="00414FEF">
        <w:rPr>
          <w:rFonts w:ascii="Garamond" w:hAnsi="Garamond"/>
          <w:color w:val="000000"/>
          <w:sz w:val="24"/>
          <w:szCs w:val="24"/>
        </w:rPr>
        <w:t>të transparencës pastregtimit;</w:t>
      </w:r>
    </w:p>
    <w:p w14:paraId="2ED4A5D9" w14:textId="3BA278F8" w:rsidR="007F6030" w:rsidRPr="00BD6C39" w:rsidRDefault="007F6030" w:rsidP="007F6030">
      <w:pPr>
        <w:tabs>
          <w:tab w:val="left" w:pos="900"/>
          <w:tab w:val="left" w:pos="108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olor w:val="000000"/>
          <w:sz w:val="24"/>
          <w:szCs w:val="24"/>
        </w:rPr>
      </w:pPr>
      <w:r w:rsidRPr="00BD6C39">
        <w:rPr>
          <w:rFonts w:ascii="Garamond" w:hAnsi="Garamond"/>
          <w:color w:val="000000"/>
          <w:sz w:val="24"/>
          <w:szCs w:val="24"/>
        </w:rPr>
        <w:t>c)</w:t>
      </w:r>
      <w:r w:rsidRPr="00BD6C39">
        <w:rPr>
          <w:rFonts w:ascii="Garamond" w:hAnsi="Garamond"/>
          <w:color w:val="000000"/>
        </w:rPr>
        <w:t xml:space="preserve"> </w:t>
      </w:r>
      <w:r w:rsidRPr="00BD6C39">
        <w:rPr>
          <w:rFonts w:ascii="Garamond" w:hAnsi="Garamond"/>
          <w:color w:val="000000"/>
          <w:sz w:val="24"/>
          <w:szCs w:val="24"/>
        </w:rPr>
        <w:t xml:space="preserve">Administrimin dhe </w:t>
      </w:r>
      <w:r w:rsidR="00414FEF" w:rsidRPr="00BD6C39">
        <w:rPr>
          <w:rFonts w:ascii="Garamond" w:hAnsi="Garamond"/>
          <w:color w:val="000000"/>
          <w:sz w:val="24"/>
          <w:szCs w:val="24"/>
        </w:rPr>
        <w:t>pavarësinë</w:t>
      </w:r>
      <w:r w:rsidRPr="00BD6C39">
        <w:rPr>
          <w:rFonts w:ascii="Garamond" w:hAnsi="Garamond"/>
          <w:color w:val="000000"/>
          <w:sz w:val="24"/>
          <w:szCs w:val="24"/>
        </w:rPr>
        <w:t xml:space="preserve"> e ALPEX</w:t>
      </w:r>
      <w:r w:rsidR="00414FEF">
        <w:rPr>
          <w:rFonts w:ascii="Garamond" w:hAnsi="Garamond"/>
          <w:color w:val="000000"/>
          <w:sz w:val="24"/>
          <w:szCs w:val="24"/>
        </w:rPr>
        <w:t>-it,</w:t>
      </w:r>
      <w:r w:rsidRPr="00BD6C39">
        <w:rPr>
          <w:rFonts w:ascii="Garamond" w:hAnsi="Garamond"/>
          <w:color w:val="000000"/>
          <w:sz w:val="24"/>
          <w:szCs w:val="24"/>
        </w:rPr>
        <w:t xml:space="preserve"> duke përfshirë shqyrtimin e rregullores së ALPEX</w:t>
      </w:r>
      <w:r w:rsidR="00414FEF">
        <w:rPr>
          <w:rFonts w:ascii="Garamond" w:hAnsi="Garamond"/>
          <w:color w:val="000000"/>
          <w:sz w:val="24"/>
          <w:szCs w:val="24"/>
        </w:rPr>
        <w:t>-it,</w:t>
      </w:r>
      <w:r w:rsidRPr="00BD6C39">
        <w:rPr>
          <w:rFonts w:ascii="Garamond" w:hAnsi="Garamond"/>
          <w:color w:val="000000"/>
          <w:sz w:val="24"/>
          <w:szCs w:val="24"/>
        </w:rPr>
        <w:t xml:space="preserve"> me qëllim garantimin e transparencës dhe integritetit operacional, për të informuar konsumatorët</w:t>
      </w:r>
      <w:r w:rsidR="00414FEF">
        <w:rPr>
          <w:rFonts w:ascii="Garamond" w:hAnsi="Garamond"/>
          <w:color w:val="000000"/>
          <w:sz w:val="24"/>
          <w:szCs w:val="24"/>
        </w:rPr>
        <w:t>,</w:t>
      </w:r>
      <w:r w:rsidRPr="00BD6C39">
        <w:rPr>
          <w:rFonts w:ascii="Garamond" w:hAnsi="Garamond"/>
          <w:color w:val="000000"/>
          <w:sz w:val="24"/>
          <w:szCs w:val="24"/>
        </w:rPr>
        <w:t xml:space="preserve"> si dhe për vlerësimin e përmbushjes së përgjegjësisë së ALPEX</w:t>
      </w:r>
      <w:r w:rsidR="00414FEF">
        <w:rPr>
          <w:rFonts w:ascii="Garamond" w:hAnsi="Garamond"/>
          <w:color w:val="000000"/>
          <w:sz w:val="24"/>
          <w:szCs w:val="24"/>
        </w:rPr>
        <w:t>-it</w:t>
      </w:r>
      <w:r w:rsidRPr="00BD6C39">
        <w:rPr>
          <w:rFonts w:ascii="Garamond" w:hAnsi="Garamond"/>
          <w:color w:val="000000"/>
          <w:sz w:val="24"/>
          <w:szCs w:val="24"/>
        </w:rPr>
        <w:t xml:space="preserve"> për të raportuar sipas përcaktimeve të kuadri</w:t>
      </w:r>
      <w:r w:rsidR="00414FEF">
        <w:rPr>
          <w:rFonts w:ascii="Garamond" w:hAnsi="Garamond"/>
          <w:color w:val="000000"/>
          <w:sz w:val="24"/>
          <w:szCs w:val="24"/>
        </w:rPr>
        <w:t>t ligjor në fuqi;</w:t>
      </w:r>
    </w:p>
    <w:p w14:paraId="2EEB5092" w14:textId="08E3D05D" w:rsidR="007F6030" w:rsidRPr="00BD6C39" w:rsidRDefault="007F6030" w:rsidP="007F6030">
      <w:pPr>
        <w:tabs>
          <w:tab w:val="left" w:pos="900"/>
          <w:tab w:val="left" w:pos="108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olor w:val="000000"/>
          <w:sz w:val="24"/>
          <w:szCs w:val="24"/>
        </w:rPr>
      </w:pPr>
      <w:r w:rsidRPr="00BD6C39">
        <w:rPr>
          <w:rFonts w:ascii="Garamond" w:hAnsi="Garamond"/>
          <w:color w:val="000000"/>
          <w:sz w:val="24"/>
          <w:szCs w:val="24"/>
        </w:rPr>
        <w:t>d)</w:t>
      </w:r>
      <w:r w:rsidRPr="00BD6C39">
        <w:rPr>
          <w:rFonts w:ascii="Garamond" w:hAnsi="Garamond"/>
          <w:color w:val="000000"/>
        </w:rPr>
        <w:t xml:space="preserve"> </w:t>
      </w:r>
      <w:r w:rsidRPr="00BD6C39">
        <w:rPr>
          <w:rFonts w:ascii="Garamond" w:hAnsi="Garamond"/>
          <w:color w:val="000000"/>
          <w:sz w:val="24"/>
          <w:szCs w:val="24"/>
        </w:rPr>
        <w:t>Zbatimi i REMIT, përfshirë këtu monitorimin e manipulimeve të tregut</w:t>
      </w:r>
      <w:r w:rsidR="00414FEF">
        <w:rPr>
          <w:rFonts w:ascii="Garamond" w:hAnsi="Garamond"/>
          <w:color w:val="000000"/>
          <w:sz w:val="24"/>
          <w:szCs w:val="24"/>
        </w:rPr>
        <w:t>,</w:t>
      </w:r>
      <w:r w:rsidRPr="00BD6C39">
        <w:rPr>
          <w:rFonts w:ascii="Garamond" w:hAnsi="Garamond"/>
          <w:color w:val="000000"/>
          <w:sz w:val="24"/>
          <w:szCs w:val="24"/>
        </w:rPr>
        <w:t xml:space="preserve"> si dhe tregtimit me informacion të brendshëm, si dhe një mekanizmi efektiv penalitetesh dhe hetimesh. ERE do të shqyrtojë proceset e monitorimit dhe mbikëqyrjes së tregut</w:t>
      </w:r>
      <w:r w:rsidR="00514A36" w:rsidRPr="00BD6C39">
        <w:rPr>
          <w:rFonts w:ascii="Garamond" w:hAnsi="Garamond"/>
          <w:color w:val="000000"/>
          <w:sz w:val="24"/>
          <w:szCs w:val="24"/>
        </w:rPr>
        <w:t xml:space="preserve"> </w:t>
      </w:r>
      <w:r w:rsidRPr="00BD6C39">
        <w:rPr>
          <w:rFonts w:ascii="Garamond" w:hAnsi="Garamond"/>
          <w:color w:val="000000"/>
          <w:sz w:val="24"/>
          <w:szCs w:val="24"/>
        </w:rPr>
        <w:t>nga ALPEX</w:t>
      </w:r>
      <w:r w:rsidR="00414FEF">
        <w:rPr>
          <w:rFonts w:ascii="Garamond" w:hAnsi="Garamond"/>
          <w:color w:val="000000"/>
          <w:sz w:val="24"/>
          <w:szCs w:val="24"/>
        </w:rPr>
        <w:t>-i,</w:t>
      </w:r>
      <w:r w:rsidRPr="00BD6C39">
        <w:rPr>
          <w:rFonts w:ascii="Garamond" w:hAnsi="Garamond"/>
          <w:color w:val="000000"/>
          <w:sz w:val="24"/>
          <w:szCs w:val="24"/>
        </w:rPr>
        <w:t xml:space="preserve"> në lidhje me tregun e ditës në avancë të rregulluar sipas rregullave të tregut.</w:t>
      </w:r>
    </w:p>
    <w:p w14:paraId="147EC99B" w14:textId="77777777" w:rsidR="007F6030" w:rsidRPr="00BD6C39" w:rsidRDefault="007F6030" w:rsidP="007F6030">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center"/>
        <w:rPr>
          <w:rFonts w:ascii="Garamond" w:hAnsi="Garamond"/>
          <w:b/>
          <w:bCs/>
          <w:color w:val="000000"/>
          <w:sz w:val="24"/>
          <w:szCs w:val="24"/>
        </w:rPr>
      </w:pPr>
    </w:p>
    <w:p w14:paraId="5F090D9B" w14:textId="77777777" w:rsidR="007F6030" w:rsidRPr="00BD6C39" w:rsidRDefault="007F6030" w:rsidP="007F6030">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center"/>
        <w:rPr>
          <w:rFonts w:ascii="Garamond" w:hAnsi="Garamond"/>
          <w:bCs/>
          <w:color w:val="202124"/>
          <w:sz w:val="24"/>
          <w:szCs w:val="24"/>
        </w:rPr>
      </w:pPr>
      <w:r w:rsidRPr="00BD6C39">
        <w:rPr>
          <w:rFonts w:ascii="Garamond" w:hAnsi="Garamond"/>
          <w:bCs/>
          <w:color w:val="202124"/>
          <w:sz w:val="24"/>
          <w:szCs w:val="24"/>
        </w:rPr>
        <w:t>Neni 6</w:t>
      </w:r>
    </w:p>
    <w:p w14:paraId="795BEC64" w14:textId="77777777" w:rsidR="007F6030" w:rsidRPr="00BD6C39" w:rsidRDefault="007F6030" w:rsidP="007F6030">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center"/>
        <w:rPr>
          <w:rFonts w:ascii="Garamond" w:hAnsi="Garamond"/>
          <w:b/>
          <w:bCs/>
          <w:color w:val="202124"/>
          <w:sz w:val="24"/>
          <w:szCs w:val="24"/>
        </w:rPr>
      </w:pPr>
      <w:r w:rsidRPr="00BD6C39">
        <w:rPr>
          <w:rFonts w:ascii="Garamond" w:hAnsi="Garamond"/>
          <w:b/>
          <w:bCs/>
          <w:color w:val="202124"/>
          <w:sz w:val="24"/>
          <w:szCs w:val="24"/>
        </w:rPr>
        <w:t xml:space="preserve">Hartimi i raportit mbi vlerësimin e gatishmërisë së tregut shqiptar të energjisë elektrike të ditës në avancë </w:t>
      </w:r>
    </w:p>
    <w:p w14:paraId="5688A68C" w14:textId="77777777" w:rsidR="007F6030" w:rsidRPr="00BD6C39" w:rsidRDefault="007F6030" w:rsidP="007F6030">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b/>
          <w:bCs/>
          <w:color w:val="202124"/>
          <w:sz w:val="24"/>
          <w:szCs w:val="24"/>
        </w:rPr>
      </w:pPr>
    </w:p>
    <w:p w14:paraId="536A2A31" w14:textId="77777777" w:rsidR="007F6030" w:rsidRPr="00BD6C39" w:rsidRDefault="007F6030" w:rsidP="007F6030">
      <w:pPr>
        <w:tabs>
          <w:tab w:val="left" w:pos="400"/>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olor w:val="202124"/>
          <w:sz w:val="24"/>
          <w:szCs w:val="24"/>
        </w:rPr>
      </w:pPr>
      <w:r w:rsidRPr="00BD6C39">
        <w:rPr>
          <w:rFonts w:ascii="Garamond" w:hAnsi="Garamond"/>
          <w:color w:val="202124"/>
          <w:sz w:val="24"/>
          <w:szCs w:val="24"/>
        </w:rPr>
        <w:t>1.</w:t>
      </w:r>
      <w:r w:rsidRPr="00BD6C39">
        <w:rPr>
          <w:rFonts w:ascii="Garamond" w:hAnsi="Garamond"/>
          <w:color w:val="202124"/>
        </w:rPr>
        <w:t xml:space="preserve"> </w:t>
      </w:r>
      <w:r w:rsidRPr="00BD6C39">
        <w:rPr>
          <w:rFonts w:ascii="Garamond" w:hAnsi="Garamond"/>
          <w:color w:val="202124"/>
          <w:sz w:val="24"/>
          <w:szCs w:val="24"/>
        </w:rPr>
        <w:t>Vlerësimi i parë i gatishmërisë së tregut do të kryhet brenda 6 muajve nga hyrja në fuqi e kësaj metodologjie.</w:t>
      </w:r>
    </w:p>
    <w:p w14:paraId="2AE171C5" w14:textId="41FA334F" w:rsidR="007F6030" w:rsidRPr="00BD6C39" w:rsidRDefault="007F6030" w:rsidP="007F6030">
      <w:pPr>
        <w:tabs>
          <w:tab w:val="left" w:pos="400"/>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olor w:val="202124"/>
          <w:sz w:val="24"/>
          <w:szCs w:val="24"/>
        </w:rPr>
      </w:pPr>
      <w:r w:rsidRPr="00BD6C39">
        <w:rPr>
          <w:rFonts w:ascii="Garamond" w:hAnsi="Garamond"/>
          <w:color w:val="202124"/>
          <w:sz w:val="24"/>
          <w:szCs w:val="24"/>
        </w:rPr>
        <w:t>2.</w:t>
      </w:r>
      <w:r w:rsidRPr="00BD6C39">
        <w:rPr>
          <w:rFonts w:ascii="Garamond" w:hAnsi="Garamond"/>
          <w:color w:val="202124"/>
        </w:rPr>
        <w:t xml:space="preserve"> </w:t>
      </w:r>
      <w:r w:rsidRPr="00BD6C39">
        <w:rPr>
          <w:rFonts w:ascii="Garamond" w:hAnsi="Garamond"/>
          <w:color w:val="202124"/>
          <w:sz w:val="24"/>
          <w:szCs w:val="24"/>
        </w:rPr>
        <w:t>Hartimi i raportit mbi vlerësimin e gatishmërisë së tregut të ditës në avancë të energjisë elektrike, do të bëhet duke marrë në konsideratë faktorët e përcaktuar në nenin 5 të kës</w:t>
      </w:r>
      <w:r w:rsidR="00414FEF">
        <w:rPr>
          <w:rFonts w:ascii="Garamond" w:hAnsi="Garamond"/>
          <w:color w:val="202124"/>
          <w:sz w:val="24"/>
          <w:szCs w:val="24"/>
        </w:rPr>
        <w:t>aj metodologjie.</w:t>
      </w:r>
    </w:p>
    <w:p w14:paraId="25D64F7C" w14:textId="6F211CE7" w:rsidR="007F6030" w:rsidRPr="00BD6C39" w:rsidRDefault="007F6030" w:rsidP="007F6030">
      <w:pPr>
        <w:tabs>
          <w:tab w:val="left" w:pos="400"/>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olor w:val="202124"/>
          <w:sz w:val="24"/>
          <w:szCs w:val="24"/>
        </w:rPr>
      </w:pPr>
      <w:r w:rsidRPr="00BD6C39">
        <w:rPr>
          <w:rFonts w:ascii="Garamond" w:hAnsi="Garamond"/>
          <w:color w:val="202124"/>
          <w:sz w:val="24"/>
          <w:szCs w:val="24"/>
        </w:rPr>
        <w:t>3.</w:t>
      </w:r>
      <w:r w:rsidRPr="00BD6C39">
        <w:rPr>
          <w:rFonts w:ascii="Garamond" w:hAnsi="Garamond"/>
          <w:color w:val="202124"/>
        </w:rPr>
        <w:t xml:space="preserve"> </w:t>
      </w:r>
      <w:r w:rsidRPr="00BD6C39">
        <w:rPr>
          <w:rFonts w:ascii="Garamond" w:hAnsi="Garamond"/>
          <w:color w:val="202124"/>
          <w:sz w:val="24"/>
          <w:szCs w:val="24"/>
        </w:rPr>
        <w:t>Pas kryerjes së vlerësimit të parë të gatishmërisë së tregut të ditës në avancë të energjisë elektrike, ERE harto</w:t>
      </w:r>
      <w:r w:rsidR="00414FEF">
        <w:rPr>
          <w:rFonts w:ascii="Garamond" w:hAnsi="Garamond"/>
          <w:color w:val="202124"/>
          <w:sz w:val="24"/>
          <w:szCs w:val="24"/>
        </w:rPr>
        <w:t xml:space="preserve">n çdo 6 </w:t>
      </w:r>
      <w:r w:rsidRPr="00BD6C39">
        <w:rPr>
          <w:rFonts w:ascii="Garamond" w:hAnsi="Garamond"/>
          <w:color w:val="202124"/>
          <w:sz w:val="24"/>
          <w:szCs w:val="24"/>
        </w:rPr>
        <w:t>muaj raportin mbi vlerësimin e gatishmërisë së tregut të ditës në avancë të energjisë elektrike, deri në një vlerësim pozitiv mbi gatishmërinë e tregut.</w:t>
      </w:r>
    </w:p>
    <w:p w14:paraId="29B41560" w14:textId="77777777" w:rsidR="007F6030" w:rsidRPr="00BD6C39" w:rsidRDefault="007F6030" w:rsidP="007F6030">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olor w:val="202124"/>
          <w:sz w:val="24"/>
          <w:szCs w:val="24"/>
        </w:rPr>
      </w:pPr>
    </w:p>
    <w:p w14:paraId="7CA4C8BB" w14:textId="77777777" w:rsidR="007F6030" w:rsidRPr="00BD6C39" w:rsidRDefault="007F6030" w:rsidP="007F6030">
      <w:pPr>
        <w:autoSpaceDE w:val="0"/>
        <w:autoSpaceDN w:val="0"/>
        <w:adjustRightInd w:val="0"/>
        <w:spacing w:after="0" w:line="240" w:lineRule="auto"/>
        <w:ind w:firstLine="284"/>
        <w:jc w:val="center"/>
        <w:rPr>
          <w:rFonts w:ascii="Garamond" w:hAnsi="Garamond" w:cs="Calibri"/>
          <w:bCs/>
          <w:sz w:val="24"/>
          <w:szCs w:val="24"/>
        </w:rPr>
      </w:pPr>
      <w:r w:rsidRPr="00BD6C39">
        <w:rPr>
          <w:rFonts w:ascii="Garamond" w:hAnsi="Garamond" w:cs="Calibri"/>
          <w:bCs/>
          <w:color w:val="000000"/>
          <w:sz w:val="24"/>
          <w:szCs w:val="24"/>
        </w:rPr>
        <w:t>Neni 7</w:t>
      </w:r>
    </w:p>
    <w:p w14:paraId="58B5AB5D" w14:textId="5FDA6F08" w:rsidR="007F6030" w:rsidRPr="00BD6C39" w:rsidRDefault="007F6030" w:rsidP="007F6030">
      <w:pPr>
        <w:autoSpaceDE w:val="0"/>
        <w:autoSpaceDN w:val="0"/>
        <w:adjustRightInd w:val="0"/>
        <w:spacing w:after="0" w:line="240" w:lineRule="auto"/>
        <w:ind w:firstLine="284"/>
        <w:jc w:val="center"/>
        <w:rPr>
          <w:rFonts w:ascii="Garamond" w:hAnsi="Garamond" w:cs="Calibri"/>
          <w:b/>
          <w:bCs/>
          <w:sz w:val="24"/>
          <w:szCs w:val="24"/>
        </w:rPr>
      </w:pPr>
      <w:r w:rsidRPr="00BD6C39">
        <w:rPr>
          <w:rFonts w:ascii="Garamond" w:hAnsi="Garamond" w:cs="Calibri"/>
          <w:b/>
          <w:bCs/>
          <w:sz w:val="24"/>
          <w:szCs w:val="24"/>
        </w:rPr>
        <w:t xml:space="preserve">Zgjedhja e </w:t>
      </w:r>
      <w:r w:rsidR="00414FEF" w:rsidRPr="00BD6C39">
        <w:rPr>
          <w:rFonts w:ascii="Garamond" w:hAnsi="Garamond" w:cs="Calibri"/>
          <w:b/>
          <w:bCs/>
          <w:sz w:val="24"/>
          <w:szCs w:val="24"/>
        </w:rPr>
        <w:t xml:space="preserve">vendeve krahasuese </w:t>
      </w:r>
      <w:r w:rsidRPr="00BD6C39">
        <w:rPr>
          <w:rFonts w:ascii="Garamond" w:hAnsi="Garamond" w:cs="Calibri"/>
          <w:b/>
          <w:bCs/>
          <w:sz w:val="24"/>
          <w:szCs w:val="24"/>
        </w:rPr>
        <w:t xml:space="preserve">të Bashkimit </w:t>
      </w:r>
      <w:r w:rsidR="00414FEF" w:rsidRPr="00BD6C39">
        <w:rPr>
          <w:rFonts w:ascii="Garamond" w:hAnsi="Garamond" w:cs="Calibri"/>
          <w:b/>
          <w:bCs/>
          <w:sz w:val="24"/>
          <w:szCs w:val="24"/>
        </w:rPr>
        <w:t>Evropian</w:t>
      </w:r>
    </w:p>
    <w:p w14:paraId="4C7BEB52" w14:textId="77777777" w:rsidR="007F6030" w:rsidRPr="00BD6C39" w:rsidRDefault="007F6030" w:rsidP="007F6030">
      <w:pPr>
        <w:autoSpaceDE w:val="0"/>
        <w:autoSpaceDN w:val="0"/>
        <w:adjustRightInd w:val="0"/>
        <w:spacing w:after="0" w:line="240" w:lineRule="auto"/>
        <w:ind w:firstLine="284"/>
        <w:jc w:val="center"/>
        <w:rPr>
          <w:rFonts w:ascii="Garamond" w:hAnsi="Garamond" w:cs="Calibri"/>
          <w:sz w:val="24"/>
          <w:szCs w:val="24"/>
        </w:rPr>
      </w:pPr>
    </w:p>
    <w:p w14:paraId="48FF8F24" w14:textId="2CB66684" w:rsidR="007F6030" w:rsidRPr="00BD6C39" w:rsidRDefault="007F6030" w:rsidP="007F6030">
      <w:pPr>
        <w:autoSpaceDE w:val="0"/>
        <w:autoSpaceDN w:val="0"/>
        <w:adjustRightInd w:val="0"/>
        <w:spacing w:after="0" w:line="240" w:lineRule="auto"/>
        <w:ind w:firstLine="284"/>
        <w:jc w:val="both"/>
        <w:rPr>
          <w:rFonts w:ascii="Garamond" w:hAnsi="Garamond" w:cs="Calibri"/>
          <w:sz w:val="24"/>
          <w:szCs w:val="24"/>
        </w:rPr>
      </w:pPr>
      <w:r w:rsidRPr="00BD6C39">
        <w:rPr>
          <w:rFonts w:ascii="Garamond" w:hAnsi="Garamond" w:cs="Calibri"/>
          <w:sz w:val="24"/>
          <w:szCs w:val="24"/>
        </w:rPr>
        <w:t>1.</w:t>
      </w:r>
      <w:r w:rsidRPr="00BD6C39">
        <w:rPr>
          <w:rFonts w:ascii="Garamond" w:hAnsi="Garamond" w:cs="Calibri"/>
        </w:rPr>
        <w:t xml:space="preserve"> </w:t>
      </w:r>
      <w:r w:rsidRPr="00BD6C39">
        <w:rPr>
          <w:rFonts w:ascii="Garamond" w:hAnsi="Garamond" w:cs="Calibri"/>
          <w:sz w:val="24"/>
          <w:szCs w:val="24"/>
        </w:rPr>
        <w:t xml:space="preserve">ERE do të krahasojë faktorët e qarkullimit me nivelet e vëzhguara në bursat e tjera të energjisë elektrike në Bashkimin </w:t>
      </w:r>
      <w:r w:rsidR="00414FEF" w:rsidRPr="00BD6C39">
        <w:rPr>
          <w:rFonts w:ascii="Garamond" w:hAnsi="Garamond" w:cs="Calibri"/>
          <w:sz w:val="24"/>
          <w:szCs w:val="24"/>
        </w:rPr>
        <w:t>Evropian</w:t>
      </w:r>
      <w:r w:rsidRPr="00BD6C39">
        <w:rPr>
          <w:rFonts w:ascii="Garamond" w:hAnsi="Garamond" w:cs="Calibri"/>
          <w:sz w:val="24"/>
          <w:szCs w:val="24"/>
        </w:rPr>
        <w:t xml:space="preserve">, </w:t>
      </w:r>
      <w:r w:rsidR="00414FEF">
        <w:rPr>
          <w:rFonts w:ascii="Garamond" w:hAnsi="Garamond" w:cs="Calibri"/>
          <w:sz w:val="24"/>
          <w:szCs w:val="24"/>
        </w:rPr>
        <w:t xml:space="preserve">të </w:t>
      </w:r>
      <w:r w:rsidRPr="00BD6C39">
        <w:rPr>
          <w:rFonts w:ascii="Garamond" w:hAnsi="Garamond" w:cs="Calibri"/>
          <w:sz w:val="24"/>
          <w:szCs w:val="24"/>
        </w:rPr>
        <w:t>përcaktuar në ligjin nr. 24/2023</w:t>
      </w:r>
      <w:r w:rsidR="00414FEF">
        <w:rPr>
          <w:rFonts w:ascii="Garamond" w:hAnsi="Garamond" w:cs="Calibri"/>
          <w:sz w:val="24"/>
          <w:szCs w:val="24"/>
        </w:rPr>
        <w:t>,</w:t>
      </w:r>
      <w:r w:rsidRPr="00BD6C39">
        <w:rPr>
          <w:rFonts w:ascii="Garamond" w:hAnsi="Garamond" w:cs="Calibri"/>
          <w:sz w:val="24"/>
          <w:szCs w:val="24"/>
        </w:rPr>
        <w:t xml:space="preserve"> “Për nxitjen e përdorimit të energjisë nga burimet e rinovueshme”.</w:t>
      </w:r>
    </w:p>
    <w:p w14:paraId="0F233691" w14:textId="77777777" w:rsidR="007F6030" w:rsidRPr="00BD6C39" w:rsidRDefault="007F6030" w:rsidP="007F6030">
      <w:pPr>
        <w:autoSpaceDE w:val="0"/>
        <w:autoSpaceDN w:val="0"/>
        <w:adjustRightInd w:val="0"/>
        <w:spacing w:after="0" w:line="240" w:lineRule="auto"/>
        <w:ind w:firstLine="284"/>
        <w:jc w:val="both"/>
        <w:rPr>
          <w:rFonts w:ascii="Garamond" w:hAnsi="Garamond" w:cs="Calibri"/>
          <w:color w:val="000000"/>
          <w:sz w:val="24"/>
          <w:szCs w:val="24"/>
        </w:rPr>
      </w:pPr>
      <w:r w:rsidRPr="00BD6C39">
        <w:rPr>
          <w:rFonts w:ascii="Garamond" w:hAnsi="Garamond" w:cs="Calibri"/>
          <w:color w:val="000000"/>
          <w:sz w:val="24"/>
          <w:szCs w:val="24"/>
        </w:rPr>
        <w:t>2.</w:t>
      </w:r>
      <w:r w:rsidRPr="00BD6C39">
        <w:rPr>
          <w:rFonts w:ascii="Garamond" w:hAnsi="Garamond" w:cs="Calibri"/>
          <w:color w:val="000000"/>
        </w:rPr>
        <w:t xml:space="preserve"> </w:t>
      </w:r>
      <w:r w:rsidRPr="00BD6C39">
        <w:rPr>
          <w:rFonts w:ascii="Garamond" w:hAnsi="Garamond" w:cs="Calibri"/>
          <w:color w:val="000000"/>
          <w:sz w:val="24"/>
          <w:szCs w:val="24"/>
        </w:rPr>
        <w:t>Në kryerjen e vlerësimit të gatishmërisë së tregut të ditës në avancë të Bursës Shqiptare të Energjisë nga ERE, me qëllim lejimin e konvertimit të MBE-ve në KpD, krahasimi duhet të kufizohet në tregjet e ditës në avancë të vendeve të BE-së, të cilat kanë futur kontratat për diferencë.</w:t>
      </w:r>
    </w:p>
    <w:p w14:paraId="54F10E06" w14:textId="48617A1F" w:rsidR="007F6030" w:rsidRPr="00BD6C39" w:rsidRDefault="007F6030" w:rsidP="007F6030">
      <w:pPr>
        <w:autoSpaceDE w:val="0"/>
        <w:autoSpaceDN w:val="0"/>
        <w:adjustRightInd w:val="0"/>
        <w:spacing w:after="0" w:line="240" w:lineRule="auto"/>
        <w:ind w:firstLine="284"/>
        <w:jc w:val="both"/>
        <w:rPr>
          <w:rFonts w:ascii="Garamond" w:hAnsi="Garamond" w:cs="Calibri"/>
          <w:color w:val="000000"/>
          <w:sz w:val="24"/>
          <w:szCs w:val="24"/>
        </w:rPr>
      </w:pPr>
      <w:r w:rsidRPr="00BD6C39">
        <w:rPr>
          <w:rFonts w:ascii="Garamond" w:hAnsi="Garamond" w:cs="Calibri"/>
          <w:color w:val="000000"/>
          <w:sz w:val="24"/>
          <w:szCs w:val="24"/>
        </w:rPr>
        <w:t>3.</w:t>
      </w:r>
      <w:r w:rsidRPr="00BD6C39">
        <w:rPr>
          <w:rFonts w:ascii="Garamond" w:hAnsi="Garamond" w:cs="Calibri"/>
          <w:color w:val="000000"/>
        </w:rPr>
        <w:t xml:space="preserve"> </w:t>
      </w:r>
      <w:r w:rsidRPr="00BD6C39">
        <w:rPr>
          <w:rFonts w:ascii="Garamond" w:hAnsi="Garamond" w:cs="Calibri"/>
          <w:color w:val="000000"/>
          <w:sz w:val="24"/>
          <w:szCs w:val="24"/>
        </w:rPr>
        <w:t xml:space="preserve">Likuiditeti i Tregut Shqiptar të Ditës në Avancë duhet të vlerësohet kundrejt treguesve të likuiditetit të tregjeve të Ditës në Avancë përkatëse të BE-së, për periudhat kur është implementuar “Kontrata për </w:t>
      </w:r>
      <w:r w:rsidR="00414FEF" w:rsidRPr="00BD6C39">
        <w:rPr>
          <w:rFonts w:ascii="Garamond" w:hAnsi="Garamond" w:cs="Calibri"/>
          <w:color w:val="000000"/>
          <w:sz w:val="24"/>
          <w:szCs w:val="24"/>
        </w:rPr>
        <w:t>diferencë</w:t>
      </w:r>
      <w:r w:rsidRPr="00BD6C39">
        <w:rPr>
          <w:rFonts w:ascii="Garamond" w:hAnsi="Garamond" w:cs="Calibri"/>
          <w:color w:val="000000"/>
          <w:sz w:val="24"/>
          <w:szCs w:val="24"/>
        </w:rPr>
        <w:t>”.</w:t>
      </w:r>
    </w:p>
    <w:p w14:paraId="3EB3E29B" w14:textId="77777777" w:rsidR="007F6030" w:rsidRDefault="007F6030" w:rsidP="007F6030">
      <w:pPr>
        <w:autoSpaceDE w:val="0"/>
        <w:autoSpaceDN w:val="0"/>
        <w:adjustRightInd w:val="0"/>
        <w:spacing w:after="0" w:line="240" w:lineRule="auto"/>
        <w:ind w:firstLine="284"/>
        <w:jc w:val="both"/>
        <w:rPr>
          <w:rFonts w:ascii="Garamond" w:hAnsi="Garamond" w:cs="Calibri"/>
          <w:sz w:val="24"/>
          <w:szCs w:val="24"/>
        </w:rPr>
      </w:pPr>
    </w:p>
    <w:p w14:paraId="68A06EC0" w14:textId="77777777" w:rsidR="00A352F2" w:rsidRDefault="00A352F2" w:rsidP="007F6030">
      <w:pPr>
        <w:autoSpaceDE w:val="0"/>
        <w:autoSpaceDN w:val="0"/>
        <w:adjustRightInd w:val="0"/>
        <w:spacing w:after="0" w:line="240" w:lineRule="auto"/>
        <w:ind w:firstLine="284"/>
        <w:jc w:val="both"/>
        <w:rPr>
          <w:rFonts w:ascii="Garamond" w:hAnsi="Garamond" w:cs="Calibri"/>
          <w:sz w:val="24"/>
          <w:szCs w:val="24"/>
        </w:rPr>
      </w:pPr>
    </w:p>
    <w:p w14:paraId="6DC5AFA9" w14:textId="77777777" w:rsidR="00A352F2" w:rsidRDefault="00A352F2" w:rsidP="007F6030">
      <w:pPr>
        <w:autoSpaceDE w:val="0"/>
        <w:autoSpaceDN w:val="0"/>
        <w:adjustRightInd w:val="0"/>
        <w:spacing w:after="0" w:line="240" w:lineRule="auto"/>
        <w:ind w:firstLine="284"/>
        <w:jc w:val="both"/>
        <w:rPr>
          <w:rFonts w:ascii="Garamond" w:hAnsi="Garamond" w:cs="Calibri"/>
          <w:sz w:val="24"/>
          <w:szCs w:val="24"/>
        </w:rPr>
      </w:pPr>
    </w:p>
    <w:p w14:paraId="53F0E685" w14:textId="77777777" w:rsidR="00A352F2" w:rsidRPr="00BD6C39" w:rsidRDefault="00A352F2" w:rsidP="007F6030">
      <w:pPr>
        <w:autoSpaceDE w:val="0"/>
        <w:autoSpaceDN w:val="0"/>
        <w:adjustRightInd w:val="0"/>
        <w:spacing w:after="0" w:line="240" w:lineRule="auto"/>
        <w:ind w:firstLine="284"/>
        <w:jc w:val="both"/>
        <w:rPr>
          <w:rFonts w:ascii="Garamond" w:hAnsi="Garamond" w:cs="Calibri"/>
          <w:sz w:val="24"/>
          <w:szCs w:val="24"/>
        </w:rPr>
      </w:pPr>
    </w:p>
    <w:p w14:paraId="160939C4" w14:textId="77777777" w:rsidR="007F6030" w:rsidRPr="00414FEF" w:rsidRDefault="007F6030" w:rsidP="007F6030">
      <w:pPr>
        <w:autoSpaceDE w:val="0"/>
        <w:autoSpaceDN w:val="0"/>
        <w:adjustRightInd w:val="0"/>
        <w:spacing w:after="0" w:line="240" w:lineRule="auto"/>
        <w:ind w:firstLine="284"/>
        <w:jc w:val="center"/>
        <w:rPr>
          <w:rFonts w:ascii="Garamond" w:hAnsi="Garamond" w:cs="Calibri"/>
          <w:bCs/>
          <w:sz w:val="24"/>
          <w:szCs w:val="24"/>
        </w:rPr>
      </w:pPr>
      <w:r w:rsidRPr="00414FEF">
        <w:rPr>
          <w:rFonts w:ascii="Garamond" w:hAnsi="Garamond" w:cs="Calibri"/>
          <w:bCs/>
          <w:sz w:val="24"/>
          <w:szCs w:val="24"/>
        </w:rPr>
        <w:lastRenderedPageBreak/>
        <w:t>PJESA III</w:t>
      </w:r>
    </w:p>
    <w:p w14:paraId="7AF9C56E" w14:textId="77777777" w:rsidR="007F6030" w:rsidRPr="00414FEF" w:rsidRDefault="007F6030" w:rsidP="007F6030">
      <w:pPr>
        <w:autoSpaceDE w:val="0"/>
        <w:autoSpaceDN w:val="0"/>
        <w:adjustRightInd w:val="0"/>
        <w:spacing w:after="0" w:line="240" w:lineRule="auto"/>
        <w:ind w:firstLine="284"/>
        <w:jc w:val="center"/>
        <w:rPr>
          <w:rFonts w:ascii="Garamond" w:hAnsi="Garamond" w:cs="Calibri"/>
          <w:bCs/>
          <w:sz w:val="24"/>
          <w:szCs w:val="24"/>
        </w:rPr>
      </w:pPr>
      <w:r w:rsidRPr="00414FEF">
        <w:rPr>
          <w:rFonts w:ascii="Garamond" w:hAnsi="Garamond" w:cs="Calibri"/>
          <w:bCs/>
          <w:sz w:val="24"/>
          <w:szCs w:val="24"/>
        </w:rPr>
        <w:t>DISPOZITA TË FUNDIT</w:t>
      </w:r>
    </w:p>
    <w:p w14:paraId="5B17F3C3" w14:textId="77777777" w:rsidR="007F6030" w:rsidRPr="00BD6C39" w:rsidRDefault="007F6030" w:rsidP="007F6030">
      <w:pPr>
        <w:autoSpaceDE w:val="0"/>
        <w:autoSpaceDN w:val="0"/>
        <w:adjustRightInd w:val="0"/>
        <w:spacing w:after="0" w:line="240" w:lineRule="auto"/>
        <w:ind w:firstLine="284"/>
        <w:jc w:val="both"/>
        <w:rPr>
          <w:rFonts w:ascii="Garamond" w:hAnsi="Garamond" w:cs="Calibri"/>
          <w:sz w:val="24"/>
          <w:szCs w:val="24"/>
        </w:rPr>
      </w:pPr>
    </w:p>
    <w:p w14:paraId="40EF61C5" w14:textId="77777777" w:rsidR="007F6030" w:rsidRPr="00BD6C39" w:rsidRDefault="007F6030" w:rsidP="007F6030">
      <w:pPr>
        <w:autoSpaceDE w:val="0"/>
        <w:autoSpaceDN w:val="0"/>
        <w:adjustRightInd w:val="0"/>
        <w:spacing w:after="0" w:line="240" w:lineRule="auto"/>
        <w:ind w:firstLine="284"/>
        <w:jc w:val="center"/>
        <w:rPr>
          <w:rFonts w:ascii="Garamond" w:hAnsi="Garamond" w:cs="Calibri"/>
          <w:bCs/>
          <w:sz w:val="24"/>
          <w:szCs w:val="24"/>
        </w:rPr>
      </w:pPr>
      <w:r w:rsidRPr="00BD6C39">
        <w:rPr>
          <w:rFonts w:ascii="Garamond" w:hAnsi="Garamond" w:cs="Calibri"/>
          <w:bCs/>
          <w:sz w:val="24"/>
          <w:szCs w:val="24"/>
        </w:rPr>
        <w:t>Neni 8</w:t>
      </w:r>
    </w:p>
    <w:p w14:paraId="3A86ABEB" w14:textId="77777777" w:rsidR="007F6030" w:rsidRPr="00BD6C39" w:rsidRDefault="007F6030" w:rsidP="007F6030">
      <w:pPr>
        <w:autoSpaceDE w:val="0"/>
        <w:autoSpaceDN w:val="0"/>
        <w:adjustRightInd w:val="0"/>
        <w:spacing w:after="0" w:line="240" w:lineRule="auto"/>
        <w:ind w:firstLine="284"/>
        <w:jc w:val="center"/>
        <w:rPr>
          <w:rFonts w:ascii="Garamond" w:hAnsi="Garamond" w:cs="Calibri"/>
          <w:sz w:val="24"/>
          <w:szCs w:val="24"/>
        </w:rPr>
      </w:pPr>
      <w:r w:rsidRPr="00BD6C39">
        <w:rPr>
          <w:rFonts w:ascii="Garamond" w:hAnsi="Garamond" w:cs="Calibri"/>
          <w:b/>
          <w:bCs/>
          <w:sz w:val="24"/>
          <w:szCs w:val="24"/>
        </w:rPr>
        <w:t>Rishikimi dhe ndryshimi i metodologjisë</w:t>
      </w:r>
    </w:p>
    <w:p w14:paraId="5B7E18AE" w14:textId="77777777" w:rsidR="007F6030" w:rsidRPr="00BD6C39" w:rsidRDefault="007F6030" w:rsidP="007F6030">
      <w:pPr>
        <w:autoSpaceDE w:val="0"/>
        <w:autoSpaceDN w:val="0"/>
        <w:adjustRightInd w:val="0"/>
        <w:spacing w:after="0" w:line="240" w:lineRule="auto"/>
        <w:ind w:firstLine="284"/>
        <w:jc w:val="both"/>
        <w:rPr>
          <w:rFonts w:ascii="Garamond" w:hAnsi="Garamond" w:cs="Calibri"/>
          <w:sz w:val="24"/>
          <w:szCs w:val="24"/>
        </w:rPr>
      </w:pPr>
    </w:p>
    <w:p w14:paraId="0F85C1E7" w14:textId="1601D546" w:rsidR="007F6030" w:rsidRPr="00BD6C39" w:rsidRDefault="007F6030" w:rsidP="007F6030">
      <w:pPr>
        <w:autoSpaceDE w:val="0"/>
        <w:autoSpaceDN w:val="0"/>
        <w:adjustRightInd w:val="0"/>
        <w:spacing w:after="0" w:line="240" w:lineRule="auto"/>
        <w:ind w:firstLine="284"/>
        <w:jc w:val="both"/>
        <w:rPr>
          <w:rFonts w:ascii="Garamond" w:hAnsi="Garamond" w:cs="Calibri"/>
          <w:sz w:val="24"/>
          <w:szCs w:val="24"/>
        </w:rPr>
      </w:pPr>
      <w:r w:rsidRPr="00BD6C39">
        <w:rPr>
          <w:rFonts w:ascii="Garamond" w:hAnsi="Garamond" w:cs="Calibri"/>
          <w:sz w:val="24"/>
          <w:szCs w:val="24"/>
        </w:rPr>
        <w:t xml:space="preserve">Kjo metodologji është objekt rishikimi dhe ndryshimi me vendim të </w:t>
      </w:r>
      <w:r w:rsidR="00414FEF" w:rsidRPr="00BD6C39">
        <w:rPr>
          <w:rFonts w:ascii="Garamond" w:hAnsi="Garamond" w:cs="Calibri"/>
          <w:sz w:val="24"/>
          <w:szCs w:val="24"/>
        </w:rPr>
        <w:t xml:space="preserve">Bordit </w:t>
      </w:r>
      <w:r w:rsidRPr="00BD6C39">
        <w:rPr>
          <w:rFonts w:ascii="Garamond" w:hAnsi="Garamond" w:cs="Calibri"/>
          <w:sz w:val="24"/>
          <w:szCs w:val="24"/>
        </w:rPr>
        <w:t>të ERE</w:t>
      </w:r>
      <w:r w:rsidR="00414FEF">
        <w:rPr>
          <w:rFonts w:ascii="Garamond" w:hAnsi="Garamond" w:cs="Calibri"/>
          <w:sz w:val="24"/>
          <w:szCs w:val="24"/>
        </w:rPr>
        <w:t>-s</w:t>
      </w:r>
      <w:r w:rsidRPr="00BD6C39">
        <w:rPr>
          <w:rFonts w:ascii="Garamond" w:hAnsi="Garamond" w:cs="Calibri"/>
          <w:sz w:val="24"/>
          <w:szCs w:val="24"/>
        </w:rPr>
        <w:t xml:space="preserve">, në përputhje me </w:t>
      </w:r>
      <w:r w:rsidR="00414FEF">
        <w:rPr>
          <w:rFonts w:ascii="Garamond" w:hAnsi="Garamond" w:cs="Calibri"/>
          <w:sz w:val="24"/>
          <w:szCs w:val="24"/>
        </w:rPr>
        <w:t>“</w:t>
      </w:r>
      <w:r w:rsidRPr="00BD6C39">
        <w:rPr>
          <w:rFonts w:ascii="Garamond" w:hAnsi="Garamond" w:cs="Calibri"/>
          <w:sz w:val="24"/>
          <w:szCs w:val="24"/>
        </w:rPr>
        <w:t xml:space="preserve">Rregulloren për </w:t>
      </w:r>
      <w:r w:rsidR="00414FEF" w:rsidRPr="00BD6C39">
        <w:rPr>
          <w:rFonts w:ascii="Garamond" w:hAnsi="Garamond" w:cs="Calibri"/>
          <w:sz w:val="24"/>
          <w:szCs w:val="24"/>
        </w:rPr>
        <w:t xml:space="preserve">organizimin, funksionimin dhe procedurat </w:t>
      </w:r>
      <w:r w:rsidRPr="00BD6C39">
        <w:rPr>
          <w:rFonts w:ascii="Garamond" w:hAnsi="Garamond" w:cs="Calibri"/>
          <w:sz w:val="24"/>
          <w:szCs w:val="24"/>
        </w:rPr>
        <w:t>e ERE-s</w:t>
      </w:r>
      <w:r w:rsidR="00414FEF">
        <w:rPr>
          <w:rFonts w:ascii="Garamond" w:hAnsi="Garamond" w:cs="Calibri"/>
          <w:sz w:val="24"/>
          <w:szCs w:val="24"/>
        </w:rPr>
        <w:t>”</w:t>
      </w:r>
      <w:r w:rsidRPr="00BD6C39">
        <w:rPr>
          <w:rFonts w:ascii="Garamond" w:hAnsi="Garamond" w:cs="Calibri"/>
          <w:sz w:val="24"/>
          <w:szCs w:val="24"/>
        </w:rPr>
        <w:t>.</w:t>
      </w:r>
    </w:p>
    <w:p w14:paraId="196C639B" w14:textId="77777777" w:rsidR="007F6030" w:rsidRPr="00BD6C39" w:rsidRDefault="007F6030" w:rsidP="007F6030">
      <w:pPr>
        <w:autoSpaceDE w:val="0"/>
        <w:autoSpaceDN w:val="0"/>
        <w:adjustRightInd w:val="0"/>
        <w:spacing w:after="0" w:line="240" w:lineRule="auto"/>
        <w:ind w:firstLine="284"/>
        <w:jc w:val="both"/>
        <w:rPr>
          <w:rFonts w:ascii="Garamond" w:hAnsi="Garamond" w:cs="Calibri"/>
          <w:sz w:val="24"/>
          <w:szCs w:val="24"/>
        </w:rPr>
      </w:pPr>
    </w:p>
    <w:p w14:paraId="6E35FCFC" w14:textId="77777777" w:rsidR="007F6030" w:rsidRPr="00BD6C39" w:rsidRDefault="007F6030" w:rsidP="007F6030">
      <w:pPr>
        <w:autoSpaceDE w:val="0"/>
        <w:autoSpaceDN w:val="0"/>
        <w:adjustRightInd w:val="0"/>
        <w:spacing w:after="0" w:line="240" w:lineRule="auto"/>
        <w:ind w:firstLine="284"/>
        <w:jc w:val="center"/>
        <w:rPr>
          <w:rFonts w:ascii="Garamond" w:hAnsi="Garamond" w:cs="Calibri"/>
          <w:bCs/>
          <w:sz w:val="24"/>
          <w:szCs w:val="24"/>
        </w:rPr>
      </w:pPr>
      <w:r w:rsidRPr="00BD6C39">
        <w:rPr>
          <w:rFonts w:ascii="Garamond" w:hAnsi="Garamond" w:cs="Calibri"/>
          <w:bCs/>
          <w:sz w:val="24"/>
          <w:szCs w:val="24"/>
        </w:rPr>
        <w:t>Neni 9</w:t>
      </w:r>
    </w:p>
    <w:p w14:paraId="28373AEC" w14:textId="77777777" w:rsidR="007F6030" w:rsidRPr="00BD6C39" w:rsidRDefault="007F6030" w:rsidP="007F6030">
      <w:pPr>
        <w:autoSpaceDE w:val="0"/>
        <w:autoSpaceDN w:val="0"/>
        <w:adjustRightInd w:val="0"/>
        <w:ind w:firstLine="284"/>
        <w:jc w:val="center"/>
        <w:rPr>
          <w:rFonts w:ascii="Garamond" w:hAnsi="Garamond" w:cs="Calibri"/>
          <w:b/>
          <w:bCs/>
        </w:rPr>
      </w:pPr>
      <w:r w:rsidRPr="00BD6C39">
        <w:rPr>
          <w:rFonts w:ascii="Garamond" w:hAnsi="Garamond" w:cs="Calibri"/>
          <w:b/>
          <w:bCs/>
          <w:sz w:val="24"/>
          <w:szCs w:val="24"/>
        </w:rPr>
        <w:t>Hyrja në fuqi</w:t>
      </w:r>
    </w:p>
    <w:p w14:paraId="69DC2E72" w14:textId="77777777" w:rsidR="007F6030" w:rsidRPr="00BD6C39" w:rsidRDefault="007F6030" w:rsidP="007F6030">
      <w:pPr>
        <w:autoSpaceDE w:val="0"/>
        <w:autoSpaceDN w:val="0"/>
        <w:adjustRightInd w:val="0"/>
        <w:spacing w:after="0" w:line="240" w:lineRule="auto"/>
        <w:ind w:firstLine="284"/>
        <w:jc w:val="center"/>
        <w:rPr>
          <w:rFonts w:ascii="Garamond" w:hAnsi="Garamond" w:cs="Calibri"/>
          <w:b/>
          <w:bCs/>
          <w:sz w:val="24"/>
          <w:szCs w:val="24"/>
        </w:rPr>
      </w:pPr>
    </w:p>
    <w:p w14:paraId="3EEECCE4" w14:textId="77777777" w:rsidR="007F6030" w:rsidRPr="00BD6C39" w:rsidRDefault="007F6030" w:rsidP="007F6030">
      <w:pPr>
        <w:autoSpaceDE w:val="0"/>
        <w:autoSpaceDN w:val="0"/>
        <w:adjustRightInd w:val="0"/>
        <w:spacing w:after="0" w:line="240" w:lineRule="auto"/>
        <w:ind w:firstLine="284"/>
        <w:jc w:val="both"/>
        <w:rPr>
          <w:rFonts w:ascii="Garamond" w:hAnsi="Garamond" w:cs="Calibri"/>
          <w:sz w:val="24"/>
          <w:szCs w:val="24"/>
        </w:rPr>
      </w:pPr>
      <w:r w:rsidRPr="00BD6C39">
        <w:rPr>
          <w:rFonts w:ascii="Garamond" w:hAnsi="Garamond" w:cs="Calibri"/>
          <w:sz w:val="24"/>
          <w:szCs w:val="24"/>
        </w:rPr>
        <w:t>Kjo metodologji hyn në fuqi menjëherë pas botimit në Fletoren Zyrtare.</w:t>
      </w:r>
    </w:p>
    <w:p w14:paraId="6A371BDF" w14:textId="77777777" w:rsidR="007F6030" w:rsidRPr="00BD6C39" w:rsidRDefault="007F6030" w:rsidP="007F6030">
      <w:pPr>
        <w:autoSpaceDE w:val="0"/>
        <w:autoSpaceDN w:val="0"/>
        <w:adjustRightInd w:val="0"/>
        <w:spacing w:after="0" w:line="240" w:lineRule="auto"/>
        <w:ind w:firstLine="284"/>
        <w:jc w:val="both"/>
        <w:rPr>
          <w:rFonts w:ascii="Garamond" w:hAnsi="Garamond" w:cs="Calibri"/>
          <w:b/>
          <w:bCs/>
          <w:color w:val="000000"/>
          <w:sz w:val="24"/>
          <w:szCs w:val="24"/>
        </w:rPr>
      </w:pPr>
    </w:p>
    <w:p w14:paraId="5F351A11" w14:textId="77777777" w:rsidR="007F6030" w:rsidRPr="00BD6C39" w:rsidRDefault="007F6030" w:rsidP="007F6030">
      <w:pPr>
        <w:pStyle w:val="HTMLPreformatted"/>
        <w:tabs>
          <w:tab w:val="left" w:pos="414"/>
        </w:tabs>
        <w:ind w:firstLine="284"/>
        <w:jc w:val="both"/>
        <w:rPr>
          <w:rFonts w:ascii="Garamond" w:hAnsi="Garamond"/>
          <w:b/>
          <w:sz w:val="24"/>
          <w:szCs w:val="24"/>
        </w:rPr>
      </w:pPr>
    </w:p>
    <w:p w14:paraId="7B99DB26" w14:textId="77777777" w:rsidR="00FC7D5C" w:rsidRPr="00BD6C39" w:rsidRDefault="00FC7D5C" w:rsidP="0076583B">
      <w:pPr>
        <w:spacing w:after="0" w:line="240" w:lineRule="auto"/>
        <w:jc w:val="right"/>
        <w:rPr>
          <w:rFonts w:ascii="Garamond" w:hAnsi="Garamond"/>
          <w:sz w:val="24"/>
          <w:szCs w:val="24"/>
        </w:rPr>
      </w:pPr>
    </w:p>
    <w:p w14:paraId="2EF02751" w14:textId="77777777" w:rsidR="00E177C1" w:rsidRPr="00BD6C39" w:rsidRDefault="00E177C1" w:rsidP="0076583B">
      <w:pPr>
        <w:spacing w:after="0" w:line="240" w:lineRule="auto"/>
        <w:rPr>
          <w:rFonts w:ascii="Garamond" w:hAnsi="Garamond"/>
          <w:sz w:val="24"/>
          <w:szCs w:val="24"/>
        </w:rPr>
      </w:pPr>
    </w:p>
    <w:sectPr w:rsidR="00E177C1" w:rsidRPr="00BD6C39">
      <w:footerReference w:type="default" r:id="rId18"/>
      <w:pgSz w:w="12240" w:h="15840"/>
      <w:pgMar w:top="1260" w:right="1440" w:bottom="1530" w:left="1440" w:header="720" w:footer="156" w:gutter="0"/>
      <w:cols w:space="720"/>
      <w:noEndnot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134A58" w14:textId="77777777" w:rsidR="0087391A" w:rsidRDefault="0087391A">
      <w:pPr>
        <w:spacing w:after="0" w:line="240" w:lineRule="auto"/>
      </w:pPr>
      <w:r>
        <w:separator/>
      </w:r>
    </w:p>
  </w:endnote>
  <w:endnote w:type="continuationSeparator" w:id="0">
    <w:p w14:paraId="14154B8B" w14:textId="77777777" w:rsidR="0087391A" w:rsidRDefault="0087391A">
      <w:pPr>
        <w:spacing w:after="0" w:line="240" w:lineRule="auto"/>
      </w:pPr>
      <w:r>
        <w:continuationSeparator/>
      </w:r>
    </w:p>
  </w:endnote>
  <w:endnote w:type="continuationNotice" w:id="1">
    <w:p w14:paraId="65C58A7E" w14:textId="77777777" w:rsidR="0087391A" w:rsidRDefault="0087391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G Times">
    <w:altName w:val="Times New Roman"/>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433C1C" w14:textId="1C1D03E0" w:rsidR="0087391A" w:rsidRDefault="0087391A" w:rsidP="00FC7D5C">
    <w:pPr>
      <w:tabs>
        <w:tab w:val="center" w:pos="4680"/>
        <w:tab w:val="right" w:pos="9360"/>
      </w:tabs>
      <w:rPr>
        <w:rFonts w:ascii="Times New Roman" w:hAnsi="Times New Roman"/>
        <w:sz w:val="20"/>
        <w:szCs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06CE61" w14:textId="77777777" w:rsidR="0087391A" w:rsidRDefault="0087391A">
      <w:pPr>
        <w:spacing w:after="0" w:line="240" w:lineRule="auto"/>
      </w:pPr>
      <w:r>
        <w:separator/>
      </w:r>
    </w:p>
  </w:footnote>
  <w:footnote w:type="continuationSeparator" w:id="0">
    <w:p w14:paraId="0136D08C" w14:textId="77777777" w:rsidR="0087391A" w:rsidRDefault="0087391A">
      <w:pPr>
        <w:spacing w:after="0" w:line="240" w:lineRule="auto"/>
      </w:pPr>
      <w:r>
        <w:continuationSeparator/>
      </w:r>
    </w:p>
  </w:footnote>
  <w:footnote w:type="continuationNotice" w:id="1">
    <w:p w14:paraId="1098485E" w14:textId="77777777" w:rsidR="0087391A" w:rsidRDefault="0087391A">
      <w:pPr>
        <w:spacing w:after="0" w:line="240" w:lineRule="auto"/>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D1F8D57A"/>
    <w:lvl w:ilvl="0" w:tplc="70DE90E8">
      <w:start w:val="1"/>
      <w:numFmt w:val="bullet"/>
      <w:lvlText w:val="-"/>
      <w:lvlJc w:val="left"/>
      <w:pPr>
        <w:ind w:left="360" w:hanging="360"/>
      </w:pPr>
      <w:rPr>
        <w:rFonts w:ascii="Times New Roman" w:eastAsia="Times New Roman" w:hAnsi="Times New Roman"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 w15:restartNumberingAfterBreak="0">
    <w:nsid w:val="00000002"/>
    <w:multiLevelType w:val="hybridMultilevel"/>
    <w:tmpl w:val="983C9D7E"/>
    <w:lvl w:ilvl="0" w:tplc="DA7C65E8">
      <w:start w:val="1"/>
      <w:numFmt w:val="bullet"/>
      <w:lvlText w:val="-"/>
      <w:lvlJc w:val="left"/>
      <w:pPr>
        <w:ind w:left="360" w:hanging="360"/>
      </w:pPr>
      <w:rPr>
        <w:rFonts w:ascii="Calibri" w:eastAsia="Calibri"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0000003"/>
    <w:multiLevelType w:val="hybridMultilevel"/>
    <w:tmpl w:val="1C3EC934"/>
    <w:lvl w:ilvl="0" w:tplc="DA7C65E8">
      <w:start w:val="1"/>
      <w:numFmt w:val="bullet"/>
      <w:lvlText w:val="-"/>
      <w:lvlJc w:val="left"/>
      <w:pPr>
        <w:ind w:left="360" w:hanging="360"/>
      </w:pPr>
      <w:rPr>
        <w:rFonts w:ascii="Calibri" w:eastAsia="Calibri"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0000004"/>
    <w:multiLevelType w:val="hybridMultilevel"/>
    <w:tmpl w:val="72407BDA"/>
    <w:lvl w:ilvl="0" w:tplc="F8429B58">
      <w:start w:val="4"/>
      <w:numFmt w:val="decimal"/>
      <w:lvlText w:val="%1."/>
      <w:lvlJc w:val="left"/>
      <w:pPr>
        <w:ind w:left="360" w:hanging="360"/>
      </w:pPr>
      <w:rPr>
        <w:rFonts w:ascii="Times New Roman" w:hAnsi="Times New Roman" w:cs="Times New Roman" w:hint="default"/>
        <w:b/>
        <w:bCs/>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0000005"/>
    <w:multiLevelType w:val="hybridMultilevel"/>
    <w:tmpl w:val="55CC0A1E"/>
    <w:lvl w:ilvl="0" w:tplc="DA7C65E8">
      <w:start w:val="1"/>
      <w:numFmt w:val="bullet"/>
      <w:lvlText w:val="-"/>
      <w:lvlJc w:val="left"/>
      <w:pPr>
        <w:ind w:left="360" w:hanging="360"/>
      </w:pPr>
      <w:rPr>
        <w:rFonts w:ascii="Calibri" w:eastAsia="Calibri"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0000006"/>
    <w:multiLevelType w:val="hybridMultilevel"/>
    <w:tmpl w:val="971EF40A"/>
    <w:lvl w:ilvl="0" w:tplc="B874CF22">
      <w:start w:val="1"/>
      <w:numFmt w:val="lowerLetter"/>
      <w:lvlText w:val="%1)"/>
      <w:lvlJc w:val="left"/>
      <w:pPr>
        <w:ind w:left="810" w:hanging="360"/>
      </w:pPr>
      <w:rPr>
        <w:b w:val="0"/>
        <w:bCs w:val="0"/>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6" w15:restartNumberingAfterBreak="0">
    <w:nsid w:val="00000007"/>
    <w:multiLevelType w:val="hybridMultilevel"/>
    <w:tmpl w:val="F9E8F0FA"/>
    <w:lvl w:ilvl="0" w:tplc="DA7C65E8">
      <w:start w:val="1"/>
      <w:numFmt w:val="bullet"/>
      <w:lvlText w:val="-"/>
      <w:lvlJc w:val="left"/>
      <w:pPr>
        <w:ind w:left="360" w:hanging="360"/>
      </w:pPr>
      <w:rPr>
        <w:rFonts w:ascii="Calibri" w:eastAsia="Calibri"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00000008"/>
    <w:multiLevelType w:val="hybridMultilevel"/>
    <w:tmpl w:val="121E45CE"/>
    <w:lvl w:ilvl="0" w:tplc="DA7C65E8">
      <w:start w:val="1"/>
      <w:numFmt w:val="bullet"/>
      <w:lvlText w:val="-"/>
      <w:lvlJc w:val="left"/>
      <w:pPr>
        <w:ind w:left="360" w:hanging="360"/>
      </w:pPr>
      <w:rPr>
        <w:rFonts w:ascii="Calibri" w:eastAsia="Calibri"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6BB25E63"/>
    <w:multiLevelType w:val="hybridMultilevel"/>
    <w:tmpl w:val="97A077F8"/>
    <w:lvl w:ilvl="0" w:tplc="F9444E54">
      <w:start w:val="1"/>
      <w:numFmt w:val="decimal"/>
      <w:lvlText w:val="%1."/>
      <w:lvlJc w:val="left"/>
      <w:pPr>
        <w:ind w:left="360" w:hanging="360"/>
      </w:pPr>
      <w:rPr>
        <w:rFonts w:ascii="Times New Roman" w:eastAsia="Times New Roman" w:hAnsi="Times New Roman" w:cs="Times New Roman"/>
        <w:b w:val="0"/>
        <w:bCs/>
      </w:rPr>
    </w:lvl>
    <w:lvl w:ilvl="1" w:tplc="04090019">
      <w:start w:val="1"/>
      <w:numFmt w:val="lowerLetter"/>
      <w:lvlText w:val="%2."/>
      <w:lvlJc w:val="left"/>
      <w:pPr>
        <w:ind w:left="720" w:hanging="360"/>
      </w:pPr>
    </w:lvl>
    <w:lvl w:ilvl="2" w:tplc="0409001B">
      <w:start w:val="1"/>
      <w:numFmt w:val="lowerRoman"/>
      <w:lvlText w:val="%3."/>
      <w:lvlJc w:val="right"/>
      <w:pPr>
        <w:ind w:left="1440" w:hanging="180"/>
      </w:pPr>
    </w:lvl>
    <w:lvl w:ilvl="3" w:tplc="0409000F">
      <w:start w:val="1"/>
      <w:numFmt w:val="decimal"/>
      <w:lvlText w:val="%4."/>
      <w:lvlJc w:val="left"/>
      <w:pPr>
        <w:ind w:left="2160" w:hanging="360"/>
      </w:pPr>
    </w:lvl>
    <w:lvl w:ilvl="4" w:tplc="04090019">
      <w:start w:val="1"/>
      <w:numFmt w:val="lowerLetter"/>
      <w:lvlText w:val="%5."/>
      <w:lvlJc w:val="left"/>
      <w:pPr>
        <w:ind w:left="2880" w:hanging="360"/>
      </w:pPr>
    </w:lvl>
    <w:lvl w:ilvl="5" w:tplc="0409001B">
      <w:start w:val="1"/>
      <w:numFmt w:val="lowerRoman"/>
      <w:lvlText w:val="%6."/>
      <w:lvlJc w:val="right"/>
      <w:pPr>
        <w:ind w:left="3600" w:hanging="180"/>
      </w:pPr>
    </w:lvl>
    <w:lvl w:ilvl="6" w:tplc="0409000F">
      <w:start w:val="1"/>
      <w:numFmt w:val="decimal"/>
      <w:lvlText w:val="%7."/>
      <w:lvlJc w:val="left"/>
      <w:pPr>
        <w:ind w:left="4320" w:hanging="360"/>
      </w:pPr>
    </w:lvl>
    <w:lvl w:ilvl="7" w:tplc="04090019">
      <w:start w:val="1"/>
      <w:numFmt w:val="lowerLetter"/>
      <w:lvlText w:val="%8."/>
      <w:lvlJc w:val="left"/>
      <w:pPr>
        <w:ind w:left="5040" w:hanging="360"/>
      </w:pPr>
    </w:lvl>
    <w:lvl w:ilvl="8" w:tplc="0409001B">
      <w:start w:val="1"/>
      <w:numFmt w:val="lowerRoman"/>
      <w:lvlText w:val="%9."/>
      <w:lvlJc w:val="right"/>
      <w:pPr>
        <w:ind w:left="5760" w:hanging="180"/>
      </w:pPr>
    </w:lvl>
  </w:abstractNum>
  <w:num w:numId="1">
    <w:abstractNumId w:val="0"/>
  </w:num>
  <w:num w:numId="2">
    <w:abstractNumId w:val="8"/>
  </w:num>
  <w:num w:numId="3">
    <w:abstractNumId w:val="2"/>
  </w:num>
  <w:num w:numId="4">
    <w:abstractNumId w:val="4"/>
  </w:num>
  <w:num w:numId="5">
    <w:abstractNumId w:val="3"/>
  </w:num>
  <w:num w:numId="6">
    <w:abstractNumId w:val="1"/>
  </w:num>
  <w:num w:numId="7">
    <w:abstractNumId w:val="6"/>
  </w:num>
  <w:num w:numId="8">
    <w:abstractNumId w:val="7"/>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proofState w:spelling="clean" w:grammar="clean"/>
  <w:defaultTabStop w:val="720"/>
  <w:doNotShadeFormData/>
  <w:characterSpacingControl w:val="doNotCompress"/>
  <w:doNotValidateAgainstSchema/>
  <w:doNotDemarcateInvalidXml/>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77C1"/>
    <w:rsid w:val="00342A2C"/>
    <w:rsid w:val="003F2DEF"/>
    <w:rsid w:val="00414FEF"/>
    <w:rsid w:val="004802D7"/>
    <w:rsid w:val="00514A36"/>
    <w:rsid w:val="0054691C"/>
    <w:rsid w:val="005E5893"/>
    <w:rsid w:val="00683848"/>
    <w:rsid w:val="006A128A"/>
    <w:rsid w:val="00705D5D"/>
    <w:rsid w:val="007229F3"/>
    <w:rsid w:val="0076583B"/>
    <w:rsid w:val="007F6030"/>
    <w:rsid w:val="0082200C"/>
    <w:rsid w:val="00863010"/>
    <w:rsid w:val="008631ED"/>
    <w:rsid w:val="0087391A"/>
    <w:rsid w:val="00980CD0"/>
    <w:rsid w:val="009A694A"/>
    <w:rsid w:val="00A00C08"/>
    <w:rsid w:val="00A352F2"/>
    <w:rsid w:val="00AA149C"/>
    <w:rsid w:val="00BD6C39"/>
    <w:rsid w:val="00C22079"/>
    <w:rsid w:val="00CD760C"/>
    <w:rsid w:val="00CF4585"/>
    <w:rsid w:val="00E177C1"/>
    <w:rsid w:val="00E87F53"/>
    <w:rsid w:val="00ED76AE"/>
    <w:rsid w:val="00FA500D"/>
    <w:rsid w:val="00FC7D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5A68C26"/>
  <w15:docId w15:val="{4946CCE4-82EC-4415-8E6F-47754BFBBC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sz w:val="22"/>
      <w:szCs w:val="22"/>
      <w:lang w:val="sq-AL"/>
    </w:rPr>
  </w:style>
  <w:style w:type="paragraph" w:styleId="Heading2">
    <w:name w:val="heading 2"/>
    <w:basedOn w:val="Normal"/>
    <w:next w:val="Normal"/>
    <w:link w:val="Heading2Char"/>
    <w:uiPriority w:val="9"/>
    <w:unhideWhenUsed/>
    <w:qFormat/>
    <w:pPr>
      <w:keepNext/>
      <w:spacing w:before="240" w:after="60" w:line="240" w:lineRule="auto"/>
      <w:outlineLvl w:val="1"/>
    </w:pPr>
    <w:rPr>
      <w:rFonts w:ascii="Arial" w:eastAsia="Times New Roman"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rFonts w:ascii="Calibri" w:eastAsia="Calibri" w:hAnsi="Calibri" w:cs="Times New Roman"/>
      <w:color w:val="0000FF"/>
      <w:u w:val="single"/>
    </w:rPr>
  </w:style>
  <w:style w:type="character" w:customStyle="1" w:styleId="FooterChar">
    <w:name w:val="Footer Char"/>
    <w:link w:val="Footer"/>
    <w:rPr>
      <w:rFonts w:ascii="Calibri" w:eastAsia="Calibri" w:hAnsi="Calibri" w:cs="Times New Roman"/>
      <w:sz w:val="22"/>
      <w:szCs w:val="22"/>
    </w:rPr>
  </w:style>
  <w:style w:type="paragraph" w:styleId="Footer">
    <w:name w:val="footer"/>
    <w:basedOn w:val="Normal"/>
    <w:link w:val="FooterChar"/>
    <w:pPr>
      <w:tabs>
        <w:tab w:val="center" w:pos="4680"/>
        <w:tab w:val="right" w:pos="9360"/>
      </w:tabs>
    </w:pPr>
  </w:style>
  <w:style w:type="character" w:customStyle="1" w:styleId="Heading2Char">
    <w:name w:val="Heading 2 Char"/>
    <w:link w:val="Heading2"/>
    <w:rPr>
      <w:rFonts w:ascii="Arial" w:eastAsia="Times New Roman" w:hAnsi="Arial" w:cs="Arial"/>
      <w:b/>
      <w:bCs/>
      <w:i/>
      <w:iCs/>
      <w:sz w:val="28"/>
      <w:szCs w:val="28"/>
    </w:rPr>
  </w:style>
  <w:style w:type="character" w:styleId="Strong">
    <w:name w:val="Strong"/>
    <w:uiPriority w:val="22"/>
    <w:qFormat/>
    <w:rPr>
      <w:rFonts w:ascii="Calibri" w:eastAsia="Calibri" w:hAnsi="Calibri" w:cs="Times New Roman"/>
      <w:b/>
      <w:bCs/>
    </w:rPr>
  </w:style>
  <w:style w:type="paragraph" w:styleId="NormalWeb">
    <w:name w:val="Normal (Web)"/>
    <w:basedOn w:val="Normal"/>
    <w:uiPriority w:val="99"/>
    <w:pPr>
      <w:spacing w:before="100" w:beforeAutospacing="1" w:after="100" w:afterAutospacing="1" w:line="240" w:lineRule="auto"/>
    </w:pPr>
    <w:rPr>
      <w:rFonts w:ascii="Times New Roman" w:eastAsia="Times New Roman" w:hAnsi="Times New Roman"/>
      <w:sz w:val="24"/>
      <w:szCs w:val="24"/>
    </w:rPr>
  </w:style>
  <w:style w:type="character" w:customStyle="1" w:styleId="ListParagraphChar">
    <w:name w:val="List Paragraph Char"/>
    <w:link w:val="ListParagraph"/>
    <w:rPr>
      <w:rFonts w:ascii="Calibri" w:eastAsia="Calibri" w:hAnsi="Calibri" w:cs="Times New Roman"/>
      <w:sz w:val="22"/>
      <w:szCs w:val="22"/>
    </w:rPr>
  </w:style>
  <w:style w:type="paragraph" w:styleId="ListParagraph">
    <w:name w:val="List Paragraph"/>
    <w:basedOn w:val="Normal"/>
    <w:link w:val="ListParagraphChar"/>
    <w:uiPriority w:val="99"/>
    <w:qFormat/>
    <w:pPr>
      <w:ind w:left="720"/>
      <w:contextualSpacing/>
    </w:pPr>
  </w:style>
  <w:style w:type="character" w:customStyle="1" w:styleId="BalloonTextChar">
    <w:name w:val="Balloon Text Char"/>
    <w:link w:val="BalloonText"/>
    <w:rPr>
      <w:rFonts w:ascii="Segoe UI" w:eastAsia="Calibri" w:hAnsi="Segoe UI" w:cs="Segoe UI"/>
      <w:sz w:val="18"/>
      <w:szCs w:val="18"/>
    </w:rPr>
  </w:style>
  <w:style w:type="paragraph" w:styleId="BalloonText">
    <w:name w:val="Balloon Text"/>
    <w:basedOn w:val="Normal"/>
    <w:link w:val="BalloonTextChar"/>
    <w:pPr>
      <w:spacing w:after="0" w:line="240" w:lineRule="auto"/>
    </w:pPr>
    <w:rPr>
      <w:rFonts w:ascii="Segoe UI" w:hAnsi="Segoe UI" w:cs="Segoe UI"/>
      <w:sz w:val="18"/>
      <w:szCs w:val="18"/>
    </w:rPr>
  </w:style>
  <w:style w:type="character" w:styleId="CommentReference">
    <w:name w:val="annotation reference"/>
    <w:rPr>
      <w:rFonts w:ascii="Calibri" w:eastAsia="Calibri" w:hAnsi="Calibri" w:cs="Times New Roman"/>
      <w:sz w:val="16"/>
      <w:szCs w:val="16"/>
    </w:rPr>
  </w:style>
  <w:style w:type="character" w:customStyle="1" w:styleId="CommentTextChar">
    <w:name w:val="Comment Text Char"/>
    <w:link w:val="CommentText"/>
    <w:rPr>
      <w:rFonts w:ascii="Calibri" w:eastAsia="Calibri" w:hAnsi="Calibri" w:cs="Times New Roman"/>
      <w:sz w:val="20"/>
      <w:szCs w:val="20"/>
    </w:rPr>
  </w:style>
  <w:style w:type="paragraph" w:styleId="CommentText">
    <w:name w:val="annotation text"/>
    <w:basedOn w:val="Normal"/>
    <w:link w:val="CommentTextChar"/>
    <w:pPr>
      <w:spacing w:line="240" w:lineRule="auto"/>
    </w:pPr>
    <w:rPr>
      <w:sz w:val="20"/>
      <w:szCs w:val="20"/>
    </w:rPr>
  </w:style>
  <w:style w:type="character" w:customStyle="1" w:styleId="CommentSubjectChar">
    <w:name w:val="Comment Subject Char"/>
    <w:link w:val="CommentSubject"/>
    <w:rPr>
      <w:rFonts w:ascii="Calibri" w:eastAsia="Calibri" w:hAnsi="Calibri" w:cs="Times New Roman"/>
      <w:b/>
      <w:bCs/>
      <w:sz w:val="20"/>
      <w:szCs w:val="20"/>
    </w:rPr>
  </w:style>
  <w:style w:type="paragraph" w:styleId="CommentSubject">
    <w:name w:val="annotation subject"/>
    <w:basedOn w:val="CommentText"/>
    <w:next w:val="CommentText"/>
    <w:link w:val="CommentSubjectChar"/>
    <w:rPr>
      <w:b/>
      <w:bCs/>
    </w:rPr>
  </w:style>
  <w:style w:type="character" w:customStyle="1" w:styleId="HeaderChar">
    <w:name w:val="Header Char"/>
    <w:link w:val="Header"/>
    <w:rPr>
      <w:rFonts w:ascii="Calibri" w:eastAsia="Calibri" w:hAnsi="Calibri" w:cs="Times New Roman"/>
      <w:sz w:val="22"/>
      <w:szCs w:val="22"/>
    </w:rPr>
  </w:style>
  <w:style w:type="paragraph" w:styleId="Header">
    <w:name w:val="header"/>
    <w:basedOn w:val="Normal"/>
    <w:link w:val="HeaderChar"/>
    <w:pPr>
      <w:tabs>
        <w:tab w:val="center" w:pos="4680"/>
        <w:tab w:val="right" w:pos="9360"/>
      </w:tabs>
    </w:pPr>
  </w:style>
  <w:style w:type="paragraph" w:customStyle="1" w:styleId="Paragrafi">
    <w:name w:val="Paragrafi"/>
    <w:link w:val="ParagrafiChar"/>
    <w:pPr>
      <w:widowControl w:val="0"/>
      <w:ind w:firstLine="720"/>
      <w:jc w:val="both"/>
    </w:pPr>
    <w:rPr>
      <w:rFonts w:ascii="CG Times" w:hAnsi="CG Times"/>
      <w:szCs w:val="24"/>
    </w:rPr>
  </w:style>
  <w:style w:type="character" w:customStyle="1" w:styleId="ParagrafiChar">
    <w:name w:val="Paragrafi Char"/>
    <w:link w:val="Paragrafi"/>
    <w:rPr>
      <w:rFonts w:ascii="CG Times" w:eastAsia="Calibri" w:hAnsi="CG Times" w:cs="Times New Roman"/>
      <w:szCs w:val="24"/>
    </w:rPr>
  </w:style>
  <w:style w:type="character" w:customStyle="1" w:styleId="BodyTextChar">
    <w:name w:val="Body Text Char"/>
    <w:link w:val="BodyText"/>
    <w:rPr>
      <w:rFonts w:ascii="Times New Roman" w:eastAsia="Times New Roman" w:hAnsi="Times New Roman" w:cs="Times New Roman"/>
      <w:lang w:val="en-GB"/>
    </w:rPr>
  </w:style>
  <w:style w:type="paragraph" w:styleId="BodyText">
    <w:name w:val="Body Text"/>
    <w:basedOn w:val="Normal"/>
    <w:link w:val="BodyTextChar"/>
    <w:pPr>
      <w:spacing w:after="120" w:line="240" w:lineRule="auto"/>
    </w:pPr>
    <w:rPr>
      <w:rFonts w:ascii="Times New Roman" w:eastAsia="Times New Roman" w:hAnsi="Times New Roman"/>
      <w:sz w:val="20"/>
      <w:szCs w:val="20"/>
      <w:lang w:val="en-GB"/>
    </w:rPr>
  </w:style>
  <w:style w:type="character" w:styleId="Emphasis">
    <w:name w:val="Emphasis"/>
    <w:uiPriority w:val="20"/>
    <w:qFormat/>
    <w:rPr>
      <w:rFonts w:ascii="Calibri" w:eastAsia="Calibri" w:hAnsi="Calibri" w:cs="Times New Roman"/>
      <w:i/>
      <w:iCs/>
    </w:rPr>
  </w:style>
  <w:style w:type="paragraph" w:styleId="NoSpacing">
    <w:name w:val="No Spacing"/>
    <w:uiPriority w:val="1"/>
    <w:qFormat/>
    <w:rsid w:val="0054691C"/>
    <w:rPr>
      <w:sz w:val="22"/>
      <w:szCs w:val="22"/>
    </w:rPr>
  </w:style>
  <w:style w:type="paragraph" w:styleId="HTMLPreformatted">
    <w:name w:val="HTML Preformatted"/>
    <w:basedOn w:val="Normal"/>
    <w:link w:val="HTMLPreformattedChar"/>
    <w:uiPriority w:val="99"/>
    <w:rsid w:val="007F6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7F6030"/>
    <w:rPr>
      <w:rFonts w:ascii="Courier New" w:eastAsia="Times New Roman" w:hAnsi="Courier New" w:cs="Courier New"/>
      <w:lang w:val="sq-AL"/>
    </w:rPr>
  </w:style>
  <w:style w:type="character" w:customStyle="1" w:styleId="y2iqfc">
    <w:name w:val="y2iqfc"/>
    <w:rsid w:val="007F60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styles" Target="styles.xm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numbering" Target="numbering.xml"/><Relationship Id="rId17"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footnotes" Target="footnotes.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customXml" Target="../customXml/item11.xml"/><Relationship Id="rId5" Type="http://schemas.openxmlformats.org/officeDocument/2006/relationships/customXml" Target="../customXml/item5.xml"/><Relationship Id="rId15" Type="http://schemas.openxmlformats.org/officeDocument/2006/relationships/webSettings" Target="webSettings.xml"/><Relationship Id="rId10" Type="http://schemas.openxmlformats.org/officeDocument/2006/relationships/customXml" Target="../customXml/item10.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279</Nr_x002e__x0020_akti>
    <Data_x0020_e_x0020_Krijimit xmlns="0e656187-b300-4fb0-8bf4-3a50f872073c">2025-11-18T14:49:17Z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2025-11-18T00:00:00Z</Date_x0020_protokolli>
    <Titulli xmlns="0e656187-b300-4fb0-8bf4-3a50f872073c">Mbi miratimin e metodologjisë për vlerësimin e gatishmërisë së tregut shqiptar të energjisë elektrike të ditës në avancë</Titulli>
    <Modifikuesi xmlns="0e656187-b300-4fb0-8bf4-3a50f872073c">Etlevahaxhia</Modifikuesi>
    <Nr_x002e__x0020_prot_x0020_QBZ xmlns="0e656187-b300-4fb0-8bf4-3a50f872073c">1937/2</Nr_x002e__x0020_prot_x0020_QBZ>
    <Data_x0020_e_x0020_Modifikimit xmlns="0e656187-b300-4fb0-8bf4-3a50f872073c">2025-11-20T13:29:52Z</Data_x0020_e_x0020_Modifikimit>
    <Dekretuar xmlns="0e656187-b300-4fb0-8bf4-3a50f872073c">false</Dekretuar>
    <Data xmlns="0e656187-b300-4fb0-8bf4-3a50f872073c">2025-11-06T00:00:00Z</Data>
    <Nr_x002e__x0020_protokolli_x0020_i_x0020_aktit xmlns="0e656187-b300-4fb0-8bf4-3a50f872073c">2883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cd:customData xmlns="http://www.wps.cn/android/officeDocument/2013/mofficeCustomData" xmlns:mcd="http://www.wps.cn/android/officeDocument/2013/mofficeCustomData" version="2">
  <mcd:comments/>
</mcd:customData>
</file>

<file path=customXml/item3.xml><?xml version="1.0" encoding="utf-8"?>
<mcd:customData xmlns="http://www.wps.cn/android/officeDocument/2013/mofficeCustomData" xmlns:mcd="http://www.wps.cn/android/officeDocument/2013/mofficeCustomData" version="2">
  <mcd:comments/>
</mcd:customData>
</file>

<file path=customXml/item4.xml><?xml version="1.0" encoding="utf-8"?>
<mcd:customData xmlns="http://www.wps.cn/android/officeDocument/2013/mofficeCustomData" xmlns:mcd="http://www.wps.cn/android/officeDocument/2013/mofficeCustomData" version="2">
  <mcd:comments/>
</mcd:customDat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cd:customData xmlns="http://www.wps.cn/android/officeDocument/2013/mofficeCustomData" xmlns:mcd="http://www.wps.cn/android/officeDocument/2013/mofficeCustomData" version="2">
  <mcd:comments/>
</mcd:customData>
</file>

<file path=customXml/item7.xml><?xml version="1.0" encoding="utf-8"?>
<ct:contentTypeSchema xmlns:ct="http://schemas.microsoft.com/office/2006/metadata/contentType" xmlns:ma="http://schemas.microsoft.com/office/2006/metadata/properties/metaAttributes" ct:_="" ma:_="" ma:contentTypeName="Akt ligjor" ma:contentTypeID="0x01010048803F5FAD014E338462A556CDE70CE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8.xml><?xml version="1.0" encoding="utf-8"?>
<mcd:customData xmlns="http://www.wps.cn/android/officeDocument/2013/mofficeCustomData" xmlns:mcd="http://www.wps.cn/android/officeDocument/2013/mofficeCustomData" version="2">
  <mcd:comments/>
</mcd:customData>
</file>

<file path=customXml/item9.xml><?xml version="1.0" encoding="utf-8"?>
<mcd:customData xmlns="http://www.wps.cn/android/officeDocument/2013/mofficeCustomData" xmlns:mcd="http://www.wps.cn/android/officeDocument/2013/mofficeCustomData" version="2">
  <mcd:comments/>
</mcd:customData>
</file>

<file path=customXml/item10.xml><?xml version="1.0" encoding="utf-8"?>
<mcd:customData xmlns="http://www.wps.cn/android/officeDocument/2013/mofficeCustomData" xmlns:mcd="http://www.wps.cn/android/officeDocument/2013/mofficeCustomData" version="2">
  <mcd:comments/>
</mcd:customData>
</file>

<file path=customXml/item1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DA8F8B-90C8-4105-8841-5D5C2EE2F2D8}">
  <ds:schemaRefs>
    <ds:schemaRef ds:uri="http://www.w3.org/XML/1998/namespace"/>
    <ds:schemaRef ds:uri="http://schemas.microsoft.com/office/2006/documentManagement/types"/>
    <ds:schemaRef ds:uri="http://purl.org/dc/elements/1.1/"/>
    <ds:schemaRef ds:uri="0e656187-b300-4fb0-8bf4-3a50f872073c"/>
    <ds:schemaRef ds:uri="http://schemas.microsoft.com/office/2006/metadata/properties"/>
    <ds:schemaRef ds:uri="http://purl.org/dc/dcmitype/"/>
    <ds:schemaRef ds:uri="http://purl.org/dc/terms/"/>
    <ds:schemaRef ds:uri="http://schemas.openxmlformats.org/package/2006/metadata/core-properties"/>
  </ds:schemaRefs>
</ds:datastoreItem>
</file>

<file path=customXml/itemProps2.xml><?xml version="1.0" encoding="utf-8"?>
<ds:datastoreItem xmlns:ds="http://schemas.openxmlformats.org/officeDocument/2006/customXml" ds:itemID="{9A5CC90F-AFFC-417B-BA85-BB7BECC181BC}">
  <ds:schemaRefs>
    <ds:schemaRef ds:uri="http://www.wps.cn/android/officeDocument/2013/mofficeCustomData"/>
  </ds:schemaRefs>
</ds:datastoreItem>
</file>

<file path=customXml/itemProps3.xml><?xml version="1.0" encoding="utf-8"?>
<ds:datastoreItem xmlns:ds="http://schemas.openxmlformats.org/officeDocument/2006/customXml" ds:itemID="{FF74850F-4B15-475A-B749-F52E739D2DB8}">
  <ds:schemaRefs>
    <ds:schemaRef ds:uri="http://www.wps.cn/android/officeDocument/2013/mofficeCustomData"/>
  </ds:schemaRefs>
</ds:datastoreItem>
</file>

<file path=customXml/itemProps4.xml><?xml version="1.0" encoding="utf-8"?>
<ds:datastoreItem xmlns:ds="http://schemas.openxmlformats.org/officeDocument/2006/customXml" ds:itemID="{63925ADA-9D37-408E-873A-48E84DEC6DE4}">
  <ds:schemaRefs>
    <ds:schemaRef ds:uri="http://www.wps.cn/android/officeDocument/2013/mofficeCustomData"/>
  </ds:schemaRefs>
</ds:datastoreItem>
</file>

<file path=customXml/itemProps5.xml><?xml version="1.0" encoding="utf-8"?>
<ds:datastoreItem xmlns:ds="http://schemas.openxmlformats.org/officeDocument/2006/customXml" ds:itemID="{27FBB8A0-31F5-43C3-AC67-572DB070D694}">
  <ds:schemaRefs>
    <ds:schemaRef ds:uri="http://schemas.microsoft.com/sharepoint/v3/contenttype/forms"/>
  </ds:schemaRefs>
</ds:datastoreItem>
</file>

<file path=customXml/itemProps6.xml><?xml version="1.0" encoding="utf-8"?>
<ds:datastoreItem xmlns:ds="http://schemas.openxmlformats.org/officeDocument/2006/customXml" ds:itemID="{C8ABF6CA-A135-462E-AEE1-CF22C0BB7874}">
  <ds:schemaRefs>
    <ds:schemaRef ds:uri="http://www.wps.cn/android/officeDocument/2013/mofficeCustomData"/>
  </ds:schemaRefs>
</ds:datastoreItem>
</file>

<file path=customXml/itemProps7.xml><?xml version="1.0" encoding="utf-8"?>
<ds:datastoreItem xmlns:ds="http://schemas.openxmlformats.org/officeDocument/2006/customXml" ds:itemID="{A128213C-B167-43E8-97BC-9F4779A3F5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8.xml><?xml version="1.0" encoding="utf-8"?>
<ds:datastoreItem xmlns:ds="http://schemas.openxmlformats.org/officeDocument/2006/customXml" ds:itemID="{48D175B8-FCFA-4EC7-A755-C21BB95892BC}">
  <ds:schemaRefs>
    <ds:schemaRef ds:uri="http://www.wps.cn/android/officeDocument/2013/mofficeCustomData"/>
  </ds:schemaRefs>
</ds:datastoreItem>
</file>

<file path=customXml/itemProps9.xml><?xml version="1.0" encoding="utf-8"?>
<ds:datastoreItem xmlns:ds="http://schemas.openxmlformats.org/officeDocument/2006/customXml" ds:itemID="{F8C84770-CFAC-46C6-90E2-097736B79BB5}">
  <ds:schemaRefs>
    <ds:schemaRef ds:uri="http://www.wps.cn/android/officeDocument/2013/mofficeCustomData"/>
  </ds:schemaRefs>
</ds:datastoreItem>
</file>

<file path=customXml/itemProps10.xml><?xml version="1.0" encoding="utf-8"?>
<ds:datastoreItem xmlns:ds="http://schemas.openxmlformats.org/officeDocument/2006/customXml" ds:itemID="{6CB22480-7C63-48EB-8D41-45885E892F1A}">
  <ds:schemaRefs>
    <ds:schemaRef ds:uri="http://www.wps.cn/android/officeDocument/2013/mofficeCustomData"/>
  </ds:schemaRefs>
</ds:datastoreItem>
</file>

<file path=customXml/itemProps11.xml><?xml version="1.0" encoding="utf-8"?>
<ds:datastoreItem xmlns:ds="http://schemas.openxmlformats.org/officeDocument/2006/customXml" ds:itemID="{50D6B1CE-A1DF-49F3-B604-5902180C22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8</Pages>
  <Words>3593</Words>
  <Characters>20482</Characters>
  <Application>Microsoft Office Word</Application>
  <DocSecurity>0</DocSecurity>
  <Lines>170</Lines>
  <Paragraphs>48</Paragraphs>
  <ScaleCrop>false</ScaleCrop>
  <HeadingPairs>
    <vt:vector size="2" baseType="variant">
      <vt:variant>
        <vt:lpstr>Title</vt:lpstr>
      </vt:variant>
      <vt:variant>
        <vt:i4>1</vt:i4>
      </vt:variant>
    </vt:vector>
  </HeadingPairs>
  <TitlesOfParts>
    <vt:vector size="1" baseType="lpstr">
      <vt:lpstr>Mbi miratimin e metodologjisë për vlerësimin e gatishmërisë së tregut shqiptar të energjisë elektrike të ditës në avancë</vt:lpstr>
    </vt:vector>
  </TitlesOfParts>
  <Company/>
  <LinksUpToDate>false</LinksUpToDate>
  <CharactersWithSpaces>24027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miratimin e metodologjisë për vlerësimin e gatishmërisë së tregut shqiptar të energjisë elektrike të ditës në avancë</dc:title>
  <dc:creator>Usrt</dc:creator>
  <cp:lastModifiedBy>fjora.cahani</cp:lastModifiedBy>
  <cp:revision>15</cp:revision>
  <cp:lastPrinted>2025-02-25T10:44:00Z</cp:lastPrinted>
  <dcterms:created xsi:type="dcterms:W3CDTF">2025-11-18T13:53:00Z</dcterms:created>
  <dcterms:modified xsi:type="dcterms:W3CDTF">2025-11-20T13:47:00Z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fa18031d996f4541b87ee76ed53dd0c5</vt:lpwstr>
  </property>
</Properties>
</file>